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Die Folge-Ausgabe —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am 4. Juni 2026) — markiert einen weiteren Strukturbruch: Erstmals in der Tracker-Historie ist KI mit 38.579 angekündigten KI-bezogenen US-Stellenstreichungen im Mai 2026 (rund 40 % des Monatsvolumens) der </w:t>
      </w:r>
      <w:r>
        <w:rPr>
          <w:rFonts w:ascii="Arial" w:hAnsi="Arial"/>
          <w:b w:val="0"/>
          <w:i/>
          <w:sz w:val="19"/>
        </w:rPr>
        <w:t>am häufigsten genannte einzelne Streichungsgrund</w:t>
      </w:r>
      <w:r>
        <w:rPr>
          <w:rFonts w:ascii="Arial" w:hAnsi="Arial"/>
          <w:b w:val="0"/>
          <w:i w:val="0"/>
          <w:sz w:val="19"/>
        </w:rPr>
        <w:t xml:space="preserve">; die KI-bezogenen Streichungen im laufenden Jahr 2026 summieren sich auf 87.714 und übertreffen damit fünf Monate vor Jahresende den gesamten KI-zugerechneten Jahreswert 2025 (54.836). Die im Mai 2026 angekündigten Großstreichungen umfassen unter anderem Oracle (rund 21.000 Stellen zwischen März und Juni 2026, etwa 13 % der Belegschaft), Meta (rund 8.000 Stellen im Mai 2026, etwa 10 % der Belegschaft) und PayPal (rund 4.500 Stellen im Mai 2026 als Teil des bereits zuvor angekündigten Programms über 20 % der Belegschaft). Eine zweite Tagesfortschreibung der TrueUp-Methodik weist zum 24. Juni 2026 rund 185.894 betroffene Personen aus 267 erfassten Layoff-Ereignissen aus (durchschnittlich rund 893 Stellen pro Tag), während eine parallele Auswertung des Branchen-Trackers für die </w:t>
      </w:r>
      <w:r>
        <w:rPr>
          <w:rFonts w:ascii="Arial" w:hAnsi="Arial"/>
          <w:b w:val="0"/>
          <w:i/>
          <w:sz w:val="19"/>
        </w:rPr>
        <w:t>gesamte</w:t>
      </w:r>
      <w:r>
        <w:rPr>
          <w:rFonts w:ascii="Arial" w:hAnsi="Arial"/>
          <w:b w:val="0"/>
          <w:i w:val="0"/>
          <w:sz w:val="19"/>
        </w:rPr>
        <w:t xml:space="preserve"> Tech-Industrie zum Juni-2026-Stand 415 Layoff-Ereignisse mit 157.147 betroffenen Personen zählt. Begleitend dokumentiert </w:t>
      </w:r>
      <w:r>
        <w:rPr>
          <w:rFonts w:ascii="Arial" w:hAnsi="Arial"/>
          <w:b w:val="0"/>
          <w:i/>
          <w:sz w:val="19"/>
        </w:rPr>
        <w:t>TechCrunch</w:t>
      </w:r>
      <w:r>
        <w:rPr>
          <w:rFonts w:ascii="Arial" w:hAnsi="Arial"/>
          <w:b w:val="0"/>
          <w:i w:val="0"/>
          <w:sz w:val="19"/>
        </w:rPr>
        <w:t xml:space="preserve"> in seiner </w:t>
      </w:r>
      <w:r>
        <w:rPr>
          <w:rFonts w:ascii="Arial" w:hAnsi="Arial"/>
          <w:b w:val="0"/>
          <w:i/>
          <w:sz w:val="19"/>
        </w:rPr>
        <w:t>„Running list — major tech layoffs in 2026 where employers cited AI"</w:t>
      </w:r>
      <w:r>
        <w:rPr>
          <w:rFonts w:ascii="Arial" w:hAnsi="Arial"/>
          <w:b w:val="0"/>
          <w:i w:val="0"/>
          <w:sz w:val="19"/>
        </w:rPr>
        <w:t xml:space="preserve"> (22. Juni 2026) eine zunehmende Häufung von Konzern-Mitteilungen, die KI ausdrücklich als Begründung anführen; eine weitere </w:t>
      </w:r>
      <w:r>
        <w:rPr>
          <w:rFonts w:ascii="Arial" w:hAnsi="Arial"/>
          <w:b w:val="0"/>
          <w:i/>
          <w:sz w:val="19"/>
        </w:rPr>
        <w:t>TechCrunch</w:t>
      </w:r>
      <w:r>
        <w:rPr>
          <w:rFonts w:ascii="Arial" w:hAnsi="Arial"/>
          <w:b w:val="0"/>
          <w:i w:val="0"/>
          <w:sz w:val="19"/>
        </w:rPr>
        <w:t xml:space="preserve">-Analyse vom 24. Juni 2026 weist darauf hin, dass Software-Engineering-Tätigkeiten in den Tracker-Daten — entgegen der ursprünglichen Erwartung — </w:t>
      </w:r>
      <w:r>
        <w:rPr>
          <w:rFonts w:ascii="Arial" w:hAnsi="Arial"/>
          <w:b w:val="0"/>
          <w:i/>
          <w:sz w:val="19"/>
        </w:rPr>
        <w:t>nicht</w:t>
      </w:r>
      <w:r>
        <w:rPr>
          <w:rFonts w:ascii="Arial" w:hAnsi="Arial"/>
          <w:b w:val="0"/>
          <w:i w:val="0"/>
          <w:sz w:val="19"/>
        </w:rPr>
        <w:t xml:space="preserve"> überproportional getroffen sind, sondern unter den am wenigsten betroffenen Berufsgruppen liegen; auch </w:t>
      </w:r>
      <w:r>
        <w:rPr>
          <w:rFonts w:ascii="Arial" w:hAnsi="Arial"/>
          <w:b w:val="0"/>
          <w:i/>
          <w:sz w:val="19"/>
        </w:rPr>
        <w:t>Salesforce Ben</w:t>
      </w:r>
      <w:r>
        <w:rPr>
          <w:rFonts w:ascii="Arial" w:hAnsi="Arial"/>
          <w:b w:val="0"/>
          <w:i w:val="0"/>
          <w:sz w:val="19"/>
        </w:rPr>
        <w:t xml:space="preserve"> (Juni 2026) referiert eine wachsende Zahl von Unternehmen, die nach mehr als 100.000 KI-zugerechneten Stellenstreichungen einräumen, in der Folge keine messbaren KI-Produktivitätsgewinne erzielt zu haben. Für die Steuerdebatte bestätigt diese Linie zwei Befunde der Vormonate zugleich: Erstens hat sich die </w:t>
      </w:r>
      <w:r>
        <w:rPr>
          <w:rFonts w:ascii="Arial" w:hAnsi="Arial"/>
          <w:b w:val="0"/>
          <w:i/>
          <w:sz w:val="19"/>
        </w:rPr>
        <w:t>Selbstattribution</w:t>
      </w:r>
      <w:r>
        <w:rPr>
          <w:rFonts w:ascii="Arial" w:hAnsi="Arial"/>
          <w:b w:val="0"/>
          <w:i w:val="0"/>
          <w:sz w:val="19"/>
        </w:rPr>
        <w:t xml:space="preserve"> KI in den Tracker-Daten weiter verfestigt — die Schwelle, ab der Konzerne KI explizit als Streichungsgrund nennen, ist niedriger geworden —, und zweitens entkoppelt sich diese Selbstattribution zunehmend von belastbaren Produktivitätsnachweisen, was die in § 9.1 diskutierten Mess- und Umgehungsprobleme einer displacement-basierten Anknüpfung weiter verschärft.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Tatsächlich haben sich Parlament und Rat nach Berichterstattung von </w:t>
      </w:r>
      <w:r>
        <w:rPr>
          <w:rFonts w:ascii="Arial" w:hAnsi="Arial"/>
          <w:b w:val="0"/>
          <w:i/>
          <w:sz w:val="19"/>
        </w:rPr>
        <w:t>Bird &amp; Bird</w:t>
      </w:r>
      <w:r>
        <w:rPr>
          <w:rFonts w:ascii="Arial" w:hAnsi="Arial"/>
          <w:b w:val="0"/>
          <w:i w:val="0"/>
          <w:sz w:val="19"/>
        </w:rPr>
        <w:t xml:space="preserve">, </w:t>
      </w:r>
      <w:r>
        <w:rPr>
          <w:rFonts w:ascii="Arial" w:hAnsi="Arial"/>
          <w:b w:val="0"/>
          <w:i/>
          <w:sz w:val="19"/>
        </w:rPr>
        <w:t>Table.Briefings</w:t>
      </w:r>
      <w:r>
        <w:rPr>
          <w:rFonts w:ascii="Arial" w:hAnsi="Arial"/>
          <w:b w:val="0"/>
          <w:i w:val="0"/>
          <w:sz w:val="19"/>
        </w:rPr>
        <w:t xml:space="preserve"> und </w:t>
      </w:r>
      <w:r>
        <w:rPr>
          <w:rFonts w:ascii="Arial" w:hAnsi="Arial"/>
          <w:b w:val="0"/>
          <w:i/>
          <w:sz w:val="19"/>
        </w:rPr>
        <w:t>A&amp;O Shearman</w:t>
      </w:r>
      <w:r>
        <w:rPr>
          <w:rFonts w:ascii="Arial" w:hAnsi="Arial"/>
          <w:b w:val="0"/>
          <w:i w:val="0"/>
          <w:sz w:val="19"/>
        </w:rPr>
        <w:t xml:space="preserve"> am 7. Mai 2026 auf eine vorläufige Trilog-Einigung verständigt; das Europäische Parlament hat das Verhandlungsergebnis am 16. Juni 2026 förmlich bestätigt. Die für die Steuerdebatte zentralen Stichtage haben sich damit verfestigt: Die Pflichten für Hochrisiko-KI gemäß Anhang III gelten ab 2. Dezember 2027, die in regulierte Produkte eingebetteten Hochrisiko-Systeme gemäß Anhang I ab 2. August 2028; die Kennzeichnungspflichten nach Art. 50 sind bis zum 2. November 2026 verlängert, die Befugnisse der Kommission gegenüber Allzweck-KI-Modellen (GPAI) treten wie ursprünglich vorgesehen am 2. August 2026 in Kraft. Die förmliche Annahme durch den Rat und die Veröffentlichung im Amtsblatt der Europäischen Union werden im Juli 2026 erwartet. Für die steuerpolitische Anknüpfung folgt daraus, dass der AI-Act-Definitionsrahmen für Hochrisiko-KI nicht 2026, sondern erst 2027/2028 belastbar greifbar wird — eine fiskalische Anknüpfung an AI-Act-Kategorien bleibt damit ein mittelfristiges Instrument.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 xml:space="preserve">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Am 30. Juni 2026 läuft für kalenderjahrgebundene Steuerpflichtige zugleich die erste </w:t>
      </w:r>
      <w:r>
        <w:rPr>
          <w:rFonts w:ascii="Arial" w:hAnsi="Arial"/>
          <w:b w:val="0"/>
          <w:i/>
          <w:sz w:val="19"/>
        </w:rPr>
        <w:t>GloBE-Information-Return</w:t>
      </w:r>
      <w:r>
        <w:rPr>
          <w:rFonts w:ascii="Arial" w:hAnsi="Arial"/>
          <w:b w:val="0"/>
          <w:i w:val="0"/>
          <w:sz w:val="19"/>
        </w:rPr>
        <w:t xml:space="preserve">-Frist (GIR) aus — ein operativer Meilenstein, der die Umsetzungsphase des globalen Mindeststeuerregimes formal beginnen lässt; die OECD hat den Pillar-2-Rahmen am 18. Mai 2026 um eine </w:t>
      </w:r>
      <w:r>
        <w:rPr>
          <w:rFonts w:ascii="Arial" w:hAnsi="Arial"/>
          <w:b w:val="0"/>
          <w:i/>
          <w:sz w:val="19"/>
        </w:rPr>
        <w:t>Common Understanding</w:t>
      </w:r>
      <w:r>
        <w:rPr>
          <w:rFonts w:ascii="Arial" w:hAnsi="Arial"/>
          <w:b w:val="0"/>
          <w:i w:val="0"/>
          <w:sz w:val="19"/>
        </w:rPr>
        <w:t xml:space="preserve"> zu Verspätungs- und Durchsetzungsfragen für ab 2024 implementierende Jurisdiktionen ergänzt.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3. Juni 2026 hat Sanders den Vorstoß zu einem konkreten Gesetzesentwurf zugespitzt und den </w:t>
      </w:r>
      <w:r>
        <w:rPr>
          <w:rFonts w:ascii="Arial" w:hAnsi="Arial"/>
          <w:b w:val="0"/>
          <w:i/>
          <w:sz w:val="19"/>
        </w:rPr>
        <w:t>American AI Sovereign Wealth Fund Act</w:t>
      </w:r>
      <w:r>
        <w:rPr>
          <w:rFonts w:ascii="Arial" w:hAnsi="Arial"/>
          <w:b w:val="0"/>
          <w:i w:val="0"/>
          <w:sz w:val="19"/>
        </w:rPr>
        <w:t xml:space="preserve"> eingebracht: Vorgesehen ist eine einmalige Abgabe in Höhe von 50 % des Marktwertes auf Eigenkapital von Unternehmen, die in „systemically important AI activity" tätig sind und im Steuerjahr mehr als 200 Millionen US-Dollar Bruttoeinnahmen aus KI-Diensten erzielen; die Steuer wird </w:t>
      </w:r>
      <w:r>
        <w:rPr>
          <w:rFonts w:ascii="Arial" w:hAnsi="Arial"/>
          <w:b w:val="0"/>
          <w:i/>
          <w:sz w:val="19"/>
        </w:rPr>
        <w:t>in Aktien</w:t>
      </w:r>
      <w:r>
        <w:rPr>
          <w:rFonts w:ascii="Arial" w:hAnsi="Arial"/>
          <w:b w:val="0"/>
          <w:i w:val="0"/>
          <w:sz w:val="19"/>
        </w:rPr>
        <w:t xml:space="preserve"> entrichtet und in einen öffentlichen Fonds (</w:t>
      </w:r>
      <w:r>
        <w:rPr>
          <w:rFonts w:ascii="Arial" w:hAnsi="Arial"/>
          <w:b w:val="0"/>
          <w:i/>
          <w:sz w:val="19"/>
        </w:rPr>
        <w:t>American AI Sovereign Wealth Fund</w:t>
      </w:r>
      <w:r>
        <w:rPr>
          <w:rFonts w:ascii="Arial" w:hAnsi="Arial"/>
          <w:b w:val="0"/>
          <w:i w:val="0"/>
          <w:sz w:val="19"/>
        </w:rPr>
        <w:t xml:space="preserve">) überführt, der den Bürgerinnen und Bürgern Stimmrechte, Aufsichtsratsvertretung und perspektivisch eine periodische Dividende zugesteht. Der Tatbestand der „AI trade or business" ist im Entwurf weit gefasst und umfasst KI-Rechenzentren, KI-Computing-Infrastruktur, KI-Dienstleistungen und fortgeschrittene Robotik. Senatorin Elizabeth Warren hat parallel — wenige Tage zuvor in einem </w:t>
      </w:r>
      <w:r>
        <w:rPr>
          <w:rFonts w:ascii="Arial" w:hAnsi="Arial"/>
          <w:b w:val="0"/>
          <w:i/>
          <w:sz w:val="19"/>
        </w:rPr>
        <w:t>Time</w:t>
      </w:r>
      <w:r>
        <w:rPr>
          <w:rFonts w:ascii="Arial" w:hAnsi="Arial"/>
          <w:b w:val="0"/>
          <w:i w:val="0"/>
          <w:sz w:val="19"/>
        </w:rPr>
        <w:t xml:space="preserve">-Beitrag — eine eigene KI-Abgabe vorgeschlagen, deren Aufkommen verdrängte Beschäftigte stützen soll. Die Aussicht auf Annahme der Entwürfe in einem republikanisch geführten Kongress gilt als gering; als Signalgebung ist die Sanders-Linie jedoch von einer Verbrauchsteuer auf automatisierende Großunternehmen (Sanders-Report Oktober 2025) auf eine </w:t>
      </w:r>
      <w:r>
        <w:rPr>
          <w:rFonts w:ascii="Arial" w:hAnsi="Arial"/>
          <w:b w:val="0"/>
          <w:i/>
          <w:sz w:val="19"/>
        </w:rPr>
        <w:t>Eigenkapital-Abschöpfung in einen Staatsfonds nach norwegischem Vorbild</w:t>
      </w:r>
      <w:r>
        <w:rPr>
          <w:rFonts w:ascii="Arial" w:hAnsi="Arial"/>
          <w:b w:val="0"/>
          <w:i w:val="0"/>
          <w:sz w:val="19"/>
        </w:rPr>
        <w:t xml:space="preserve"> fortgeschrieben — ein Pfad, der konzeptionell deutlich näher an dem in § 8.6 beschriebenen Teilhabefonds und an dem in § 5.4 referierten OpenAI-Vorschlag zu einem öffentlichen Wohlstandsfonds liegt, als der ursprüngliche Robotersteuer-Vorschlag erwarten ließ.</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Anthropic Economic Policy Framework (10. Juni 2026):</w:t>
      </w:r>
      <w:r>
        <w:rPr>
          <w:rFonts w:ascii="Arial" w:hAnsi="Arial"/>
          <w:b w:val="0"/>
          <w:i w:val="0"/>
          <w:sz w:val="19"/>
        </w:rPr>
        <w:t xml:space="preserve"> Mit dem </w:t>
      </w:r>
      <w:r>
        <w:rPr>
          <w:rFonts w:ascii="Arial" w:hAnsi="Arial"/>
          <w:b w:val="0"/>
          <w:i/>
          <w:sz w:val="19"/>
        </w:rPr>
        <w:t>Economic Policy Framework</w:t>
      </w:r>
      <w:r>
        <w:rPr>
          <w:rFonts w:ascii="Arial" w:hAnsi="Arial"/>
          <w:b w:val="0"/>
          <w:i w:val="0"/>
          <w:sz w:val="19"/>
        </w:rPr>
        <w:t xml:space="preserve"> hat Anthropic erstmals eine eigene, vom Konkurrenten OpenAI abgrenzbare Politiklinie zur Frage der KI-induzierten Arbeitsmarktverschiebungen vorgelegt. Der Rahmen ist in drei Reaktionsstufen gegliedert, die jeweils an einer beobachteten US-Arbeitslosenquote ansetzen: In </w:t>
      </w:r>
      <w:r>
        <w:rPr>
          <w:rFonts w:ascii="Arial" w:hAnsi="Arial"/>
          <w:b w:val="0"/>
          <w:i/>
          <w:sz w:val="19"/>
        </w:rPr>
        <w:t>Stufe 1</w:t>
      </w:r>
      <w:r>
        <w:rPr>
          <w:rFonts w:ascii="Arial" w:hAnsi="Arial"/>
          <w:b w:val="0"/>
          <w:i w:val="0"/>
          <w:sz w:val="19"/>
        </w:rPr>
        <w:t xml:space="preserve"> (rund 5 % Arbeitslosenquote) wären </w:t>
      </w:r>
      <w:r>
        <w:rPr>
          <w:rFonts w:ascii="Arial" w:hAnsi="Arial"/>
          <w:b w:val="0"/>
          <w:i/>
          <w:sz w:val="19"/>
        </w:rPr>
        <w:t>Universal Capital Accounts</w:t>
      </w:r>
      <w:r>
        <w:rPr>
          <w:rFonts w:ascii="Arial" w:hAnsi="Arial"/>
          <w:b w:val="0"/>
          <w:i w:val="0"/>
          <w:sz w:val="19"/>
        </w:rPr>
        <w:t xml:space="preserve">, die mit Eigenkapital an KI-Unternehmen ausgestattet werden könnten, sowie Weiterbildungs-Gutscheine, eine Reform berufsrechtlicher Lizenzschranken und eine Lohnversicherung vorgesehen; in </w:t>
      </w:r>
      <w:r>
        <w:rPr>
          <w:rFonts w:ascii="Arial" w:hAnsi="Arial"/>
          <w:b w:val="0"/>
          <w:i/>
          <w:sz w:val="19"/>
        </w:rPr>
        <w:t>Stufe 2</w:t>
      </w:r>
      <w:r>
        <w:rPr>
          <w:rFonts w:ascii="Arial" w:hAnsi="Arial"/>
          <w:b w:val="0"/>
          <w:i w:val="0"/>
          <w:sz w:val="19"/>
        </w:rPr>
        <w:t xml:space="preserve"> (rund 10 % Arbeitslosenquote) würden automatische Verlängerungen der Arbeitslosenversicherung und eine Grundbedürfnishilfe hinzutreten; in </w:t>
      </w:r>
      <w:r>
        <w:rPr>
          <w:rFonts w:ascii="Arial" w:hAnsi="Arial"/>
          <w:b w:val="0"/>
          <w:i/>
          <w:sz w:val="19"/>
        </w:rPr>
        <w:t>Stufe 3</w:t>
      </w:r>
      <w:r>
        <w:rPr>
          <w:rFonts w:ascii="Arial" w:hAnsi="Arial"/>
          <w:b w:val="0"/>
          <w:i w:val="0"/>
          <w:sz w:val="19"/>
        </w:rPr>
        <w:t xml:space="preserve"> (beispielloses Niveau struktureller Arbeitslosigkeit) sollten ein einkommensseitiger Mindestschutz, </w:t>
      </w:r>
      <w:r>
        <w:rPr>
          <w:rFonts w:ascii="Arial" w:hAnsi="Arial"/>
          <w:b w:val="0"/>
          <w:i/>
          <w:sz w:val="19"/>
        </w:rPr>
        <w:t>Abgaben auf KI-Nutzung</w:t>
      </w:r>
      <w:r>
        <w:rPr>
          <w:rFonts w:ascii="Arial" w:hAnsi="Arial"/>
          <w:b w:val="0"/>
          <w:i w:val="0"/>
          <w:sz w:val="19"/>
        </w:rPr>
        <w:t xml:space="preserve"> sowie Modelle wie ein bedingungsloses Grundeinkommen und ein </w:t>
      </w:r>
      <w:r>
        <w:rPr>
          <w:rFonts w:ascii="Arial" w:hAnsi="Arial"/>
          <w:b w:val="0"/>
          <w:i/>
          <w:sz w:val="19"/>
        </w:rPr>
        <w:t>AI Sovereign Wealth Fund</w:t>
      </w:r>
      <w:r>
        <w:rPr>
          <w:rFonts w:ascii="Arial" w:hAnsi="Arial"/>
          <w:b w:val="0"/>
          <w:i w:val="0"/>
          <w:sz w:val="19"/>
        </w:rPr>
        <w:t xml:space="preserve"> in Betracht gezogen werden. Vorgelagert nennt der Rahmen drei strukturelle Voraussetzungen: eine laufende Messung der KI-Adoption und ihrer Beschäftigungswirkungen, eine eigene Analyseeinheit in der US-Bundesverwaltung sowie eine modernisierte Auszahlungs-Infrastruktur für Sozialleistungen. Flankierend kündigt Anthropic finanzielle Eigenleistungen von insgesamt rund 350 Millionen US-Dollar an — 200 Millionen US-Dollar für einen </w:t>
      </w:r>
      <w:r>
        <w:rPr>
          <w:rFonts w:ascii="Arial" w:hAnsi="Arial"/>
          <w:b w:val="0"/>
          <w:i/>
          <w:sz w:val="19"/>
        </w:rPr>
        <w:t>Economic Futures Research Fund</w:t>
      </w:r>
      <w:r>
        <w:rPr>
          <w:rFonts w:ascii="Arial" w:hAnsi="Arial"/>
          <w:b w:val="0"/>
          <w:i w:val="0"/>
          <w:sz w:val="19"/>
        </w:rPr>
        <w:t xml:space="preserve"> und 150 Millionen US-Dollar für Weiterbildungsprogramme; Mitgründer Chris Olah ordnet dies öffentlich als „moralische Verpflichtung historischen Ausmaßes" für den Fall einer großmaßstäblichen Verdrängung ein, während CEO Dario Amodei den Rahmen als „Konzept eines Plans" gegen den von ihm bereits 2025 prognostizierten Fall einer „White-Collar-Rezession" einordnet. </w:t>
      </w:r>
      <w:r>
        <w:rPr>
          <w:rFonts w:ascii="Arial" w:hAnsi="Arial"/>
          <w:b w:val="0"/>
          <w:i/>
          <w:sz w:val="19"/>
        </w:rPr>
        <w:t>Fortune</w:t>
      </w:r>
      <w:r>
        <w:rPr>
          <w:rFonts w:ascii="Arial" w:hAnsi="Arial"/>
          <w:b w:val="0"/>
          <w:i w:val="0"/>
          <w:sz w:val="19"/>
        </w:rPr>
        <w:t xml:space="preserve"> hat den Vorgang als ersten Fall referiert, in dem ein führender KI-Anbieter eine </w:t>
      </w:r>
      <w:r>
        <w:rPr>
          <w:rFonts w:ascii="Arial" w:hAnsi="Arial"/>
          <w:b w:val="0"/>
          <w:i/>
          <w:sz w:val="19"/>
        </w:rPr>
        <w:t>Selbstbesteuerung in einen öffentlichen Fonds</w:t>
      </w:r>
      <w:r>
        <w:rPr>
          <w:rFonts w:ascii="Arial" w:hAnsi="Arial"/>
          <w:b w:val="0"/>
          <w:i w:val="0"/>
          <w:sz w:val="19"/>
        </w:rPr>
        <w:t xml:space="preserve"> explizit als Möglichkeit benennt, um die durch sein Geschäftsmodell ausgelöste Verdrängung zu finanzieren. Für die hier geführte Steuerdebatte ist der Rahmen aus mehreren Gründen relevant: Erstens markiert er — gemeinsam mit dem Sanders-Entwurf vom 3. Juni 2026 und dem OpenAI-Papier vom 6. April 2026 — eine Konvergenz auf das Modell </w:t>
      </w:r>
      <w:r>
        <w:rPr>
          <w:rFonts w:ascii="Arial" w:hAnsi="Arial"/>
          <w:b w:val="0"/>
          <w:i/>
          <w:sz w:val="19"/>
        </w:rPr>
        <w:t>Eigenkapital-Beteiligung in einem öffentlichen Fonds</w:t>
      </w:r>
      <w:r>
        <w:rPr>
          <w:rFonts w:ascii="Arial" w:hAnsi="Arial"/>
          <w:b w:val="0"/>
          <w:i w:val="0"/>
          <w:sz w:val="19"/>
        </w:rPr>
        <w:t xml:space="preserve">, das in Kapitel 8 (Teilhabefonds) eigenständig und unabhängig vorgeschlagen wird; zweitens koppelt er die Auslösung steuerlicher Reaktionen an einen beobachtbaren makroökonomischen Indikator (Arbeitslosenquote) und nicht an eine Einzelfall-Kausalitätsmessung (vgl. § 9.1) — eine Konstruktionslogik, die die in § 2.1 als Typ 5 typisierte zielgerichtete Ersatzabgabe umgeht; und drittens benennt er erstmals von Anbieterseite eine </w:t>
      </w:r>
      <w:r>
        <w:rPr>
          <w:rFonts w:ascii="Arial" w:hAnsi="Arial"/>
          <w:b w:val="0"/>
          <w:i/>
          <w:sz w:val="19"/>
        </w:rPr>
        <w:t>Abgabe auf KI-Nutzung</w:t>
      </w:r>
      <w:r>
        <w:rPr>
          <w:rFonts w:ascii="Arial" w:hAnsi="Arial"/>
          <w:b w:val="0"/>
          <w:i w:val="0"/>
          <w:sz w:val="19"/>
        </w:rPr>
        <w:t xml:space="preserve"> (Stufe 3) als Bestandteil eines geordneten politischen Reaktionspfads — eine Position, die auf der internationalen Diskursebene bis dahin überwiegend von akademischer Seite (vgl. Falk &amp; Tsoukalas 2026, § 3.3) und politischer Seite (Sanders, Warren) formuliert worden war.</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Tatsächlich hat der Deutsche Bundestag den Regierungsentwurf am 12. Juni 2026 in erster Lesung beraten — die Opposition kritisierte die Vorlage als unausgewogen und unzureichend, um weitere Beitragssatzanhebungen zu verhindern. Der Gesundheitsausschuss hat am 22. Juni 2026 in einer zweieinhalbstündigen öffentlichen Anhörung mehr als 90 Fachverbände und Einzelsachverständige angehört; Ziel der Bundesregierung bleibt der Abschluss von Bundestag und Bundesrat vor der Sommerpause 2026. Die Anhörung bestätigt die strukturelle Größenordnung der Finanzierungslücke — bis 2030 würde die GKV ohne Eingriff einen Fehlbetrag in einer Größenordnung von rund 40 Milliarden Euro aufweisen; dieser Wert geht in alle Reform-Szenarien als Referenz ein und stützt den in § 5.1 entwickelten Befund einer strukturellen Erosion der lohnbasierten Finanzierung.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US Senate / Thomson Reuters Tax / Fortune / Reason. (3. Juni 2026). </w:t>
      </w:r>
      <w:r>
        <w:rPr>
          <w:rFonts w:ascii="Arial" w:hAnsi="Arial"/>
          <w:b w:val="0"/>
          <w:i/>
          <w:sz w:val="19"/>
        </w:rPr>
        <w:t>Sanders calls for tax on „systemically important AI activity," payable in equity / Bernie Sanders wants Americans to own a piece of AI / Bernie Sanders' AI wealth fund bill shows that he doesn't understand AI or wealth.</w:t>
      </w:r>
      <w:r>
        <w:rPr>
          <w:rFonts w:ascii="Arial" w:hAnsi="Arial"/>
          <w:b w:val="0"/>
          <w:i w:val="0"/>
          <w:sz w:val="19"/>
        </w:rPr>
        <w:t xml:space="preserve"> Einbringung des </w:t>
      </w:r>
      <w:r>
        <w:rPr>
          <w:rFonts w:ascii="Arial" w:hAnsi="Arial"/>
          <w:b w:val="0"/>
          <w:i/>
          <w:sz w:val="19"/>
        </w:rPr>
        <w:t>American AI Sovereign Wealth Fund Act</w:t>
      </w:r>
      <w:r>
        <w:rPr>
          <w:rFonts w:ascii="Arial" w:hAnsi="Arial"/>
          <w:b w:val="0"/>
          <w:i w:val="0"/>
          <w:sz w:val="19"/>
        </w:rPr>
        <w:t xml:space="preserve"> durch Bernie Sanders: einmalige Eigenkapital-Abgabe von 50 % auf KI-Konzerne mit &gt; 200 Mio. USD Bruttoeinnahmen aus AI-Trades or Businesses (Rechenzentren, Computing-Infrastruktur, KI-Dienste, fortgeschrittene Robotik); Aktien fließen in einen öffentlichen Fonds mit Stimmrecht, Aufsichtsratsvertretung und Bürgerdividende. Parallel Time-Beitrag von Senatorin Elizabeth Warren mit eigener KI-Abgabe. https://tax.thomsonreuters.com/news/sanders-calls-for-tax-on-systemically-important-ai-activity-payable-in-equity/ | https://fortune.com/2026/06/03/bernie-sanders-ai-ownership-sovereign-wealth-fund-electrification/ | https://reason.com/2026/06/02/bernie-sanders-ai-wealth-fund-bill-shows-that-he-doesnt-understand-ai-or-wealth/</w:t>
      </w:r>
    </w:p>
    <w:p>
      <w:pPr>
        <w:jc w:val="both"/>
      </w:pPr>
      <w:r>
        <w:rPr>
          <w:rFonts w:ascii="Arial" w:hAnsi="Arial"/>
          <w:b w:val="0"/>
          <w:i w:val="0"/>
          <w:sz w:val="19"/>
        </w:rPr>
        <w:t xml:space="preserve">Anthropic / Fortune / Gizmodo / HR Dive / Boston25 News. (10. Juni 2026). </w:t>
      </w:r>
      <w:r>
        <w:rPr>
          <w:rFonts w:ascii="Arial" w:hAnsi="Arial"/>
          <w:b w:val="0"/>
          <w:i/>
          <w:sz w:val="19"/>
        </w:rPr>
        <w:t>Anthropic's Economic Policy Framework — Policy on the AI Exponential / Anthropic just proposed taxing itself to pay for the jobs its AI destroys / What Happens If AI Causes 25 % Unemployment? Anthropic Has a Concept of a Plan / Anthropic pledges $200 million to research AI's economic impact.</w:t>
      </w:r>
      <w:r>
        <w:rPr>
          <w:rFonts w:ascii="Arial" w:hAnsi="Arial"/>
          <w:b w:val="0"/>
          <w:i w:val="0"/>
          <w:sz w:val="19"/>
        </w:rPr>
        <w:t xml:space="preserve"> Dreistufige Reaktionsmatrix entlang der US-Arbeitslosenquote (5 % — Universal Capital Accounts mit AI-Equity, Workforce-Training-Grants, Lizenzschranken-Reform, Lohnversicherung; 10 % — automatische UI-Extensions, Grundbedürfnishilfe; beispielloses Niveau — Common Income Floor, AI-Use-Levies, UBI, AI Sovereign Wealth Fund) auf drei Voraussetzungen aufgesetzt (AI-Adoption-Messung, dedizierte Analyseeinheit, modernisierte Auszahlungs-Infrastruktur); Eigenleistung 350 Mio. USD (200 Mio. Economic Futures Research Fund + 150 Mio. Weiterbildung). https://www.anthropic.com/policy-on-the-ai-exponential/epf | https://www-cdn.anthropic.com/files/4zrzovbb/website/9ea607a5dd67c168093829b701f3a0a6d21156d5.pdf | https://fortune.com/2026/06/11/anthropic-dario-amodei-ai-jobs-tax-displacement-fund/ | https://gizmodo.com/what-happens-if-ai-causes-25-unemployment-anthropic-has-a-concept-of-a-plan-2000770289 | https://www.hrdive.com/news/anthropic-ai-influence-over-the-labor-market-jobs/814670/ | https://www.boston25news.com/news/business/anthropic-pledges/3GJK226Q4U5BVK6DIHKTY6VP5A/</w:t>
      </w:r>
    </w:p>
    <w:p>
      <w:pPr>
        <w:jc w:val="both"/>
      </w:pPr>
      <w:r>
        <w:rPr>
          <w:rFonts w:ascii="Arial" w:hAnsi="Arial"/>
          <w:b w:val="0"/>
          <w:i w:val="0"/>
          <w:sz w:val="19"/>
        </w:rPr>
        <w:t xml:space="preserve">Europäisches Parlament / Rat / Bird &amp; Bird / A&amp;O Shearman / Table.Briefings. (7. Mai 2026 / 16. Juni 2026). </w:t>
      </w:r>
      <w:r>
        <w:rPr>
          <w:rFonts w:ascii="Arial" w:hAnsi="Arial"/>
          <w:b w:val="0"/>
          <w:i/>
          <w:sz w:val="19"/>
        </w:rPr>
        <w:t>Digital Omnibus on AI — Trilog-Einigung 7. Mai 2026; förmliche Bestätigung im Europäischen Parlament am 16. Juni 2026.</w:t>
      </w:r>
      <w:r>
        <w:rPr>
          <w:rFonts w:ascii="Arial" w:hAnsi="Arial"/>
          <w:b w:val="0"/>
          <w:i w:val="0"/>
          <w:sz w:val="19"/>
        </w:rPr>
        <w:t xml:space="preserve"> Verlängerung der Hochrisiko-Pflichten gemäß Anhang I bis 2. August 2028, Anhang III bis 2. Dezember 2027; Art. 50-Kennzeichnungspflichten bis 2. November 2026 verlängert; GPAI-Befugnisse der Kommission ab 2. August 2026; Rats-Annahme und Veröffentlichung im EU-Amtsblatt im Juli 2026 erwartet. https://www.twobirds.com/en/insights/2026/digital-omnibus-on-ai-trilogue-stalls-ahead-of-the-ai-act-deadline | https://table.media/en/europe/news/ai-omnibus-parliament-approves-trilogue-outcome | https://www.aoshearman.com/en/insights/ao-shearman-on-data/digital-omnibus-on-ai-the-trilogue-deal-is-done-what-made-it-what-didnt-and-what-changed</w:t>
      </w:r>
    </w:p>
    <w:p>
      <w:pPr>
        <w:jc w:val="both"/>
      </w:pPr>
      <w:r>
        <w:rPr>
          <w:rFonts w:ascii="Arial" w:hAnsi="Arial"/>
          <w:b w:val="0"/>
          <w:i w:val="0"/>
          <w:sz w:val="19"/>
        </w:rPr>
        <w:t xml:space="preserve">Deutscher Bundestag / Bundesgesundheitsministerium. (12./22. Juni 2026). </w:t>
      </w:r>
      <w:r>
        <w:rPr>
          <w:rFonts w:ascii="Arial" w:hAnsi="Arial"/>
          <w:b w:val="0"/>
          <w:i/>
          <w:sz w:val="19"/>
        </w:rPr>
        <w:t>GKV-Beitragssatzstabilisierungsgesetz — erste Bundestagslesung (12. Juni 2026); öffentliche Anhörung im Gesundheitsausschuss (22. Juni 2026, &gt; 90 Sachverständige); strukturelle GKV-Finanzierungslücke bis 2030 in der Größenordnung von 40 Mrd. EUR bestätigt.</w:t>
      </w:r>
      <w:r>
        <w:rPr>
          <w:rFonts w:ascii="Arial" w:hAnsi="Arial"/>
          <w:b w:val="0"/>
          <w:i w:val="0"/>
          <w:sz w:val="19"/>
        </w:rPr>
        <w:t xml:space="preserve"> https://www.bundestag.de/dokumente/textarchiv/2026/kw24-de-gkv-1181958 | https://www.bundestag.de/ausschuesse/gesundheit/anhoerungen/1184692-1184692</w:t>
      </w:r>
    </w:p>
    <w:p>
      <w:pPr>
        <w:jc w:val="both"/>
      </w:pPr>
      <w:r>
        <w:rPr>
          <w:rFonts w:ascii="Arial" w:hAnsi="Arial"/>
          <w:b w:val="0"/>
          <w:i w:val="0"/>
          <w:sz w:val="19"/>
        </w:rPr>
        <w:t xml:space="preserve">OECD Inclusive Framework / EY / Grant Thornton. (18. Mai 2026 / 30. Juni 2026). </w:t>
      </w:r>
      <w:r>
        <w:rPr>
          <w:rFonts w:ascii="Arial" w:hAnsi="Arial"/>
          <w:b w:val="0"/>
          <w:i/>
          <w:sz w:val="19"/>
        </w:rPr>
        <w:t>Pillar Two — Common Understanding on late-filing penalties; erste GloBE Information Return (GIR) für kalenderjahrgebundene Steuerpflichtige fällig am 30. Juni 2026.</w:t>
      </w:r>
      <w:r>
        <w:rPr>
          <w:rFonts w:ascii="Arial" w:hAnsi="Arial"/>
          <w:b w:val="0"/>
          <w:i w:val="0"/>
          <w:sz w:val="19"/>
        </w:rPr>
        <w:t xml:space="preserve"> Operativer Beginn des globalen Mindeststeuerregimes; Konsolidierung des Side-by-Side-Pakets. https://www.oecd.org/en/topics/sub-issues/global-minimum-tax/global-anti-base-erosion-model-rules-pillar-two.html | https://taxnews.ey.com/news/2026-0226-oecd-releases-side-by-side-package-on-pillar-two-global-minimum-tax-detailed-review</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Challenger, Gray &amp; Christmas / Inc. / Tech Jacks Solutions. (4. Juni 2026). </w:t>
      </w:r>
      <w:r>
        <w:rPr>
          <w:rFonts w:ascii="Arial" w:hAnsi="Arial"/>
          <w:b w:val="0"/>
          <w:i/>
          <w:sz w:val="19"/>
        </w:rPr>
        <w:t>Challenger Job Cut Announcement Report — Mai 2026: AI Is Now the Top Self-Reported Layoff Driver in the U.S.</w:t>
      </w:r>
      <w:r>
        <w:rPr>
          <w:rFonts w:ascii="Arial" w:hAnsi="Arial"/>
          <w:b w:val="0"/>
          <w:i w:val="0"/>
          <w:sz w:val="19"/>
        </w:rPr>
        <w:t xml:space="preserve"> Erstmals in der Tracker-Historie ist KI mit 38.579 angekündigten KI-bezogenen US-Stellenstreichungen im Mai 2026 (rund 40 % des Monatsvolumens) der häufigst genannte einzelne Streichungsgrund; KI-bezogen YTD 87.714 — bereits jetzt höher als der Gesamt-2025-KI-Wert (54.836). Großstreichungen im Mai: Oracle (rund 21.000 zwischen März und Juni), Meta (rund 8.000 im Mai), PayPal (rund 4.500 als Teil des 20-%-Programms). https://www.inc.com/moses-jeanfrancois/ai-closings-job-cut-report/91341837 | https://techjacksolutions.com/ai-brief/ai-is-now-the-top-self-reported-layoff-driver-in-the-us-chal/</w:t>
      </w:r>
    </w:p>
    <w:p>
      <w:pPr>
        <w:jc w:val="both"/>
      </w:pPr>
      <w:r>
        <w:rPr>
          <w:rFonts w:ascii="Arial" w:hAnsi="Arial"/>
          <w:b w:val="0"/>
          <w:i w:val="0"/>
          <w:sz w:val="19"/>
        </w:rPr>
        <w:t xml:space="preserve">TrueUp / Outsource Accelerator / TechCrunch (22./24. Juni 2026) / Salesforce Ben. (Stand Juni 2026). </w:t>
      </w:r>
      <w:r>
        <w:rPr>
          <w:rFonts w:ascii="Arial" w:hAnsi="Arial"/>
          <w:b w:val="0"/>
          <w:i/>
          <w:sz w:val="19"/>
        </w:rPr>
        <w:t>Tech Layoffs Tracker — Tagesfortschreibung Stand 24. Juni 2026 (185.894 Personen aus 267 Layoff-Ereignissen, rund 893 pro Tag; gesamttech-Tracker 415 Ereignisse / 157.147 Personen) / The running list — major tech layoffs in 2026 where employers cited AI / AI was supposed to kill engineering jobs, but new data suggests they're the most resilient / 100,000 Tech Layoffs Later: Companies Admit to Not Seeing AI Returns.</w:t>
      </w:r>
      <w:r>
        <w:rPr>
          <w:rFonts w:ascii="Arial" w:hAnsi="Arial"/>
          <w:b w:val="0"/>
          <w:i w:val="0"/>
          <w:sz w:val="19"/>
        </w:rPr>
        <w:t xml:space="preserve"> https://www.trueup.io/layoffs | https://news.outsourceaccelerator.com/tech-ai-layoff-wave/ | https://techcrunch.com/2026/06/22/the-running-list-major-tech-layoffs-in-2026-where-employers-cited-ai/ | https://techcrunch.com/2026/06/24/ai-was-supposed-to-kill-engineering-jobs-but-new-data-suggests-theyre-the-most-resilient/ | https://www.salesforceben.com/100000-tech-layoffs-later-companies-admit-to-not-seeing-ai-returns/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Juni 2026 (Schnitt am 26. Juni 2026 — Lauf 002 vom 26. Juni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der am 4. Juni 2026 veröffentlichte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(KI erstmals häufigst genannter einzelner Streichungsgrund mit 38.579 KI-bezogenen US-Stellenstreichungen im Mai 2026 — rund 40 % des Monatsvolumens; KI-bezogene Streichungen YTD 87.714 — bereits höher als der Gesamt-2025-KI-Wert von 54.836; im Mai u. a. Oracle 21.000 zwischen März und Juni, Meta 8.000, PayPal 4.500); des aktualisierten TrueUp-Tracker-Standes zum 24. Juni 2026 (185.894 Personen aus 267 Layoff-Ereignissen, rund 893 Stellen pro Tag; gesamttech-Tracker 415 Ereignisse / 157.147 Personen); der am 3. Juni 2026 erfolgten Einbringung des Sanders-Entwurfs </w:t>
      </w:r>
      <w:r>
        <w:rPr>
          <w:rFonts w:ascii="Arial" w:hAnsi="Arial"/>
          <w:b w:val="0"/>
          <w:i/>
          <w:sz w:val="19"/>
        </w:rPr>
        <w:t>American AI Sovereign Wealth Fund Act</w:t>
      </w:r>
      <w:r>
        <w:rPr>
          <w:rFonts w:ascii="Arial" w:hAnsi="Arial"/>
          <w:b w:val="0"/>
          <w:i w:val="0"/>
          <w:sz w:val="19"/>
        </w:rPr>
        <w:t xml:space="preserve"> (einmalige 50-%-Eigenkapital-Abgabe auf KI-Konzerne mit &gt; 200 Mio. USD Bruttoeinnahmen aus AI-Trades-or-Businesses; Übergang der Aktien in einen öffentlichen Fonds mit Bürgerstimmrecht und Dividende) und der parallel von Senatorin Elizabeth Warren publizierten KI-Abgabe; des am 10. Juni 2026 vorgelegten </w:t>
      </w:r>
      <w:r>
        <w:rPr>
          <w:rFonts w:ascii="Arial" w:hAnsi="Arial"/>
          <w:b w:val="0"/>
          <w:i/>
          <w:sz w:val="19"/>
        </w:rPr>
        <w:t>Anthropic Economic Policy Framework</w:t>
      </w:r>
      <w:r>
        <w:rPr>
          <w:rFonts w:ascii="Arial" w:hAnsi="Arial"/>
          <w:b w:val="0"/>
          <w:i w:val="0"/>
          <w:sz w:val="19"/>
        </w:rPr>
        <w:t xml:space="preserve"> mit dreistufiger Arbeitslosenquoten-Reaktionsmatrix (5 % — Universal Capital Accounts mit AI-Equity, Workforce-Training-Grants, Lizenzschranken-Reform, Lohnversicherung; 10 % — automatische UI-Extensions, Grundbedürfnishilfe; beispielloses Niveau — Common Income Floor, AI-Use-Levies, UBI, AI Sovereign Wealth Fund) und einer Anthropic-Eigenleistung von 350 Mio. USD (200 Mio. Economic Futures Research Fund + 150 Mio. Weiterbildung); der am 7. Mai 2026 erzielten und am 16. Juni 2026 vom Europäischen Parlament förmlich bestätigten Trilog-Einigung zum </w:t>
      </w:r>
      <w:r>
        <w:rPr>
          <w:rFonts w:ascii="Arial" w:hAnsi="Arial"/>
          <w:b w:val="0"/>
          <w:i/>
          <w:sz w:val="19"/>
        </w:rPr>
        <w:t>Digital Omnibus on AI</w:t>
      </w:r>
      <w:r>
        <w:rPr>
          <w:rFonts w:ascii="Arial" w:hAnsi="Arial"/>
          <w:b w:val="0"/>
          <w:i w:val="0"/>
          <w:sz w:val="19"/>
        </w:rPr>
        <w:t xml:space="preserve"> (Hochrisiko-Anhang-III bis 2. Dezember 2027, Anhang-I bis 2. August 2028, Art. 50-Kennzeichnung bis 2. November 2026; Rats-Annahme im Juli 2026 erwartet); der ersten Bundestagslesung des </w:t>
      </w:r>
      <w:r>
        <w:rPr>
          <w:rFonts w:ascii="Arial" w:hAnsi="Arial"/>
          <w:b w:val="0"/>
          <w:i/>
          <w:sz w:val="19"/>
        </w:rPr>
        <w:t>GKV-Beitragssatzstabilisierungsgesetzes</w:t>
      </w:r>
      <w:r>
        <w:rPr>
          <w:rFonts w:ascii="Arial" w:hAnsi="Arial"/>
          <w:b w:val="0"/>
          <w:i w:val="0"/>
          <w:sz w:val="19"/>
        </w:rPr>
        <w:t xml:space="preserve"> am 12. Juni 2026 sowie der öffentlichen Anhörung im Gesundheitsausschuss am 22. Juni 2026 (&gt; 90 Sachverständige; bestätigte Größenordnung einer strukturellen GKV-Finanzierungslücke bis 2030 von rund 40 Mrd. EUR) und der zum 30. Juni 2026 auslaufenden Frist für die erste </w:t>
      </w:r>
      <w:r>
        <w:rPr>
          <w:rFonts w:ascii="Arial" w:hAnsi="Arial"/>
          <w:b w:val="0"/>
          <w:i/>
          <w:sz w:val="19"/>
        </w:rPr>
        <w:t>GloBE Information Return</w:t>
      </w:r>
      <w:r>
        <w:rPr>
          <w:rFonts w:ascii="Arial" w:hAnsi="Arial"/>
          <w:b w:val="0"/>
          <w:i w:val="0"/>
          <w:sz w:val="19"/>
        </w:rPr>
        <w:t xml:space="preserve"> (GIR) im OECD-Pillar-2-Regime in Verbindung mit der OECD </w:t>
      </w:r>
      <w:r>
        <w:rPr>
          <w:rFonts w:ascii="Arial" w:hAnsi="Arial"/>
          <w:b w:val="0"/>
          <w:i/>
          <w:sz w:val="19"/>
        </w:rPr>
        <w:t>Common Understanding</w:t>
      </w:r>
      <w:r>
        <w:rPr>
          <w:rFonts w:ascii="Arial" w:hAnsi="Arial"/>
          <w:b w:val="0"/>
          <w:i w:val="0"/>
          <w:sz w:val="19"/>
        </w:rPr>
        <w:t xml:space="preserve"> zu Verspätungs- und Durchsetzungsfragen vom 18. Mai 2026.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