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April 2026</w:t>
      </w:r>
    </w:p>
    <w:p>
      <w:pPr>
        <w:jc w:val="center"/>
      </w:pPr>
      <w:r>
        <w:rPr>
          <w:rFonts w:ascii="Arial" w:hAnsi="Arial"/>
          <w:b w:val="0"/>
          <w:i w:val="0"/>
          <w:color w:val="666666"/>
          <w:sz w:val="18"/>
        </w:rPr>
        <w:t>Version 5.0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Wissenschaftliche Dienste des Deutschen Bundestages) sowie jüngste Politikpapiere (OpenAI April 2026, Sanders-Report Oktober 2025, OECD Pillar-Two-„Side-by-Side"-Guidance Januar 2026)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jc w:val="both"/>
      </w:pPr>
      <w:r>
        <w:rPr>
          <w:rFonts w:ascii="Arial" w:hAnsi="Arial"/>
          <w:b w:val="0"/>
          <w:i w:val="0"/>
          <w:sz w:val="19"/>
        </w:rPr>
        <w:t>Die Wissenschaftlichen Dienste des Deutschen Bundestages haben den aktuellen Diskussionsstand in einer Kurzinformation (WD 4 – 3000 – 040/25, 4. September 2025) aufgearbeitet: „Aspekte einer Wertschöpfungsabgabe bzw. -steuer, die über die Finanzierung der Sozialversicherungssysteme hinausgehen". Das Papier skizziert verschiedene denkbare Bemessungsgrundlagen für eine Robotersteuer — darunter ein fiktiv zugerechneter Lohn für die von einer Maschine verrichtete Arbeit analog zu einem menschlichen Beschäftigten sowie eine objekt- oder besitzbezogene Steuer auf Roboter — und diskutiert sie im Zusammenhang mit der Wertschöpfungsabgabe und den OECD-Reforminitiativen. Die Ausarbeitung ist politisch neutral angelegt, dokumentiert aber, dass die Idee im parlamentarischen Betrieb wieder ernsthaft referenziert wird.</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Am 5. Januar 2026 hat die OECD im Inclusive Framework ein ergänzendes „Side-by-Side"-Paket veröffentlicht, nach dem US-gemutterte multinationale Konzerne unter bestimmten Voraussetzungen von der Undertaxed Profits Rule (UTPR) und der Income Inclusion Rule (IIR) des Pillar 2 ausgenommen werden; Qualifizierte inländische Mindeststeuern (Qualified Domestic Minimum Top-Up Taxes, QDMTT) bleiben dagegen anwendbar. Die USA waren zum Stand April 2026 die bislang einzige Jurisdiktion, die das OECD-Sekretariat auf der sogenannten Central-Record-Liste geführt hat. Für die europäische KI-Besteuerungsdebatte bedeutet dieser Schritt eine spürbare Verengung des fiskalischen Zugriffs auf die US-dominierten Anbieter von KI-Basismodellen — das in Kapitel 8 diskutierte Rohstoff-Analogon wird damit sichtbarer, nicht schwächer.</w:t>
      </w:r>
    </w:p>
    <w:p>
      <w:pPr>
        <w:jc w:val="both"/>
      </w:pPr>
      <w:r>
        <w:rPr>
          <w:rFonts w:ascii="Arial" w:hAnsi="Arial"/>
          <w:b w:val="0"/>
          <w:i w:val="0"/>
          <w:sz w:val="19"/>
        </w:rPr>
        <w:t>Auf der regulatorischen Seite tritt die EU-KI-Verordnung (AI Act) am 2. August 2026 in wesentlichen Teilen in vollen Wirkbetrieb: Die Pflichten für Hochrisiko-KI-Systeme gemäß Anhang III, die Transparenz- und Kennzeichnungspflichten für generative Systeme sowie die nationalen Aufsichtsstrukturen werden ab diesem Datum verbindlich. Für Anbieter von General-Purpose-AI-Modellen, die bereits seit 2. August 2025 regulatorische Pflichten haben, wurden Bestandsmodelle mit einer Übergangsfrist bis 2. August 2027 versehen. Der AI Act ist kein Steuerinstrument, bildet aber zusammen mit dem Data Governance Act, dem European Health Data Space (EHDS) und der Digital Services Tax das regulatorische Ökosystem, in das sich eine KI-bezogene Abgabelogik einpassen müsste.</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„The Big Tech Oligarchs' War Against Workers" (6. Oktober 2025):</w:t>
      </w:r>
      <w:r>
        <w:rPr>
          <w:rFonts w:ascii="Arial" w:hAnsi="Arial"/>
          <w:b w:val="0"/>
          <w:i w:val="0"/>
          <w:sz w:val="19"/>
        </w:rPr>
        <w:t xml:space="preserve"> US-Senator Bernie Sanders, ranghöchstes Mitglied im HELP-Ausschuss (Committee on Health, Education, Labor and Pensions) des US-Senats, veröffentlichte gemeinsam mit dem Minderheitsstab des Ausschusses einen 30-seitigen Bericht, der eine „Robotersteuer" für Unternehmen fordert, die KI einsetzen, um Arbeitsplätze zu ersetzen. Der Bericht stützt sich auf eine ChatGPT-gestützte Modellrechnung und kommt zu dem Ergebnis, dass KI und Automatisierung in den kommenden zehn Jahren bis zu rund 97 Millionen US-Arbeitsplätze substituieren könnten; als besonders betroffen werden u. a. 89 % der Fast-Food- und Counter-Beschäftigten, 64 % der Buchhalter und 47 % der Fernfahrer genannt. Ergänzend fordert der Bericht eine 32-Stunden-Woche bei vollem Lohnausgleich, einen bundesstaatlichen Mindestlohn von 17 US-Dollar, eine Beteiligung der Beschäftigten an automatisierten Unternehmen und ein Verbot von Aktienrückkäufen. Dies ist der bislang konkreteste politische Vorstoß auf US-Bundesebene. Die Methodik ist in der Fachpresse (u. a. Tax Notes vom 20. Oktober 2025, American Enterprise Institute) kritisch kommentiert worden: Kritiker bemängelten die ChatGPT-basierte Schätzung als nicht belastbar und die Definition eines „Roboters" als zu unscharf, um eine operationalisierbare Bemessungsgrundlage zu stützen. Die substanzielle politische Forderung — Verschiebung der Steuerlast von Arbeit auf automatisierendes Kapital — bleibt davon unberührt.</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Workshop im Mai 2026 und ein neues OpenAI-Büro in Washington, D.C.</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weil es großzügig klinge, aber keine konkreten Selbstverpflichtungen des Absenders enthalte — die Robotersteuer zahlten „Unternehmen, die Arbeit automatisieren", nicht spezifisch OpenAI selbst. Eryk Salvaggio hat das Dokument in Tech Policy Press als „Policymercial" bezeichnet — Marketingtext in Gestalt eines Politikvorschlags — und darauf hingewiesen, dass OpenAI in anderen Kontexten (EU AI Act, kalifornische SB 1047) aktiv gegen vergleichbare Regulierung lobbyiert hat. Anton Leicht ergänzte in einer Fortune-Analyse vom 6. April 2026, die vorgeschlagenen Reformen seien politisch so voraussetzungsreich, dass sie eher an ein „Silicon-Valley-Gedankenexperiment" als an umsetzungsfähige Gesetzgebung erinnerten. Europa kommt in dem Papier weder als Partner noch als Modell vor; der Entwurf konzentriert sich explizit auf die USA.</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 Parallel dazu haben die Wissenschaftlichen Dienste des Deutschen Bundestages im September 2025 (WD 4 – 3000 – 040/25) weitergehende Einsatzfelder einer Wertschöpfungsabgabe jenseits der Sozialversicherungsfinanzierung beschrieben — unter anderem die Finanzierung kommunaler Aufgaben sowie die Anschlussfähigkeit an die OECD-Reforminitiativen — und damit die fiskalpolitische Diskussionsbasis im parlamentarischen Raum verbreitert (vgl. § 4.2).</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bereits 2024 in Deutschland mit der „Generationenkapital"-Initiative angelegt wurde und die im Jahr 2026 um zwei komplementäre Bausteine erweitert wurde: das vom Bundestag am 27. März 2026 beschlossene Altersvorsorgedepot (kapitalmarktbasierte Nachfolgelösung für die Riester-Rente, Inkrafttreten 1. Januar 2027) und die zum 1. Januar 2026 in Kraft getretene Aktivrente (steuerlich privilegierter Zuverdienst bis 2.000 Euro monatlich für Regelaltersrentnerinnen und -rentner). Diese Instrumente schaffen keinen Staatsfonds im engeren Sinne, bauen aber erstmals eine breitere Kultur kapitalgedeckter Altersvorsorge in Deutschland auf, an die ein späterer Teilhabefonds institutionell anknüpfen könnte.</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Für die internationale Stufe ist das OECD-„Side-by-Side"-Paket vom 5. Januar 2026 zu berücksichtigen: Es reduziert die praktische Durchgriffswirkung von Pillar 2 auf US-gemutterte Konzerne (UTPR/IIR-Ausnahme bei Anerkennung des US-Steuerregimes; QDMTT bleibt) und verändert damit die Ausgangslage für KI-spezifische Anknüpfungspunkte erheblich. Für die europäische Strategie bedeutet das, dass qualifizierte inländische Mindeststeuern und EU-weit harmonisierte Anknüpfungen an die Nutzungsseite (Digital-Services-Logik, importierte KI-Dienste) an Bedeutung gewinnen, während globale Top-up-Mechanismen bei den größten US-Anbietern an Reichweite verlieren.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 und die sich durch das Side-by-Side-Paket für den Pillar-2-Pfad weiter akzentuiert hat.</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Autor, D., Hazell, J., &amp; Restrepo, P. (2022). Artificial Intelligence and Jobs: Evidence from Online Vacancies. </w:t>
      </w:r>
      <w:r>
        <w:rPr>
          <w:rFonts w:ascii="Arial" w:hAnsi="Arial"/>
          <w:b w:val="0"/>
          <w:i/>
          <w:sz w:val="19"/>
        </w:rPr>
        <w:t>Journal of Labor Economics</w:t>
      </w:r>
      <w:r>
        <w:rPr>
          <w:rFonts w:ascii="Arial" w:hAnsi="Arial"/>
          <w:b w:val="0"/>
          <w:i w:val="0"/>
          <w:sz w:val="19"/>
        </w:rPr>
        <w:t>, 40(S1), S293-S340.</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 xml:space="preserve">Bundestag, Wissenschaftliche Dienste. (4. September 2025). </w:t>
      </w:r>
      <w:r>
        <w:rPr>
          <w:rFonts w:ascii="Arial" w:hAnsi="Arial"/>
          <w:b w:val="0"/>
          <w:i/>
          <w:sz w:val="19"/>
        </w:rPr>
        <w:t>Aspekte einer Wertschöpfungsabgabe bzw. -steuer, die über die Finanzierung der Sozialversicherungssysteme hinausgehen.</w:t>
      </w:r>
      <w:r>
        <w:rPr>
          <w:rFonts w:ascii="Arial" w:hAnsi="Arial"/>
          <w:b w:val="0"/>
          <w:i w:val="0"/>
          <w:sz w:val="19"/>
        </w:rPr>
        <w:t xml:space="preserve"> Ausarbeitung WD 4 – 3000 – 040/25, Fachbereich Haushalt und Finanzen. URL: https://www.bundestag.de/resource/blob/1113012/WD-4-040-25.pdf</w:t>
      </w:r>
    </w:p>
    <w:p>
      <w:pPr>
        <w:jc w:val="both"/>
      </w:pPr>
      <w:r>
        <w:rPr>
          <w:rFonts w:ascii="Arial" w:hAnsi="Arial"/>
          <w:b w:val="0"/>
          <w:i w:val="0"/>
          <w:sz w:val="19"/>
        </w:rPr>
        <w:t xml:space="preserve">Deutscher Bundestag. (27. März 2026). </w:t>
      </w:r>
      <w:r>
        <w:rPr>
          <w:rFonts w:ascii="Arial" w:hAnsi="Arial"/>
          <w:b w:val="0"/>
          <w:i/>
          <w:sz w:val="19"/>
        </w:rPr>
        <w:t>Beschluss des Bundestages zur Reform der steuerlich geförderten privaten Altersvorsorge („Altersvorsorgedepot").</w:t>
      </w:r>
      <w:r>
        <w:rPr>
          <w:rFonts w:ascii="Arial" w:hAnsi="Arial"/>
          <w:b w:val="0"/>
          <w:i w:val="0"/>
          <w:sz w:val="19"/>
        </w:rPr>
        <w:t xml:space="preserve"> Plenarprotokoll/Textarchiv KW 13/2026. URL: https://www.bundestag.de/dokumente/textarchiv/2026/kw13-de-altersvorsorge-1156798</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 xml:space="preserve">Europäische Kommission. (2024/2026). </w:t>
      </w:r>
      <w:r>
        <w:rPr>
          <w:rFonts w:ascii="Arial" w:hAnsi="Arial"/>
          <w:b w:val="0"/>
          <w:i/>
          <w:sz w:val="19"/>
        </w:rPr>
        <w:t>Artificial Intelligence Act – Regulatory Framework and Implementation Timeline.</w:t>
      </w:r>
      <w:r>
        <w:rPr>
          <w:rFonts w:ascii="Arial" w:hAnsi="Arial"/>
          <w:b w:val="0"/>
          <w:i w:val="0"/>
          <w:sz w:val="19"/>
        </w:rPr>
        <w:t xml:space="preserve"> Shaping Europe's digital future. URL: https://digital-strategy.ec.europa.eu/en/policies/regulatory-framework-ai</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 URL: https://doku.iab.de/forschungsbericht/2025/fb2325.pdf</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OECD/G20 Inclusive Framework on BEPS. (5. Januar 2026). </w:t>
      </w:r>
      <w:r>
        <w:rPr>
          <w:rFonts w:ascii="Arial" w:hAnsi="Arial"/>
          <w:b w:val="0"/>
          <w:i/>
          <w:sz w:val="19"/>
        </w:rPr>
        <w:t>Administrative Guidance under the GloBE Rules: Pillar Two – Central Record and „Side-by-Side"-Arrangement.</w:t>
      </w:r>
      <w:r>
        <w:rPr>
          <w:rFonts w:ascii="Arial" w:hAnsi="Arial"/>
          <w:b w:val="0"/>
          <w:i w:val="0"/>
          <w:sz w:val="19"/>
        </w:rPr>
        <w:t xml:space="preserve"> URL: https://www.oecd.org/content/dam/oecd/en/topics/policy-sub-issues/global-minimum-tax/administrative-guidance-globe-rules-pillar-two-central-record-legislation-transitional-qualified-status.pdf</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Automation's Coming Impact on American Workers.</w:t>
      </w:r>
      <w:r>
        <w:rPr>
          <w:rFonts w:ascii="Arial" w:hAnsi="Arial"/>
          <w:b w:val="0"/>
          <w:i w:val="0"/>
          <w:sz w:val="19"/>
        </w:rPr>
        <w:t xml:space="preserve"> US-Senat, Committee on Health, Education, Labor and Pensions (HELP), Minderheitsbericht (Democratic Staff), 30 Seiten. URL: https://www.sanders.senate.gov/wp-content/uploads/10.6.2025-The-Big-Tech-Oligarchs-War-Against-Workers.pdf</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US Department of the Treasury. (Januar 2026). </w:t>
      </w:r>
      <w:r>
        <w:rPr>
          <w:rFonts w:ascii="Arial" w:hAnsi="Arial"/>
          <w:b w:val="0"/>
          <w:i/>
          <w:sz w:val="19"/>
        </w:rPr>
        <w:t>Agreement to Exempt U.S.-Headquartered Companies from Pillar Two Global Minimum Tax Rules („Side-by-Side"-Package).</w:t>
      </w:r>
      <w:r>
        <w:rPr>
          <w:rFonts w:ascii="Arial" w:hAnsi="Arial"/>
          <w:b w:val="0"/>
          <w:i w:val="0"/>
          <w:sz w:val="19"/>
        </w:rPr>
        <w:t xml:space="preserve"> Pressemitteilung. URL: https://home.treasury.gov/news/press-releases/sb0350</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 URL: https://de.euronews.com/next/2026/04/07/robotersteuer-und-vier-tage-woche-so-will-openai-die-ki-wirtschaft-gestalten</w:t>
      </w:r>
    </w:p>
    <w:p>
      <w:pPr>
        <w:jc w:val="both"/>
      </w:pPr>
      <w:r>
        <w:rPr>
          <w:rFonts w:ascii="Arial" w:hAnsi="Arial"/>
          <w:b w:val="0"/>
          <w:i w:val="0"/>
          <w:sz w:val="19"/>
        </w:rPr>
        <w:t>Fortune. (6. April 2026). How people are reacting to OpenAI's 13-page policy paper on AI superintelligence (Beiträge u. a. von Anton Leicht). URL: https://fortune.com/2026/04/06/sam-altman-says-ai-superintelligence-is-so-big-that-we-need-a-new-deal-critics-say-openais-policy-ideas-are-a-cover-for-regulatory-nihilism/</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Salvaggio, E. (April 2026). OpenAI's New ‚Industrial Policy for the Intelligence Age' is a Policymercial. Tech Policy Press. URL: https://www.techpolicy.press/openais-new-industrial-policy-for-the-intelligence-age-is-a-policymercial/</w:t>
      </w:r>
    </w:p>
    <w:p>
      <w:pPr>
        <w:jc w:val="both"/>
      </w:pPr>
      <w:r>
        <w:rPr>
          <w:rFonts w:ascii="Arial" w:hAnsi="Arial"/>
          <w:b w:val="0"/>
          <w:i w:val="0"/>
          <w:sz w:val="19"/>
        </w:rPr>
        <w:t>Tax Notes. (20. Oktober 2025). ‚Robot Tax' Proposal Sparks Skepticism Over Its Practicality.</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i w:val="0"/>
          <w:sz w:val="19"/>
        </w:rPr>
        <w:t>Hinweis zur Aktualität:</w:t>
      </w:r>
      <w:r>
        <w:rPr>
          <w:rFonts w:ascii="Arial" w:hAnsi="Arial"/>
          <w:b w:val="0"/>
          <w:i w:val="0"/>
          <w:sz w:val="19"/>
        </w:rPr>
        <w:t xml:space="preserve"> Dieses Arbeitspapier gibt den Stand April 2026 wieder. Die Debatte entwickelt sich dynamisch, insbesondere im Zuge der OpenAI-Strategiepapiere, der Sanders-Initiative im US-Senat, der Bundestags-Ausarbeitung vom September 2025 sowie der laufenden EU-Regulierungsarbeit zum AI Act (vollständige Anwendbarkeit zum 2. August 2026) und der OECD-„Side-by-Side"-Anpassung von Pillar 2 (Januar 2026).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5.0 — April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