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 Die Aggregat-Linie hat sich mit dem am 5. Juni 2026 veröffentlichten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deutlich verschärft: Im Mai 2026 wurden in den USA 97.006 Stellenstreichungen angekündigt (+16 % gegenüber April; höchster Mai-Wert seit 2020), davon 38.579 explizit KI-bezogen — entsprechend 40 % aller Mai-Streichungen und dem höchsten je in der Challenger-Methodik erfassten Monatswert für KI als Einzelgrund; kumuliert seit Jahresbeginn beläuft sich die KI-attribuierte Marke auf 87.714 Streichungen, was rund 22 % aller bislang im Jahr 2026 angekündigten Streichungen ausmacht und das Gesamtjahresvolumen 2025 (54.836) bereits überschritten hat. </w:t>
      </w:r>
      <w:r>
        <w:rPr>
          <w:rFonts w:ascii="Arial" w:hAnsi="Arial"/>
          <w:b w:val="0"/>
          <w:i/>
          <w:sz w:val="19"/>
        </w:rPr>
        <w:t>TechCrunch</w:t>
      </w:r>
      <w:r>
        <w:rPr>
          <w:rFonts w:ascii="Arial" w:hAnsi="Arial"/>
          <w:b w:val="0"/>
          <w:i w:val="0"/>
          <w:sz w:val="19"/>
        </w:rPr>
        <w:t xml:space="preserve"> hat am 22. Juni 2026 in einer fortlaufenden Sammelliste („The running list: major tech layoffs in 2026 where employers cited AI") die einzelnen, mit KI begründeten Ankündigungen zusammengeführt; aufgenommen sind unter anderem die seit Oktober 2025 angekündigten Oracle-Reduktionen, die nach einer Aktualisierung im Juni 2026 ein Volumen von rund 21.000 Stellen (entsprechend etwa 13 % der globalen Belegschaft) erreichen, eine GitLab-Ankündigung über rund 350 Stellen (rund 14 %, ausdrücklich zur Finanzierung von KI-Infrastruktur), eine ServiceNow-Meldung im niedrigen dreistelligen Bereich sowie die in den Vormonaten bereits eingearbeiteten Microsoft-VRSAR-, Meta- und Amazon-Programme. Der </w:t>
      </w:r>
      <w:r>
        <w:rPr>
          <w:rFonts w:ascii="Arial" w:hAnsi="Arial"/>
          <w:b w:val="0"/>
          <w:i/>
          <w:sz w:val="19"/>
        </w:rPr>
        <w:t>SkillSyncer</w:t>
      </w:r>
      <w:r>
        <w:rPr>
          <w:rFonts w:ascii="Arial" w:hAnsi="Arial"/>
          <w:b w:val="0"/>
          <w:i w:val="0"/>
          <w:sz w:val="19"/>
        </w:rPr>
        <w:t xml:space="preserve">-Tracker weist zum 27. Juni 2026 einen kumulierten Bestand von 185.894 betroffenen Beschäftigten aus 267 Layoff-Ereignissen aus — durchschnittlich rund 1.044 Stellen pro Tag und damit erstmals dauerhaft jenseits der Tausender-Schwelle; nach Tracker-Methodik nennen 56 % aller Ereignisse explizit KI, Automation oder maschinelles Lernen als Treiber (entsprechend 156.270 Beschäftigten in 150 Unternehmen). Auf Konzernebene markiert der Microsoft-VRSAR-Vollzug am 2. Juli 2026 (vgl. § 4.5) den ersten regulär verbindlichen </w:t>
      </w:r>
      <w:r>
        <w:rPr>
          <w:rFonts w:ascii="Arial" w:hAnsi="Arial"/>
          <w:b w:val="0"/>
          <w:i/>
          <w:sz w:val="19"/>
        </w:rPr>
        <w:t>Separation Date</w:t>
      </w:r>
      <w:r>
        <w:rPr>
          <w:rFonts w:ascii="Arial" w:hAnsi="Arial"/>
          <w:b w:val="0"/>
          <w:i w:val="0"/>
          <w:sz w:val="19"/>
        </w:rPr>
        <w:t xml:space="preserve"> des Programms; im Vorlauf berichten </w:t>
      </w:r>
      <w:r>
        <w:rPr>
          <w:rFonts w:ascii="Arial" w:hAnsi="Arial"/>
          <w:b w:val="0"/>
          <w:i/>
          <w:sz w:val="19"/>
        </w:rPr>
        <w:t>Bloomberg</w:t>
      </w:r>
      <w:r>
        <w:rPr>
          <w:rFonts w:ascii="Arial" w:hAnsi="Arial"/>
          <w:b w:val="0"/>
          <w:i w:val="0"/>
          <w:sz w:val="19"/>
        </w:rPr>
        <w:t xml:space="preserve"> und </w:t>
      </w:r>
      <w:r>
        <w:rPr>
          <w:rFonts w:ascii="Arial" w:hAnsi="Arial"/>
          <w:b w:val="0"/>
          <w:i/>
          <w:sz w:val="19"/>
        </w:rPr>
        <w:t>PBS News</w:t>
      </w:r>
      <w:r>
        <w:rPr>
          <w:rFonts w:ascii="Arial" w:hAnsi="Arial"/>
          <w:b w:val="0"/>
          <w:i w:val="0"/>
          <w:sz w:val="19"/>
        </w:rPr>
        <w:t xml:space="preserve"> (Anfang Juli 2026) von einer zusätzlichen Welle im Microsoft-Konzern mit Schwerpunkt auf der Xbox-, Gaming-, Sales- und Hardware-Sparte unter der neuen Xbox-CEO Asha Sharma; eine konzernseitige Bestätigung des konkreten Stellenvolumens lag zum Schnitt dieses Laufs noch nicht vor, die Berichterstattung ordnet die Welle als „größten Microsoft-Personalabbau seit Jahren" ein.</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dritte Iteration der Index-Reihe (</w:t>
      </w:r>
      <w:r>
        <w:rPr>
          <w:rFonts w:ascii="Arial" w:hAnsi="Arial"/>
          <w:b w:val="0"/>
          <w:i/>
          <w:sz w:val="19"/>
        </w:rPr>
        <w:t>„Cadences"</w:t>
      </w:r>
      <w:r>
        <w:rPr>
          <w:rFonts w:ascii="Arial" w:hAnsi="Arial"/>
          <w:b w:val="0"/>
          <w:i w:val="0"/>
          <w:sz w:val="19"/>
        </w:rPr>
        <w:t xml:space="preserve">, Juni 2026) verbindet die nutzungsdatenbasierte Auswertung erstmals mit rund 9.700 verlinkten Survey-Antworten aus dem Mai 2026 und Anfang Juni 2026: Die Claude-Nutzung folgt regional erkennbar den lokalen Arbeitsrhythmen (Wochentags-Spitzen, regional verschobene Tagesprofile), und der Anteil agentischer Tasks — vor allem über </w:t>
      </w:r>
      <w:r>
        <w:rPr>
          <w:rFonts w:ascii="Arial" w:hAnsi="Arial"/>
          <w:b w:val="0"/>
          <w:i/>
          <w:sz w:val="19"/>
        </w:rPr>
        <w:t>Claude Code</w:t>
      </w:r>
      <w:r>
        <w:rPr>
          <w:rFonts w:ascii="Arial" w:hAnsi="Arial"/>
          <w:b w:val="0"/>
          <w:i w:val="0"/>
          <w:sz w:val="19"/>
        </w:rPr>
        <w:t xml:space="preserve"> und </w:t>
      </w:r>
      <w:r>
        <w:rPr>
          <w:rFonts w:ascii="Arial" w:hAnsi="Arial"/>
          <w:b w:val="0"/>
          <w:i/>
          <w:sz w:val="19"/>
        </w:rPr>
        <w:t>Cowork</w:t>
      </w:r>
      <w:r>
        <w:rPr>
          <w:rFonts w:ascii="Arial" w:hAnsi="Arial"/>
          <w:b w:val="0"/>
          <w:i w:val="0"/>
          <w:sz w:val="19"/>
        </w:rPr>
        <w:t xml:space="preserve"> — steigt im Berichtsfenster spürbar an. Selbstauskünfte der Heavy-User zeigen eine systematisch optimistischere Erwartung an Job-Sicherheit und Gehaltsentwicklung als die Vergleichsgruppe; die Survey-Linkage erlaubt erstmals einen Abgleich von Selbstwahrnehmung und tatsächlichem Nutzungsverhalten und stützt damit den in der vorausgegangenen 81k-Analyse erstmals dokumentierten Befund einer </w:t>
      </w:r>
      <w:r>
        <w:rPr>
          <w:rFonts w:ascii="Arial" w:hAnsi="Arial"/>
          <w:b w:val="0"/>
          <w:i/>
          <w:sz w:val="19"/>
        </w:rPr>
        <w:t>Produktivitäts-Angst-Paradoxie</w:t>
      </w:r>
      <w:r>
        <w:rPr>
          <w:rFonts w:ascii="Arial" w:hAnsi="Arial"/>
          <w:b w:val="0"/>
          <w:i w:val="0"/>
          <w:sz w:val="19"/>
        </w:rPr>
        <w:t xml:space="preserve"> nun gegenstandsfest auf der Aggregatebene.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 xml:space="preserve">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 Auf der Ebene des KI-spezifischen Sekundärrechts ist der </w:t>
      </w:r>
      <w:r>
        <w:rPr>
          <w:rFonts w:ascii="Arial" w:hAnsi="Arial"/>
          <w:b w:val="0"/>
          <w:i/>
          <w:sz w:val="19"/>
        </w:rPr>
        <w:t>Digital Omnibus on AI</w:t>
      </w:r>
      <w:r>
        <w:rPr>
          <w:rFonts w:ascii="Arial" w:hAnsi="Arial"/>
          <w:b w:val="0"/>
          <w:i w:val="0"/>
          <w:sz w:val="19"/>
        </w:rPr>
        <w:t xml:space="preserve"> im Mai/Juni 2026 in das Plenum-Verfahren übergegangen: Nach der dritten Trilogrunde am 7. Mai 2026 hat das Europäische Parlament am 16. Juni 2026 in Plenarposition zugestimmt; die Ratsannahme soll noch unter der zypriotischen Präsidentschaft vor dem 30. Juni 2026 erfolgen, andernfalls greift die irische Präsidentschaft. Die Stichtage für die Anwendbarkeit der Hochrisiko-Pflichten verschieben sich nach dem nun vorliegenden Trilog-Konsens auf den 2. Dezember 2027 (Anhang III) und den 2. August 2028 (Anhang I); die ursprünglich auf den 2. August 2026 datierte volle Anwendbarkeit der Hauptbestimmungen bleibt als ungeschmälerte „hard wall" bestehen. Steuerrechtlich ist dieser Pfad relevant, weil eine zukünftige fiskalische Anknüpfung an Hochrisiko-KI-Tatbestände einen verlässlichen sekundärrechtlichen Bezugsrahmen voraussetzt — und der Trilog-Konsens damit den frühest möglichen Anknüpfungszeitpunkt einer regelgebundenen KI-Besteuerung um rund 16 Monate verschiebt.</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 Auf der </w:t>
      </w:r>
      <w:r>
        <w:rPr>
          <w:rFonts w:ascii="Arial" w:hAnsi="Arial"/>
          <w:b w:val="0"/>
          <w:i/>
          <w:sz w:val="19"/>
        </w:rPr>
        <w:t>#beBETA 2026</w:t>
      </w:r>
      <w:r>
        <w:rPr>
          <w:rFonts w:ascii="Arial" w:hAnsi="Arial"/>
          <w:b w:val="0"/>
          <w:i w:val="0"/>
          <w:sz w:val="19"/>
        </w:rPr>
        <w:t>-Konferenz des Bundesverbands Digitalpublisher und Zeitungsverleger (BDZV) im Juni 2026 hat Weimer den Vorschlag rhetorisch geschärft und ihn explizit nicht mehr als „Steuer", sondern als „Plattform-Solidaritätsabgabe" — und damit als zweckgebundenen, „ordoliberalen Eingriff" — bezeichnet; die fiskaljuristisch zentrale Unterscheidung zwischen voraussetzungsloser Steuer und voraussetzungsgebundener Sonderabgabe wird damit erstmals offen zur Kernbegründung des deutschen Konzepts. Im KI-Kontext nennt Weimer als zusätzliche Begründungsachse den Schutz journalistischer Inhalte vor KI-Training; für die hier geführte KI-Steuerdebatte ist diese Verschiebung relevant, weil sie das deutsche Plattform-Konzept anschlussfähig macht an die in § 5.1 entwickelte Wertschöpfungsabgaben-Logik (zweckgebundene Sonderabgabe statt allgemeiner Steuer), ohne den Gegenstand zu identifizieren.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Diskurs mit dem </w:t>
      </w:r>
      <w:r>
        <w:rPr>
          <w:rFonts w:ascii="Arial" w:hAnsi="Arial"/>
          <w:b w:val="0"/>
          <w:i/>
          <w:sz w:val="19"/>
        </w:rPr>
        <w:t>American AI Sovereign Wealth Fund Act</w:t>
      </w:r>
      <w:r>
        <w:rPr>
          <w:rFonts w:ascii="Arial" w:hAnsi="Arial"/>
          <w:b w:val="0"/>
          <w:i w:val="0"/>
          <w:sz w:val="19"/>
        </w:rPr>
        <w:t xml:space="preserve"> fortgeschrieben — einem deutlich weitergehenden Eigentums- statt Ertragsansatz: KI-Unternehmen mit einem Umsatz von mehr als 200 Millionen US-Dollar sollen eine einmalige Aktienabgabe von 50 % ihrer ausstehenden Anteile an einen neu zu schaffenden, präsidial nominierten und vom Senat zu bestätigenden siebenköpfigen Treuhandfonds entrichten; aus dem geschätzten Fondswert von rund sieben Billionen US-Dollar soll eine jährliche Dividende von rund 1.000 US-Dollar pro US-Bürger ausgeschüttet sowie ein „Public Voting Stake" zur demokratischen Kontrolle eingerichtet werden. Der Tatbestand erfasst nach der von </w:t>
      </w:r>
      <w:r>
        <w:rPr>
          <w:rFonts w:ascii="Arial" w:hAnsi="Arial"/>
          <w:b w:val="0"/>
          <w:i/>
          <w:sz w:val="19"/>
        </w:rPr>
        <w:t>Roll Call</w:t>
      </w:r>
      <w:r>
        <w:rPr>
          <w:rFonts w:ascii="Arial" w:hAnsi="Arial"/>
          <w:b w:val="0"/>
          <w:i w:val="0"/>
          <w:sz w:val="19"/>
        </w:rPr>
        <w:t xml:space="preserve"> (18. Juni 2026) referierten Bill-Sprache ausdrücklich Datacenter, Compute-Infrastruktur und „advanced robotics"; OpenAI, Anthropic und xAI werden in der Berichterstattung (</w:t>
      </w:r>
      <w:r>
        <w:rPr>
          <w:rFonts w:ascii="Arial" w:hAnsi="Arial"/>
          <w:b w:val="0"/>
          <w:i/>
          <w:sz w:val="19"/>
        </w:rPr>
        <w:t>Axios</w:t>
      </w:r>
      <w:r>
        <w:rPr>
          <w:rFonts w:ascii="Arial" w:hAnsi="Arial"/>
          <w:b w:val="0"/>
          <w:i w:val="0"/>
          <w:sz w:val="19"/>
        </w:rPr>
        <w:t>, 18. Juni 2026) namentlich als Adressaten benannt. Die Reaktion des Weißen Hauses ist offen, einzelne Berichte deuten auf partielle Sympathie für die Public-Equity-Idee jenseits der parteipolitischen Trennlinie hin. Steuerdogmatisch ist der Entwurf für die hier geführte Debatte deshalb relevant, weil er erstmals in einem US-Senatsentwurf an die Eigentumsstruktur (Aktienstake) statt an Umsatz oder Gewinn (Robotersteuer im engeren Sinn) anknüpft — eine alternative Mechanik, die das in § 5.4 entwickelte Staatsfondsmodell auf US-Boden in einen formalen Gesetzestext überführt. Die Aussicht auf Annahme des Entwurfs in einem republikanisch geführten Kongress gilt unverändert als gering; als Signalgebung ist die Sanders-Linie damit zum bislang bestkonfigurierten politischen Vorstoß auf US-Bundesebene geworden.</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w:t>
      </w:r>
      <w:r>
        <w:rPr>
          <w:rFonts w:ascii="Arial" w:hAnsi="Arial"/>
          <w:b w:val="0"/>
          <w:i/>
          <w:sz w:val="19"/>
        </w:rPr>
        <w:t>Connecticut Artificial Intelligence Responsibility and Transparency Act</w:t>
      </w:r>
      <w:r>
        <w:rPr>
          <w:rFonts w:ascii="Arial" w:hAnsi="Arial"/>
          <w:b w:val="0"/>
          <w:i w:val="0"/>
          <w:sz w:val="19"/>
        </w:rPr>
        <w:t xml:space="preserve"> am 27. Mai 2026 unterzeichnet (Aktenzeichen Pressemitteilung: „Governor Lamont Signs Legislation Establishing Youth Online Safety Protections, Regulations Over Artificial Intelligence …").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Anthropic-Doppelpaket (10. Juni 2026):</w:t>
      </w:r>
      <w:r>
        <w:rPr>
          <w:rFonts w:ascii="Arial" w:hAnsi="Arial"/>
          <w:b w:val="0"/>
          <w:i w:val="0"/>
          <w:sz w:val="19"/>
        </w:rPr>
        <w:t xml:space="preserve"> Erstmals hat mit Anthropic ein führendes Frontier-Labor selbst eine eigene Besteuerung in einem strukturierten Politikpapier vorgeschlagen. Am 10. Juni 2026 hat Anthropic unter dem Titel </w:t>
      </w:r>
      <w:r>
        <w:rPr>
          <w:rFonts w:ascii="Arial" w:hAnsi="Arial"/>
          <w:b w:val="0"/>
          <w:i/>
          <w:sz w:val="19"/>
        </w:rPr>
        <w:t>„Preparing for AI's economic impact: exploring policy responses"</w:t>
      </w:r>
      <w:r>
        <w:rPr>
          <w:rFonts w:ascii="Arial" w:hAnsi="Arial"/>
          <w:b w:val="0"/>
          <w:i w:val="0"/>
          <w:sz w:val="19"/>
        </w:rPr>
        <w:t xml:space="preserve"> einen </w:t>
      </w:r>
      <w:r>
        <w:rPr>
          <w:rFonts w:ascii="Arial" w:hAnsi="Arial"/>
          <w:b w:val="0"/>
          <w:i/>
          <w:sz w:val="19"/>
        </w:rPr>
        <w:t>Economic Policy Framework</w:t>
      </w:r>
      <w:r>
        <w:rPr>
          <w:rFonts w:ascii="Arial" w:hAnsi="Arial"/>
          <w:b w:val="0"/>
          <w:i w:val="0"/>
          <w:sz w:val="19"/>
        </w:rPr>
        <w:t xml:space="preserve"> (begleitendes PDF), ergänzt um einen Essay des Vorstandsvorsitzenden Dario Amodei (</w:t>
      </w:r>
      <w:r>
        <w:rPr>
          <w:rFonts w:ascii="Arial" w:hAnsi="Arial"/>
          <w:b w:val="0"/>
          <w:i/>
          <w:sz w:val="19"/>
        </w:rPr>
        <w:t>„Policy on the AI Exponential"</w:t>
      </w:r>
      <w:r>
        <w:rPr>
          <w:rFonts w:ascii="Arial" w:hAnsi="Arial"/>
          <w:b w:val="0"/>
          <w:i w:val="0"/>
          <w:sz w:val="19"/>
        </w:rPr>
        <w:t xml:space="preserve">), veröffentlicht. Der Rahmen schlägt eine </w:t>
      </w:r>
      <w:r>
        <w:rPr>
          <w:rFonts w:ascii="Arial" w:hAnsi="Arial"/>
          <w:b w:val="0"/>
          <w:i/>
          <w:sz w:val="19"/>
        </w:rPr>
        <w:t>gestufte Skalenarchitektur</w:t>
      </w:r>
      <w:r>
        <w:rPr>
          <w:rFonts w:ascii="Arial" w:hAnsi="Arial"/>
          <w:b w:val="0"/>
          <w:i w:val="0"/>
          <w:sz w:val="19"/>
        </w:rPr>
        <w:t xml:space="preserve"> fiskalischer Reaktion vor, deren Auslöser an die gemessene KI-induzierte Arbeitslosigkeit gekoppelt ist (Schwellen u. a. bei 5 % und 10 % Arbeitslosigkeit, eine dritte Schwelle für „beispiellose" Disruption). Konkret stellt Anthropic eine Steuer von 3 % auf den eigenen KI-Umsatz zur Diskussion, deren Aufkommen zur Finanzierung von Programmen für KI-verdrängte Beschäftigte und Übergangsmaßnahmen verwendet werden soll; </w:t>
      </w:r>
      <w:r>
        <w:rPr>
          <w:rFonts w:ascii="Arial" w:hAnsi="Arial"/>
          <w:b w:val="0"/>
          <w:i/>
          <w:sz w:val="19"/>
        </w:rPr>
        <w:t>Bloomberg Tax</w:t>
      </w:r>
      <w:r>
        <w:rPr>
          <w:rFonts w:ascii="Arial" w:hAnsi="Arial"/>
          <w:b w:val="0"/>
          <w:i w:val="0"/>
          <w:sz w:val="19"/>
        </w:rPr>
        <w:t xml:space="preserve"> (10. Juni 2026) ordnet den Vorschlag steuerrechtlich ein und referiert Amodeis flankierende Forderung nach einem Universal-Basic-Income-Pfad. Begleitet wird das Framework von einer Selbstverpflichtung in Höhe von 350 Millionen US-Dollar: 200 Millionen US-Dollar für einen </w:t>
      </w:r>
      <w:r>
        <w:rPr>
          <w:rFonts w:ascii="Arial" w:hAnsi="Arial"/>
          <w:b w:val="0"/>
          <w:i/>
          <w:sz w:val="19"/>
        </w:rPr>
        <w:t>Economic Futures Research Fund</w:t>
      </w:r>
      <w:r>
        <w:rPr>
          <w:rFonts w:ascii="Arial" w:hAnsi="Arial"/>
          <w:b w:val="0"/>
          <w:i w:val="0"/>
          <w:sz w:val="19"/>
        </w:rPr>
        <w:t xml:space="preserve"> und 150 Millionen US-Dollar für ein </w:t>
      </w:r>
      <w:r>
        <w:rPr>
          <w:rFonts w:ascii="Arial" w:hAnsi="Arial"/>
          <w:b w:val="0"/>
          <w:i/>
          <w:sz w:val="19"/>
        </w:rPr>
        <w:t>Claude Corps Fellowship</w:t>
      </w:r>
      <w:r>
        <w:rPr>
          <w:rFonts w:ascii="Arial" w:hAnsi="Arial"/>
          <w:b w:val="0"/>
          <w:i w:val="0"/>
          <w:sz w:val="19"/>
        </w:rPr>
        <w:t xml:space="preserve"> (Bewerbungsschluss 17. Juli 2026, 100 Plätze, Stipendiensumme 85.000 US-Dollar pro Jahr). Bemerkenswert ist der Kontrast zum OpenAI-Vorschlag: Wo OpenAI im April 2026 die fiskalische Last konzeptionell auf „Unternehmen, die Arbeit automatisieren" verlagert und sich selbst nicht spezifisch adressiert (vgl. Kritik „Policymercial"), benennt Anthropic den eigenen Umsatz als Bemessungsgrundlage und stellt damit das erste industrieseitige Vorbild einer </w:t>
      </w:r>
      <w:r>
        <w:rPr>
          <w:rFonts w:ascii="Arial" w:hAnsi="Arial"/>
          <w:b w:val="0"/>
          <w:i/>
          <w:sz w:val="19"/>
        </w:rPr>
        <w:t>KI-Anbieter-Selbstbesteuerung</w:t>
      </w:r>
      <w:r>
        <w:rPr>
          <w:rFonts w:ascii="Arial" w:hAnsi="Arial"/>
          <w:b w:val="0"/>
          <w:i w:val="0"/>
          <w:sz w:val="19"/>
        </w:rPr>
        <w:t xml:space="preserve"> zur Diskussion. Für die hier geführte Debatte ist das relevant, weil die rhetorische Erweiterung den möglichen Anknüpfungspunkt einer KI-Abgabe von Anwender- auf Anbieterseite verschiebt — ein Pfad, der sich konzeptionell näher an die in § 5.1 entwickelte Wertschöpfungsabgaben-Logik (Anknüpfung an die KI-Wertschöpfung selbst, nicht an deren nachgelagerte Substitutionswirkung) anlehnt. Kritisch ist anzumerken, dass der konkrete Auslösemechanismus — die KI-induzierte Arbeitslosigkeitsmessung — denselben Mess- und Kausalitäts­problemen unterliegt, an denen in § 9.1 die zielgerichtete Ersatzabgabe (Typ 5) scheitert; eine operationale Bestimmung von „KI-induzierter Arbeitslosigkeit" bietet das Framework nicht.</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Am 24. Juni 2026 hat die Kommission ihren Abschlussbericht übergeben (BMAS-Faktenpapier 23. Juni 2026; offizielle Übergabe an Arbeitsministerin Bärbel Bas am 24. Juni 2026): Vorgelegt werden 33 Reformempfehlungen mit drei paradigmatischen Stellschrauben — die Einführung einer </w:t>
      </w:r>
      <w:r>
        <w:rPr>
          <w:rFonts w:ascii="Arial" w:hAnsi="Arial"/>
          <w:b w:val="0"/>
          <w:i/>
          <w:sz w:val="19"/>
        </w:rPr>
        <w:t>gesetzlichen Kapitalrente</w:t>
      </w:r>
      <w:r>
        <w:rPr>
          <w:rFonts w:ascii="Arial" w:hAnsi="Arial"/>
          <w:b w:val="0"/>
          <w:i w:val="0"/>
          <w:sz w:val="19"/>
        </w:rPr>
        <w:t xml:space="preserve"> als verpflichtenden ergänzenden Pfeiler innerhalb des Sozialversicherungssystems, der Übergang zu einer </w:t>
      </w:r>
      <w:r>
        <w:rPr>
          <w:rFonts w:ascii="Arial" w:hAnsi="Arial"/>
          <w:b w:val="0"/>
          <w:i/>
          <w:sz w:val="19"/>
        </w:rPr>
        <w:t>Erwerbstätigenversicherung</w:t>
      </w:r>
      <w:r>
        <w:rPr>
          <w:rFonts w:ascii="Arial" w:hAnsi="Arial"/>
          <w:b w:val="0"/>
          <w:i w:val="0"/>
          <w:sz w:val="19"/>
        </w:rPr>
        <w:t xml:space="preserve"> (Einbeziehung von Selbständigen, Beamten, Abgeordneten und Vorständen) sowie eine schrittweise Anhebung des Renteneintrittsalters mit gleichzeitiger Abschaffung des Minijob-Sonderstatus zugunsten einer einheitlichen Beitragspflicht ab dem ersten Euro. Damit liegt erstmals ein konsensgetragener Regierungsvorschlag vor, der das in § 5.1 entwickelte Konzept der breiten Bemessungsbasis programmatisch unterlegt — auch wenn der Kommissionsbericht selbst die Wertschöpfungs-Anknüpfung nicht explizit aufgreift. Für die KI-Steuerdebatte ist die Kombination aus Erwerbstätigenversicherung und Kapitalrente strukturell relevant: Sie erweitert die Beitrags- und Aufkommensbasis, ohne die fiskalische Anknüpfung von KI-Wertschöpfung zu lösen — und bestätigt damit, dass eine Reform der Sozialstaatsfinanzierung im deutschen Diskurs derzeit primär aus </w:t>
      </w:r>
      <w:r>
        <w:rPr>
          <w:rFonts w:ascii="Arial" w:hAnsi="Arial"/>
          <w:b w:val="0"/>
          <w:i/>
          <w:sz w:val="19"/>
        </w:rPr>
        <w:t>Beitrags</w:t>
      </w:r>
      <w:r>
        <w:rPr>
          <w:rFonts w:ascii="Arial" w:hAnsi="Arial"/>
          <w:b w:val="0"/>
          <w:i w:val="0"/>
          <w:sz w:val="19"/>
        </w:rPr>
        <w:t xml:space="preserve">- und nicht aus </w:t>
      </w:r>
      <w:r>
        <w:rPr>
          <w:rFonts w:ascii="Arial" w:hAnsi="Arial"/>
          <w:b w:val="0"/>
          <w:i/>
          <w:sz w:val="19"/>
        </w:rPr>
        <w:t>Steuer</w:t>
      </w:r>
      <w:r>
        <w:rPr>
          <w:rFonts w:ascii="Arial" w:hAnsi="Arial"/>
          <w:b w:val="0"/>
          <w:i w:val="0"/>
          <w:sz w:val="19"/>
        </w:rPr>
        <w:t xml:space="preserve">-Perspektive verhandelt wird.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Am 22. Juni 2026 hat der Gesundheitsausschuss des Deutschen Bundestages (Kalenderwoche 26) eine rund zweieinhalbstündige öffentliche Anhörung zum Gesetzentwurf durchgeführt; mehr als 90 Fachverbände, Sozialverbände und Gewerkschaften haben sich beteiligt, die Kritik richtete sich vorrangig gegen die einseitige Belastung der Versicherten und eine fehlende Einnahmenseite — ein Argument, das die in § 5.1 entwickelte Linie einer wertschöpfungsbasierten Beitragsverbreiterung politisch direkt rezipiert.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(Juni 2026). </w:t>
      </w:r>
      <w:r>
        <w:rPr>
          <w:rFonts w:ascii="Arial" w:hAnsi="Arial"/>
          <w:b w:val="0"/>
          <w:i/>
          <w:sz w:val="19"/>
        </w:rPr>
        <w:t>Anthropic Economic Index report: Cadences.</w:t>
      </w:r>
      <w:r>
        <w:rPr>
          <w:rFonts w:ascii="Arial" w:hAnsi="Arial"/>
          <w:b w:val="0"/>
          <w:i w:val="0"/>
          <w:sz w:val="19"/>
        </w:rPr>
        <w:t xml:space="preserve"> Sechster Bericht (mit rund 9.700 verlinkten Survey-Antworten Mai/Anfang Juni 2026): Claude-Nutzung folgt globalen Arbeitsrhythmen; Anteil agentischer Tasks (</w:t>
      </w:r>
      <w:r>
        <w:rPr>
          <w:rFonts w:ascii="Arial" w:hAnsi="Arial"/>
          <w:b w:val="0"/>
          <w:i/>
          <w:sz w:val="19"/>
        </w:rPr>
        <w:t>Claude Code</w:t>
      </w:r>
      <w:r>
        <w:rPr>
          <w:rFonts w:ascii="Arial" w:hAnsi="Arial"/>
          <w:b w:val="0"/>
          <w:i w:val="0"/>
          <w:sz w:val="19"/>
        </w:rPr>
        <w:t xml:space="preserve">, </w:t>
      </w:r>
      <w:r>
        <w:rPr>
          <w:rFonts w:ascii="Arial" w:hAnsi="Arial"/>
          <w:b w:val="0"/>
          <w:i/>
          <w:sz w:val="19"/>
        </w:rPr>
        <w:t>Cowork</w:t>
      </w:r>
      <w:r>
        <w:rPr>
          <w:rFonts w:ascii="Arial" w:hAnsi="Arial"/>
          <w:b w:val="0"/>
          <w:i w:val="0"/>
          <w:sz w:val="19"/>
        </w:rPr>
        <w:t>) steigt im Berichtsfenster; Heavy-User systematisch optimistischer bzgl. Job-Sicherheit und Gehaltsentwicklung. https://www.anthropic.com/research/economic-index-june-2026-report</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US-Senat, Pressemitteilung. Einbringung des </w:t>
      </w:r>
      <w:r>
        <w:rPr>
          <w:rFonts w:ascii="Arial" w:hAnsi="Arial"/>
          <w:b w:val="0"/>
          <w:i/>
          <w:sz w:val="19"/>
        </w:rPr>
        <w:t>American AI Sovereign Wealth Fund Act</w:t>
      </w:r>
      <w:r>
        <w:rPr>
          <w:rFonts w:ascii="Arial" w:hAnsi="Arial"/>
          <w:b w:val="0"/>
          <w:i w:val="0"/>
          <w:sz w:val="19"/>
        </w:rPr>
        <w:t>: einmalige Aktienabgabe von 50 % auf KI-Unternehmen mit Umsatz &gt; 200 Mio. USD, Treuhandfonds mit präsidial nominierten und Senats-bestätigten Mitgliedern, geschätzter Fondswert ca. 7 Bio. USD, jährliche Bürgerdividende ca. 1.000 USD, Public Voting Stake; erfasst Datacenter, Compute-Infrastruktur und „advanced robotics". https://www.sanders.senate.gov/press-releases/news-sanders-introduces-legislation-to-create-7-trillion-ai-sovereign-wealth-fund/</w:t>
      </w:r>
    </w:p>
    <w:p>
      <w:pPr>
        <w:jc w:val="both"/>
      </w:pPr>
      <w:r>
        <w:rPr>
          <w:rFonts w:ascii="Arial" w:hAnsi="Arial"/>
          <w:b w:val="0"/>
          <w:i w:val="0"/>
          <w:sz w:val="19"/>
        </w:rPr>
        <w:t xml:space="preserve">Curtis, M. (18. Juni 2026). </w:t>
      </w:r>
      <w:r>
        <w:rPr>
          <w:rFonts w:ascii="Arial" w:hAnsi="Arial"/>
          <w:b w:val="0"/>
          <w:i/>
          <w:sz w:val="19"/>
        </w:rPr>
        <w:t>Sovereign wealth fund tax on AI companies unveiled by Sanders.</w:t>
      </w:r>
      <w:r>
        <w:rPr>
          <w:rFonts w:ascii="Arial" w:hAnsi="Arial"/>
          <w:b w:val="0"/>
          <w:i w:val="0"/>
          <w:sz w:val="19"/>
        </w:rPr>
        <w:t xml:space="preserve"> Roll Call. Detail-Berichterstattung zum Bill-Aufbau und zur Erfassung von Robotik in der Bill-Sprache. https://rollcall.com/2026/06/18/sovereign-wealth-fund-tax-on-ai-companies-unveiled-by-sanders/</w:t>
      </w:r>
    </w:p>
    <w:p>
      <w:pPr>
        <w:jc w:val="both"/>
      </w:pPr>
      <w:r>
        <w:rPr>
          <w:rFonts w:ascii="Arial" w:hAnsi="Arial"/>
          <w:b w:val="0"/>
          <w:i w:val="0"/>
          <w:sz w:val="19"/>
        </w:rPr>
        <w:t xml:space="preserve">Axios. (18. Juni 2026). </w:t>
      </w:r>
      <w:r>
        <w:rPr>
          <w:rFonts w:ascii="Arial" w:hAnsi="Arial"/>
          <w:b w:val="0"/>
          <w:i/>
          <w:sz w:val="19"/>
        </w:rPr>
        <w:t>Bernie Sanders unveils AI tax plan.</w:t>
      </w:r>
      <w:r>
        <w:rPr>
          <w:rFonts w:ascii="Arial" w:hAnsi="Arial"/>
          <w:b w:val="0"/>
          <w:i w:val="0"/>
          <w:sz w:val="19"/>
        </w:rPr>
        <w:t xml:space="preserve"> Politische Einordnung; OpenAI, Anthropic und xAI namentlich als Adressaten; Hinweis auf partielle Sympathie für „public stake"-Idee im Trump-Weißen Haus. https://www.axios.com/2026/06/18/bernie-sanders-ai-openai-anthropic</w:t>
      </w:r>
    </w:p>
    <w:p>
      <w:pPr>
        <w:jc w:val="both"/>
      </w:pPr>
      <w:r>
        <w:rPr>
          <w:rFonts w:ascii="Arial" w:hAnsi="Arial"/>
          <w:b w:val="0"/>
          <w:i w:val="0"/>
          <w:sz w:val="19"/>
        </w:rPr>
        <w:t xml:space="preserve">Anthropic. (10. Juni 2026). </w:t>
      </w:r>
      <w:r>
        <w:rPr>
          <w:rFonts w:ascii="Arial" w:hAnsi="Arial"/>
          <w:b w:val="0"/>
          <w:i/>
          <w:sz w:val="19"/>
        </w:rPr>
        <w:t>Preparing for AI's economic impact: exploring policy responses</w:t>
      </w:r>
      <w:r>
        <w:rPr>
          <w:rFonts w:ascii="Arial" w:hAnsi="Arial"/>
          <w:b w:val="0"/>
          <w:i w:val="0"/>
          <w:sz w:val="19"/>
        </w:rPr>
        <w:t xml:space="preserve"> (mit </w:t>
      </w:r>
      <w:r>
        <w:rPr>
          <w:rFonts w:ascii="Arial" w:hAnsi="Arial"/>
          <w:b w:val="0"/>
          <w:i/>
          <w:sz w:val="19"/>
        </w:rPr>
        <w:t>Economic Policy Framework</w:t>
      </w:r>
      <w:r>
        <w:rPr>
          <w:rFonts w:ascii="Arial" w:hAnsi="Arial"/>
          <w:b w:val="0"/>
          <w:i w:val="0"/>
          <w:sz w:val="19"/>
        </w:rPr>
        <w:t xml:space="preserve">, PDF). Vorschlag einer gestuften Skalenarchitektur fiskalischer Reaktion (Schwellen bei 5 %, 10 % Arbeitslosigkeit, „beispiellose" Disruption); zur Diskussion gestellte 3-%-Steuer auf eigenen KI-Umsatz; Selbstverpflichtung 200 Mio. USD </w:t>
      </w:r>
      <w:r>
        <w:rPr>
          <w:rFonts w:ascii="Arial" w:hAnsi="Arial"/>
          <w:b w:val="0"/>
          <w:i/>
          <w:sz w:val="19"/>
        </w:rPr>
        <w:t>Economic Futures Research Fund</w:t>
      </w:r>
      <w:r>
        <w:rPr>
          <w:rFonts w:ascii="Arial" w:hAnsi="Arial"/>
          <w:b w:val="0"/>
          <w:i w:val="0"/>
          <w:sz w:val="19"/>
        </w:rPr>
        <w:t xml:space="preserve"> + 150 Mio. USD </w:t>
      </w:r>
      <w:r>
        <w:rPr>
          <w:rFonts w:ascii="Arial" w:hAnsi="Arial"/>
          <w:b w:val="0"/>
          <w:i/>
          <w:sz w:val="19"/>
        </w:rPr>
        <w:t>Claude Corps Fellowship</w:t>
      </w:r>
      <w:r>
        <w:rPr>
          <w:rFonts w:ascii="Arial" w:hAnsi="Arial"/>
          <w:b w:val="0"/>
          <w:i w:val="0"/>
          <w:sz w:val="19"/>
        </w:rPr>
        <w:t xml:space="preserve"> (Bewerbungsschluss 17. Juli 2026, 100 Plätze, 85.000 USD pro Jahr). https://www.anthropic.com/research/economic-policy-responses | PDF: https://www-cdn.anthropic.com/files/4zrzovbb/website/9ea607a5dd67c168093829b701f3a0a6d21156d5.pdf</w:t>
      </w:r>
    </w:p>
    <w:p>
      <w:pPr>
        <w:jc w:val="both"/>
      </w:pPr>
      <w:r>
        <w:rPr>
          <w:rFonts w:ascii="Arial" w:hAnsi="Arial"/>
          <w:b w:val="0"/>
          <w:i w:val="0"/>
          <w:sz w:val="19"/>
        </w:rPr>
        <w:t xml:space="preserve">Amodei, D. (10. Juni 2026). </w:t>
      </w:r>
      <w:r>
        <w:rPr>
          <w:rFonts w:ascii="Arial" w:hAnsi="Arial"/>
          <w:b w:val="0"/>
          <w:i/>
          <w:sz w:val="19"/>
        </w:rPr>
        <w:t>Policy on the AI Exponential.</w:t>
      </w:r>
      <w:r>
        <w:rPr>
          <w:rFonts w:ascii="Arial" w:hAnsi="Arial"/>
          <w:b w:val="0"/>
          <w:i w:val="0"/>
          <w:sz w:val="19"/>
        </w:rPr>
        <w:t xml:space="preserve"> Begleit-Essay zum Anthropic </w:t>
      </w:r>
      <w:r>
        <w:rPr>
          <w:rFonts w:ascii="Arial" w:hAnsi="Arial"/>
          <w:b w:val="0"/>
          <w:i/>
          <w:sz w:val="19"/>
        </w:rPr>
        <w:t>Economic Policy Framework</w:t>
      </w:r>
      <w:r>
        <w:rPr>
          <w:rFonts w:ascii="Arial" w:hAnsi="Arial"/>
          <w:b w:val="0"/>
          <w:i w:val="0"/>
          <w:sz w:val="19"/>
        </w:rPr>
        <w:t>; Plädoyer für gestaffelte fiskalische Reaktion und Universal-Basic-Income-Pfad. https://www.darioamodei.com/post/policy-on-the-ai-exponential</w:t>
      </w:r>
    </w:p>
    <w:p>
      <w:pPr>
        <w:jc w:val="both"/>
      </w:pPr>
      <w:r>
        <w:rPr>
          <w:rFonts w:ascii="Arial" w:hAnsi="Arial"/>
          <w:b w:val="0"/>
          <w:i w:val="0"/>
          <w:sz w:val="19"/>
        </w:rPr>
        <w:t xml:space="preserve">Bloomberg Tax. (10. Juni 2026). </w:t>
      </w:r>
      <w:r>
        <w:rPr>
          <w:rFonts w:ascii="Arial" w:hAnsi="Arial"/>
          <w:b w:val="0"/>
          <w:i/>
          <w:sz w:val="19"/>
        </w:rPr>
        <w:t>Anthropic CEO Floats Tax on AI Firms to Fund Universal Income.</w:t>
      </w:r>
      <w:r>
        <w:rPr>
          <w:rFonts w:ascii="Arial" w:hAnsi="Arial"/>
          <w:b w:val="0"/>
          <w:i w:val="0"/>
          <w:sz w:val="19"/>
        </w:rPr>
        <w:t xml:space="preserve"> Steuerrechtliche Einordnung der Anthropic-Vorschläge; Verhältnis zu Pillar 2 und OECD-Diskussion. https://news.bloombergtax.com/daily-tax-report-international/anthropic-ceo-floats-tax-on-ai-firms-to-fund-universal-income</w:t>
      </w:r>
    </w:p>
    <w:p>
      <w:pPr>
        <w:jc w:val="both"/>
      </w:pPr>
      <w:r>
        <w:rPr>
          <w:rFonts w:ascii="Arial" w:hAnsi="Arial"/>
          <w:b w:val="0"/>
          <w:i w:val="0"/>
          <w:sz w:val="19"/>
        </w:rPr>
        <w:t xml:space="preserve">Office of the Governor of Connecticut. (27. Mai 2026). </w:t>
      </w:r>
      <w:r>
        <w:rPr>
          <w:rFonts w:ascii="Arial" w:hAnsi="Arial"/>
          <w:b w:val="0"/>
          <w:i/>
          <w:sz w:val="19"/>
        </w:rPr>
        <w:t>Governor Lamont Signs Legislation Establishing Youth Online Safety Protections, Regulations Over Artificial Intelligence…</w:t>
      </w:r>
      <w:r>
        <w:rPr>
          <w:rFonts w:ascii="Arial" w:hAnsi="Arial"/>
          <w:b w:val="0"/>
          <w:i w:val="0"/>
          <w:sz w:val="19"/>
        </w:rPr>
        <w:t xml:space="preserve"> Unterzeichnung </w:t>
      </w:r>
      <w:r>
        <w:rPr>
          <w:rFonts w:ascii="Arial" w:hAnsi="Arial"/>
          <w:b w:val="0"/>
          <w:i/>
          <w:sz w:val="19"/>
        </w:rPr>
        <w:t>SB 5 — Connecticut Artificial Intelligence Responsibility and Transparency Act</w:t>
      </w:r>
      <w:r>
        <w:rPr>
          <w:rFonts w:ascii="Arial" w:hAnsi="Arial"/>
          <w:b w:val="0"/>
          <w:i w:val="0"/>
          <w:sz w:val="19"/>
        </w:rPr>
        <w:t xml:space="preserve"> mit gestaffelten Geltungsdaten ab 1. Oktober 2026 (Automated Employment Decision Technology, „AI is not a defense", Whistleblower-Schutz, WARN-AI/Technology-Change-Disclosure) und 1. Oktober 2027 (Deployer-Vorab-Information). https://portal.ct.gov/governor/news/press-releases/2026/06-2026/governor-lamont-signs-legislation-establishing-youth-online-safety-protections</w:t>
      </w:r>
    </w:p>
    <w:p>
      <w:pPr>
        <w:jc w:val="both"/>
      </w:pPr>
      <w:r>
        <w:rPr>
          <w:rFonts w:ascii="Arial" w:hAnsi="Arial"/>
          <w:b w:val="0"/>
          <w:i w:val="0"/>
          <w:sz w:val="19"/>
        </w:rPr>
        <w:t xml:space="preserve">Alterssicherungskommission (ASK) / Bundesministerium für Arbeit und Soziales. (24. Juni 2026; Faktenpapier 23. Juni 2026). </w:t>
      </w:r>
      <w:r>
        <w:rPr>
          <w:rFonts w:ascii="Arial" w:hAnsi="Arial"/>
          <w:b w:val="0"/>
          <w:i/>
          <w:sz w:val="19"/>
        </w:rPr>
        <w:t>Bericht der Alterssicherungskommission.</w:t>
      </w:r>
      <w:r>
        <w:rPr>
          <w:rFonts w:ascii="Arial" w:hAnsi="Arial"/>
          <w:b w:val="0"/>
          <w:i w:val="0"/>
          <w:sz w:val="19"/>
        </w:rPr>
        <w:t xml:space="preserve"> 33 Empfehlungen, darunter Einführung einer gesetzlichen Kapitalrente, Übergang zur Erwerbstätigenversicherung (inkl. Selbständige, Beamte, Abgeordnete, Vorstände), Anpassung des Renteneintrittsalters, Abschaffung des Minijob-Sonderstatus zugunsten einheitlicher Beitragspflicht. https://www.bundesregierung.de/resource/blob/975228/2444780/0fcbf810775351c64007ee6cb2c7cad9/2026-06-24-bericht-alterssicherungskommission-data.pdf | https://www.portal-sozialpolitik.de/uploads/sopo/pdf/2026/2026-06-23_BMAS_Faktenpapier_ASK.pdf</w:t>
      </w:r>
    </w:p>
    <w:p>
      <w:pPr>
        <w:jc w:val="both"/>
      </w:pPr>
      <w:r>
        <w:rPr>
          <w:rFonts w:ascii="Arial" w:hAnsi="Arial"/>
          <w:b w:val="0"/>
          <w:i w:val="0"/>
          <w:sz w:val="19"/>
        </w:rPr>
        <w:t xml:space="preserve">Bird &amp; Bird. (Juni 2026). </w:t>
      </w:r>
      <w:r>
        <w:rPr>
          <w:rFonts w:ascii="Arial" w:hAnsi="Arial"/>
          <w:b w:val="0"/>
          <w:i/>
          <w:sz w:val="19"/>
        </w:rPr>
        <w:t>Digital Omnibus on AI — Trilogue Stalls Ahead of the AI Act Deadline.</w:t>
      </w:r>
      <w:r>
        <w:rPr>
          <w:rFonts w:ascii="Arial" w:hAnsi="Arial"/>
          <w:b w:val="0"/>
          <w:i w:val="0"/>
          <w:sz w:val="19"/>
        </w:rPr>
        <w:t xml:space="preserve"> Kanzleianalyse zum Trilog-Konsens vom 7. Mai 2026, EP-Plenarannahme am 16. Juni 2026 und avisierter Ratsannahme vor dem 30. Juni 2026; Stichtage 2. Dezember 2027 (Anhang III), 2. August 2028 (Anhang I), „hard wall" 2. August 2026 bleibt bestehen. https://www.twobirds.com/en/insights/2026/germany/digital-omnibus-on-ai-trilogue-stalls-ahead-of-the-ai-act-deadline</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(5. Juni 2026). </w:t>
      </w:r>
      <w:r>
        <w:rPr>
          <w:rFonts w:ascii="Arial" w:hAnsi="Arial"/>
          <w:b w:val="0"/>
          <w:i/>
          <w:sz w:val="19"/>
        </w:rPr>
        <w:t>May 2026 Job Cuts Report.</w:t>
      </w:r>
      <w:r>
        <w:rPr>
          <w:rFonts w:ascii="Arial" w:hAnsi="Arial"/>
          <w:b w:val="0"/>
          <w:i w:val="0"/>
          <w:sz w:val="19"/>
        </w:rPr>
        <w:t xml:space="preserve"> 97.006 angekündigte US-Stellenstreichungen (+16 % gegenüber April; höchster Mai seit 2020); 38.579 KI-bezogen (40 % aller Mai-Streichungen, höchster jemals erfasster Monatswert); YTD KI-bezogen 87.714 (22 % aller bislang 2026 angekündigten Streichungen); KI-bezogene Streichungen 2026 übertreffen bereits Gesamtjahr 2025 (54.836). https://www.challengergray.com/wp-content/uploads/2026/06/Challenger-Report-May-2026.pdf</w:t>
      </w:r>
    </w:p>
    <w:p>
      <w:pPr>
        <w:jc w:val="both"/>
      </w:pPr>
      <w:r>
        <w:rPr>
          <w:rFonts w:ascii="Arial" w:hAnsi="Arial"/>
          <w:b w:val="0"/>
          <w:i w:val="0"/>
          <w:sz w:val="19"/>
        </w:rPr>
        <w:t xml:space="preserve">TechCrunch. (22. Juni 2026). </w:t>
      </w:r>
      <w:r>
        <w:rPr>
          <w:rFonts w:ascii="Arial" w:hAnsi="Arial"/>
          <w:b w:val="0"/>
          <w:i/>
          <w:sz w:val="19"/>
        </w:rPr>
        <w:t>The running list: major tech layoffs in 2026 where employers cited AI.</w:t>
      </w:r>
      <w:r>
        <w:rPr>
          <w:rFonts w:ascii="Arial" w:hAnsi="Arial"/>
          <w:b w:val="0"/>
          <w:i w:val="0"/>
          <w:sz w:val="19"/>
        </w:rPr>
        <w:t xml:space="preserve"> Fortlaufende Sammelliste KI-attribuierter Tech-Layoffs 2026; aktualisiertes Oracle-Volumen rund 21.000 Stellen (~13 % der globalen Belegschaft), GitLab ~350 (~14 %, explizit zur Finanzierung von KI-Infrastruktur), ServiceNow „hundreds". https://techcrunch.com/2026/06/22/the-running-list-major-tech-layoffs-in-2026-where-employers-cited-ai/</w:t>
      </w:r>
    </w:p>
    <w:p>
      <w:pPr>
        <w:jc w:val="both"/>
      </w:pPr>
      <w:r>
        <w:rPr>
          <w:rFonts w:ascii="Arial" w:hAnsi="Arial"/>
          <w:b w:val="0"/>
          <w:i w:val="0"/>
          <w:sz w:val="19"/>
        </w:rPr>
        <w:t xml:space="preserve">SkillSyncer. (Stand 27. Juni 2026). </w:t>
      </w:r>
      <w:r>
        <w:rPr>
          <w:rFonts w:ascii="Arial" w:hAnsi="Arial"/>
          <w:b w:val="0"/>
          <w:i/>
          <w:sz w:val="19"/>
        </w:rPr>
        <w:t>2026 Tech Layoffs Tracker.</w:t>
      </w:r>
      <w:r>
        <w:rPr>
          <w:rFonts w:ascii="Arial" w:hAnsi="Arial"/>
          <w:b w:val="0"/>
          <w:i w:val="0"/>
          <w:sz w:val="19"/>
        </w:rPr>
        <w:t xml:space="preserve"> 185.894 betroffene Beschäftigte aus 267 Layoff-Ereignissen (rund 1.044 pro Tag); 56 % aller Ereignisse nennen explizit KI, Automation oder maschinelles Lernen als Treiber (156.270 Beschäftigte in 150 Unternehmen). https://skillsyncer.com/layoffs-tracker</w:t>
      </w:r>
    </w:p>
    <w:p>
      <w:pPr>
        <w:jc w:val="both"/>
      </w:pPr>
      <w:r>
        <w:rPr>
          <w:rFonts w:ascii="Arial" w:hAnsi="Arial"/>
          <w:b w:val="0"/>
          <w:i w:val="0"/>
          <w:sz w:val="19"/>
        </w:rPr>
        <w:t xml:space="preserve">PBS NewsHour / Bloomberg. (um 2. Juli 2026). </w:t>
      </w:r>
      <w:r>
        <w:rPr>
          <w:rFonts w:ascii="Arial" w:hAnsi="Arial"/>
          <w:b w:val="0"/>
          <w:i/>
          <w:sz w:val="19"/>
        </w:rPr>
        <w:t>Microsoft's largest layoff in years hits Xbox gaming, sales and other divisions.</w:t>
      </w:r>
      <w:r>
        <w:rPr>
          <w:rFonts w:ascii="Arial" w:hAnsi="Arial"/>
          <w:b w:val="0"/>
          <w:i w:val="0"/>
          <w:sz w:val="19"/>
        </w:rPr>
        <w:t xml:space="preserve"> Vollzug der VRSAR-Separation am 2. Juli 2026; Berichte über zusätzliche Welle mit Schwerpunkt Xbox/Gaming/Sales unter neuer Xbox-CEO Asha Sharma; konkrete Stellenzahl konzernseitig zum Schnitt des Laufs nicht bestätigt. https://www.pbs.org/newshour/economy/microsofts-largest-layoff-in-years-hits-xbox-gaming-sales-and-other-divisions</w:t>
      </w:r>
    </w:p>
    <w:p>
      <w:pPr>
        <w:jc w:val="both"/>
      </w:pPr>
      <w:r>
        <w:rPr>
          <w:rFonts w:ascii="Arial" w:hAnsi="Arial"/>
          <w:b w:val="0"/>
          <w:i w:val="0"/>
          <w:sz w:val="19"/>
        </w:rPr>
        <w:t xml:space="preserve">Kulturigo / BDZV. (Juni 2026). </w:t>
      </w:r>
      <w:r>
        <w:rPr>
          <w:rFonts w:ascii="Arial" w:hAnsi="Arial"/>
          <w:b w:val="0"/>
          <w:i/>
          <w:sz w:val="19"/>
        </w:rPr>
        <w:t>#beBETA 2026: Weimer kündigt schärfere Plattformregulierung und stärkeren Schutz journalistischer Inhalte an.</w:t>
      </w:r>
      <w:r>
        <w:rPr>
          <w:rFonts w:ascii="Arial" w:hAnsi="Arial"/>
          <w:b w:val="0"/>
          <w:i w:val="0"/>
          <w:sz w:val="19"/>
        </w:rPr>
        <w:t xml:space="preserve"> Begriffliche Verschiebung des Vorschlags: nicht „Steuer", sondern „Plattform-Solidaritätsabgabe" als „ordoliberaler Eingriff"; Zusatzbegründung Schutz journalistischer Inhalte vor KI-Training. https://www.kulturigo.de/bebeta-2026-weimer-k-ndigt-sch-rfere-plattformregulierung-und-st-rkeren-schutz-journalistischer-inhalte-an-2255938.html</w:t>
      </w:r>
    </w:p>
    <w:p>
      <w:pPr>
        <w:jc w:val="both"/>
      </w:pPr>
      <w:r>
        <w:rPr>
          <w:rFonts w:ascii="Arial" w:hAnsi="Arial"/>
          <w:b w:val="0"/>
          <w:i w:val="0"/>
          <w:sz w:val="19"/>
        </w:rPr>
        <w:t xml:space="preserve">Deutscher Bundestag. (22. Juni 2026; Kalenderwoche 26). </w:t>
      </w:r>
      <w:r>
        <w:rPr>
          <w:rFonts w:ascii="Arial" w:hAnsi="Arial"/>
          <w:b w:val="0"/>
          <w:i/>
          <w:sz w:val="19"/>
        </w:rPr>
        <w:t>Heftige Kritik von Fachverbänden an GKV-Sparpaket — Öffentliche Anhörung im Gesundheitsausschuss zum GKV-Beitragssatzstabilisierungsgesetz.</w:t>
      </w:r>
      <w:r>
        <w:rPr>
          <w:rFonts w:ascii="Arial" w:hAnsi="Arial"/>
          <w:b w:val="0"/>
          <w:i w:val="0"/>
          <w:sz w:val="19"/>
        </w:rPr>
        <w:t xml:space="preserve"> Rund zweieinhalbstündige Anhörung mit über 90 Verbänden; Sozialverbände und Gewerkschaften kritisieren einseitige Belastung der Versicherten und fehlende Einnahmenseite. https://www.bundestag.de/dokumente/textarchiv/2026/kw26-pa-gesundheit-1184754</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29. Juni 2026 — Lauf 001 vom 29. Juni 2026) wieder. Neu eingearbeitet sind: der am 18. Juni 2026 von Senator Sanders eingebrachte </w:t>
      </w:r>
      <w:r>
        <w:rPr>
          <w:rFonts w:ascii="Arial" w:hAnsi="Arial"/>
          <w:b w:val="0"/>
          <w:i/>
          <w:sz w:val="19"/>
        </w:rPr>
        <w:t>American AI Sovereign Wealth Fund Act</w:t>
      </w:r>
      <w:r>
        <w:rPr>
          <w:rFonts w:ascii="Arial" w:hAnsi="Arial"/>
          <w:b w:val="0"/>
          <w:i w:val="0"/>
          <w:sz w:val="19"/>
        </w:rPr>
        <w:t xml:space="preserve"> (50-%-Aktienstake auf KI-Unternehmen &gt; 200 Mio. USD Umsatz, geschätzter Fondswert rund 7 Bio. USD, jährliche Bürgerdividende rund 1.000 USD, Public Voting Stake; erfasst Datacenter, Compute-Infrastruktur und „advanced robotics"); das am 10. Juni 2026 vorgelegte Anthropic-Doppelpaket aus </w:t>
      </w:r>
      <w:r>
        <w:rPr>
          <w:rFonts w:ascii="Arial" w:hAnsi="Arial"/>
          <w:b w:val="0"/>
          <w:i/>
          <w:sz w:val="19"/>
        </w:rPr>
        <w:t>Economic Policy Framework</w:t>
      </w:r>
      <w:r>
        <w:rPr>
          <w:rFonts w:ascii="Arial" w:hAnsi="Arial"/>
          <w:b w:val="0"/>
          <w:i w:val="0"/>
          <w:sz w:val="19"/>
        </w:rPr>
        <w:t xml:space="preserve"> und Amodei-Essay </w:t>
      </w:r>
      <w:r>
        <w:rPr>
          <w:rFonts w:ascii="Arial" w:hAnsi="Arial"/>
          <w:b w:val="0"/>
          <w:i/>
          <w:sz w:val="19"/>
        </w:rPr>
        <w:t>„Policy on the AI Exponential"</w:t>
      </w:r>
      <w:r>
        <w:rPr>
          <w:rFonts w:ascii="Arial" w:hAnsi="Arial"/>
          <w:b w:val="0"/>
          <w:i w:val="0"/>
          <w:sz w:val="19"/>
        </w:rPr>
        <w:t xml:space="preserve"> mit gestufter Skalenarchitektur (Arbeitslosigkeitsschwellen 5 %/10 %/„beispiellos"), zur Diskussion gestellter 3-%-Steuer auf den eigenen KI-Umsatz und Selbstverpflichtung 350 Mio. USD (200 Mio. </w:t>
      </w:r>
      <w:r>
        <w:rPr>
          <w:rFonts w:ascii="Arial" w:hAnsi="Arial"/>
          <w:b w:val="0"/>
          <w:i/>
          <w:sz w:val="19"/>
        </w:rPr>
        <w:t>Economic Futures Research Fund</w:t>
      </w:r>
      <w:r>
        <w:rPr>
          <w:rFonts w:ascii="Arial" w:hAnsi="Arial"/>
          <w:b w:val="0"/>
          <w:i w:val="0"/>
          <w:sz w:val="19"/>
        </w:rPr>
        <w:t xml:space="preserve"> + 150 Mio. </w:t>
      </w:r>
      <w:r>
        <w:rPr>
          <w:rFonts w:ascii="Arial" w:hAnsi="Arial"/>
          <w:b w:val="0"/>
          <w:i/>
          <w:sz w:val="19"/>
        </w:rPr>
        <w:t>Claude Corps Fellowship</w:t>
      </w:r>
      <w:r>
        <w:rPr>
          <w:rFonts w:ascii="Arial" w:hAnsi="Arial"/>
          <w:b w:val="0"/>
          <w:i w:val="0"/>
          <w:sz w:val="19"/>
        </w:rPr>
        <w:t xml:space="preserve">); der am 24. Juni 2026 vorgelegte Bericht der </w:t>
      </w:r>
      <w:r>
        <w:rPr>
          <w:rFonts w:ascii="Arial" w:hAnsi="Arial"/>
          <w:b w:val="0"/>
          <w:i/>
          <w:sz w:val="19"/>
        </w:rPr>
        <w:t>Alterssicherungskommission</w:t>
      </w:r>
      <w:r>
        <w:rPr>
          <w:rFonts w:ascii="Arial" w:hAnsi="Arial"/>
          <w:b w:val="0"/>
          <w:i w:val="0"/>
          <w:sz w:val="19"/>
        </w:rPr>
        <w:t xml:space="preserve"> mit 33 Empfehlungen (gesetzliche Kapitalrente, Erwerbstätigenversicherung, Anpassung Renteneintrittsalter, Abschaffung Minijob-Sonderstatus); die Bundestags-Anhörung zum GKV-Beitragssatzstabilisierungsgesetz am 22. Juni 2026 mit über 90 Verbänden; die rhetorische Verschiebung der deutschen </w:t>
      </w:r>
      <w:r>
        <w:rPr>
          <w:rFonts w:ascii="Arial" w:hAnsi="Arial"/>
          <w:b w:val="0"/>
          <w:i/>
          <w:sz w:val="19"/>
        </w:rPr>
        <w:t>Plattform-Solidaritätsabgabe</w:t>
      </w:r>
      <w:r>
        <w:rPr>
          <w:rFonts w:ascii="Arial" w:hAnsi="Arial"/>
          <w:b w:val="0"/>
          <w:i w:val="0"/>
          <w:sz w:val="19"/>
        </w:rPr>
        <w:t xml:space="preserve"> durch Kulturstaatsminister Weimer auf der </w:t>
      </w:r>
      <w:r>
        <w:rPr>
          <w:rFonts w:ascii="Arial" w:hAnsi="Arial"/>
          <w:b w:val="0"/>
          <w:i/>
          <w:sz w:val="19"/>
        </w:rPr>
        <w:t>#beBETA 2026</w:t>
      </w:r>
      <w:r>
        <w:rPr>
          <w:rFonts w:ascii="Arial" w:hAnsi="Arial"/>
          <w:b w:val="0"/>
          <w:i w:val="0"/>
          <w:sz w:val="19"/>
        </w:rPr>
        <w:t xml:space="preserve"> als „ordoliberaler Eingriff" / zweckgebundene Sonderabgabe; die EP-Plenarannahme des </w:t>
      </w:r>
      <w:r>
        <w:rPr>
          <w:rFonts w:ascii="Arial" w:hAnsi="Arial"/>
          <w:b w:val="0"/>
          <w:i/>
          <w:sz w:val="19"/>
        </w:rPr>
        <w:t>Digital Omnibus on AI</w:t>
      </w:r>
      <w:r>
        <w:rPr>
          <w:rFonts w:ascii="Arial" w:hAnsi="Arial"/>
          <w:b w:val="0"/>
          <w:i w:val="0"/>
          <w:sz w:val="19"/>
        </w:rPr>
        <w:t xml:space="preserve"> am 16. Juni 2026 nach Trilog-Konsens am 7. Mai 2026 (Stichtage 2. Dezember 2027 / 2. August 2028; „hard wall" 2. August 2026 unverändert); die Unterzeichnung des </w:t>
      </w:r>
      <w:r>
        <w:rPr>
          <w:rFonts w:ascii="Arial" w:hAnsi="Arial"/>
          <w:b w:val="0"/>
          <w:i/>
          <w:sz w:val="19"/>
        </w:rPr>
        <w:t>Connecticut SB 5</w:t>
      </w:r>
      <w:r>
        <w:rPr>
          <w:rFonts w:ascii="Arial" w:hAnsi="Arial"/>
          <w:b w:val="0"/>
          <w:i w:val="0"/>
          <w:sz w:val="19"/>
        </w:rPr>
        <w:t xml:space="preserve"> durch Gouverneur Lamont am 27. Mai 2026; der sechste </w:t>
      </w:r>
      <w:r>
        <w:rPr>
          <w:rFonts w:ascii="Arial" w:hAnsi="Arial"/>
          <w:b w:val="0"/>
          <w:i/>
          <w:sz w:val="19"/>
        </w:rPr>
        <w:t>Anthropic Economic Index Report „Cadences"</w:t>
      </w:r>
      <w:r>
        <w:rPr>
          <w:rFonts w:ascii="Arial" w:hAnsi="Arial"/>
          <w:b w:val="0"/>
          <w:i w:val="0"/>
          <w:sz w:val="19"/>
        </w:rPr>
        <w:t xml:space="preserve"> (Juni 2026) mit rund 9.700 verlinkten Survey-Antworten; der </w:t>
      </w:r>
      <w:r>
        <w:rPr>
          <w:rFonts w:ascii="Arial" w:hAnsi="Arial"/>
          <w:b w:val="0"/>
          <w:i/>
          <w:sz w:val="19"/>
        </w:rPr>
        <w:t>Challenger May 2026 Job Cuts Report</w:t>
      </w:r>
      <w:r>
        <w:rPr>
          <w:rFonts w:ascii="Arial" w:hAnsi="Arial"/>
          <w:b w:val="0"/>
          <w:i w:val="0"/>
          <w:sz w:val="19"/>
        </w:rPr>
        <w:t xml:space="preserve"> (38.579 KI-bezogene Streichungen, 40 % aller Mai-Streichungen — höchster jemals erfasster KI-Monatswert; YTD 87.714, übersteigt Gesamtjahr 2025); die am 22. Juni 2026 publizierte </w:t>
      </w:r>
      <w:r>
        <w:rPr>
          <w:rFonts w:ascii="Arial" w:hAnsi="Arial"/>
          <w:b w:val="0"/>
          <w:i/>
          <w:sz w:val="19"/>
        </w:rPr>
        <w:t>TechCrunch</w:t>
      </w:r>
      <w:r>
        <w:rPr>
          <w:rFonts w:ascii="Arial" w:hAnsi="Arial"/>
          <w:b w:val="0"/>
          <w:i w:val="0"/>
          <w:sz w:val="19"/>
        </w:rPr>
        <w:t xml:space="preserve">-Sammelliste KI-attribuierter Tech-Layoffs 2026 (u. a. Oracle ~21.000, GitLab ~350, ServiceNow „hundreds"); der </w:t>
      </w:r>
      <w:r>
        <w:rPr>
          <w:rFonts w:ascii="Arial" w:hAnsi="Arial"/>
          <w:b w:val="0"/>
          <w:i/>
          <w:sz w:val="19"/>
        </w:rPr>
        <w:t>SkillSyncer</w:t>
      </w:r>
      <w:r>
        <w:rPr>
          <w:rFonts w:ascii="Arial" w:hAnsi="Arial"/>
          <w:b w:val="0"/>
          <w:i w:val="0"/>
          <w:sz w:val="19"/>
        </w:rPr>
        <w:t xml:space="preserve">-Trackerstand vom 27. Juni 2026 (185.894 Personen / 267 Ereignisse, rund 1.044 pro Tag; 56 % der Ereignisse mit KI-Bezug); der Vollzug der Microsoft-VRSAR-Separation am 2. Juli 2026 und die im Vorlauf gemeldete zusätzliche Welle mit Schwerpunkt Xbox/Gaming/Sales. Vorausgegangen sind die im Mai 2026 dokumentierten Entwicklungen — der Erstdurchgang des GKV-Beitragssatzstabilisierungsgesetzes im Bundesrat am 8. Mai 2026, die Cloudflare-Welle (1.100 Stellen, agentic AI-first) und der Challenger-April-Report. Die Debatte entwickelt sich darüber hinaus weiter,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