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100.0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sz w:val="19"/>
        </w:rPr>
        <w:t>Nachtrag (Trackerstände 20. September 2026) — ein fünftes Zählwerk, eine Berichtigung und der zweite Tag ohne jede KI-Zuschreibung:</w:t>
      </w:r>
      <w:r>
        <w:rPr>
          <w:rFonts w:ascii="Arial" w:hAnsi="Arial"/>
          <w:b w:val="0"/>
          <w:i w:val="0"/>
          <w:sz w:val="19"/>
        </w:rPr>
        <w:t xml:space="preserve"> Der Abgleich ist am Folgetag nach derselben Verfahrensregel und mit Direktabruf aller erschlossenen Zählwerke wiederholt worden. </w:t>
      </w:r>
      <w:r>
        <w:rPr>
          <w:rFonts w:ascii="Arial" w:hAnsi="Arial"/>
          <w:b w:val="0"/>
          <w:i/>
          <w:sz w:val="19"/>
        </w:rPr>
        <w:t>AskTheRecruiter</w:t>
      </w:r>
      <w:r>
        <w:rPr>
          <w:rFonts w:ascii="Arial" w:hAnsi="Arial"/>
          <w:b w:val="0"/>
          <w:i w:val="0"/>
          <w:sz w:val="19"/>
        </w:rPr>
        <w:t xml:space="preserve"> weist zum 20. September 2026 635.574 belegte Streichungen für 2026 aus, davon 591.783 bereits wirksam und 43.791 mit künftigem Wirksamkeitsdatum (Summenprobe: 591.783 + 43.791 = 635.574, geht auf); die lediglich angekündigte Zählstufe steigt auf 483.866, der zusammengefasste Stand beider Stufen auf 1.119.440 (Summenprobe: 635.574 + 483.866 = 1.119.440, geht auf). Gegenüber dem Vortag entspricht das einem Zuwachs von 1.707 belegten und 6.100 angekündigten Streichungen, zusammen 7.807 (Rechenprobe gegen die Gesamtstände: 1.119.440 − 1.111.633 = 7.807, geht auf). Die vier KI-Kennzahlen desselben Zählwerks bleiben dabei sämtlich unverändert: strenge Zuschreibung 66.861, angekündigte Zuschreibung 47.883, zusammengefasst 114.744, weit gefasste Kennzahl 123.459. Damit ist der am Vortag erstmals beobachtete Flussbefund an einem zweiten Tag reproduziert: In achtundvierzig Stunden sind 14.921 Streichungen zugegangen (7.114 am 19. und 7.807 am 20. September 2026), ohne dass eine einzige davon in irgendeiner der vier KI-Kennzahlen erscheint. Für die in § 9.1 behandelte Kausalattributionsfrage verschiebt das den Akzent weiter von der Bestandsquote zur </w:t>
      </w:r>
      <w:r>
        <w:rPr>
          <w:rFonts w:ascii="Arial" w:hAnsi="Arial"/>
          <w:b w:val="0"/>
          <w:i/>
          <w:sz w:val="19"/>
        </w:rPr>
        <w:t>Zuschreibungsgeschwindigkeit</w:t>
      </w:r>
      <w:r>
        <w:rPr>
          <w:rFonts w:ascii="Arial" w:hAnsi="Arial"/>
          <w:b w:val="0"/>
          <w:i w:val="0"/>
          <w:sz w:val="19"/>
        </w:rPr>
        <w:t>: Ein an der Verdrängung anknüpfender Steuertatbestand müsste seine Bemessungsgrundlage im laufenden Zugang erfassen, nicht im Rückblick auf einen kumulierten Bestand. Ob die Ursache ein Zuschreibungsverzug, eine Zuschreibungslücke oder ein tatsächlich KI-freier Zugang ist, bleibt aus den Trackerdaten weiterhin unentscheidbar; die Beobachtung wird fortgeschrieben, bevor daraus eine Aussage abgeleitet wird.</w:t>
      </w:r>
    </w:p>
    <w:p>
      <w:pPr>
        <w:jc w:val="both"/>
      </w:pPr>
      <w:r>
        <w:rPr>
          <w:rFonts w:ascii="Arial" w:hAnsi="Arial"/>
          <w:b/>
          <w:i w:val="0"/>
          <w:sz w:val="19"/>
        </w:rPr>
        <w:t>Berichtigung zum Stand vom 19. September 2026.</w:t>
      </w:r>
      <w:r>
        <w:rPr>
          <w:rFonts w:ascii="Arial" w:hAnsi="Arial"/>
          <w:b w:val="0"/>
          <w:i w:val="0"/>
          <w:sz w:val="19"/>
        </w:rPr>
        <w:t xml:space="preserve"> Der vollständigere Abruf desselben Zählwerks korrigiert eine im Vorlauf vermerkte Beobachtung. Die dort als „Allzeitzahl von 2.026 Unternehmen" bezeichnete Angabe ist keine Allzeitgröße, sondern die Jahresansicht („companies in 2026"); die tatsächlichen Allzeitangaben lauten 39.591 Unternehmen, 81 Länder und 65.698 Einträge und sind sämtlich größer als der Jahresbestand. Die im Vorlauf gezogene Folgerung, das Zählwerk führe eine Allzeitgröße unterhalb eines Jahresteilbestands, ist damit hinfällig und wird hiermit berichtigt; der frühere Stand bleibt als zeitlich frühere Referenz erhalten (§ 11.5). Bestehen bleibt allerdings eine </w:t>
      </w:r>
      <w:r>
        <w:rPr>
          <w:rFonts w:ascii="Arial" w:hAnsi="Arial"/>
          <w:b w:val="0"/>
          <w:i/>
          <w:sz w:val="19"/>
        </w:rPr>
        <w:t>andere</w:t>
      </w:r>
      <w:r>
        <w:rPr>
          <w:rFonts w:ascii="Arial" w:hAnsi="Arial"/>
          <w:b w:val="0"/>
          <w:i w:val="0"/>
          <w:sz w:val="19"/>
        </w:rPr>
        <w:t xml:space="preserve"> Unstimmigkeit derselben Seite, die erst durch die Berichtigung sichtbar wird: Für dieselbe Jahresgröße 2026 führt die Seite nebeneinander 2.026 Unternehmen (Jahresansicht) und 3.152 Unternehmen bei 3.409 Einträgen (laufende Ansicht). Beide Zahlen sind hier vermerkt, keine wird als Kennzahl weiterverwendet. Die gemessene Erfassungsquote ist unverändert (55 von 57 einschlägigen 8-K-Meldungen, 96 Prozent bei einem 95-Prozent-Vertrauensbereich von 88 bis 99 Prozent); neu ausgelesen ist eine Eigenprüfung des Betreibers, nach der 36 von 36 stichprobenhaft geprüften Zahlen wörtlich in der angegebenen Quelle stehen. Die Zahl meldender Unternehmen der laufenden Ansicht wächst um sieben auf 3.152, die Gebietsabdeckung um ein Land auf 65 Länder bei unverändert 49 US-Bundesstaaten. Die beiden bereits erschlossenen anderen Zählwerke stehen weiter still: </w:t>
      </w:r>
      <w:r>
        <w:rPr>
          <w:rFonts w:ascii="Arial" w:hAnsi="Arial"/>
          <w:b w:val="0"/>
          <w:i/>
          <w:sz w:val="19"/>
        </w:rPr>
        <w:t>SkillSyncer</w:t>
      </w:r>
      <w:r>
        <w:rPr>
          <w:rFonts w:ascii="Arial" w:hAnsi="Arial"/>
          <w:b w:val="0"/>
          <w:i w:val="0"/>
          <w:sz w:val="19"/>
        </w:rPr>
        <w:t xml:space="preserve"> bleibt den siebten Tag in Folge bei 383 Ereignissen mit 210.741 Betroffenen und 188 KI-attribuierten Ereignissen mit 173.465 Betroffenen; die angezeigte Tagesrate sinkt allein durch die Verlängerung des Nenners von 804 auf 801 (Rechenprobe: 210.741 / 263 Tage = 801,3). </w:t>
      </w:r>
      <w:r>
        <w:rPr>
          <w:rFonts w:ascii="Arial" w:hAnsi="Arial"/>
          <w:b w:val="0"/>
          <w:i/>
          <w:sz w:val="19"/>
        </w:rPr>
        <w:t>DisplaceIndex</w:t>
      </w:r>
      <w:r>
        <w:rPr>
          <w:rFonts w:ascii="Arial" w:hAnsi="Arial"/>
          <w:b w:val="0"/>
          <w:i w:val="0"/>
          <w:sz w:val="19"/>
        </w:rPr>
        <w:t xml:space="preserve"> bleibt den achten Tag in Folge bei 377.084 KI-attribuierten Streichungen seit Januar 2023, 57 berichtenden Unternehmen und 0,5 Prozent der als Vergleichsgröße herangezogenen Gesamtstreichungen.</w:t>
      </w:r>
    </w:p>
    <w:p>
      <w:pPr>
        <w:jc w:val="both"/>
      </w:pPr>
      <w:r>
        <w:rPr>
          <w:rFonts w:ascii="Arial" w:hAnsi="Arial"/>
          <w:b/>
          <w:i w:val="0"/>
          <w:sz w:val="19"/>
        </w:rPr>
        <w:t>Ein fünftes Zählwerk — und der Definitionsfehler, vor dem die Verfahrensregel warnt.</w:t>
      </w:r>
      <w:r>
        <w:rPr>
          <w:rFonts w:ascii="Arial" w:hAnsi="Arial"/>
          <w:b w:val="0"/>
          <w:i w:val="0"/>
          <w:sz w:val="19"/>
        </w:rPr>
        <w:t xml:space="preserve"> Bei diesem Lauf ist mit dem </w:t>
      </w:r>
      <w:r>
        <w:rPr>
          <w:rFonts w:ascii="Arial" w:hAnsi="Arial"/>
          <w:b w:val="0"/>
          <w:i/>
          <w:sz w:val="19"/>
        </w:rPr>
        <w:t>Job Security Meter</w:t>
      </w:r>
      <w:r>
        <w:rPr>
          <w:rFonts w:ascii="Arial" w:hAnsi="Arial"/>
          <w:b w:val="0"/>
          <w:i w:val="0"/>
          <w:sz w:val="19"/>
        </w:rPr>
        <w:t xml:space="preserve"> ein weiteres, unabhängig geführtes Zählwerk erschlossen worden. Es weist zum Stand 18. September 2026 (Ankündigungen bis zum 13. September 2026) mehr als 128.500 gestrichene Stellen im Technologiesektor des Jahres 2026 bei mehr als 281 Unternehmen aus, stellt dem einen Vergleichswert von rund 122.600 für das gesamte Jahr 2025 gegenüber und führt daneben eine sektorübergreifende US-Größe von mehr als 284.000 von Massenentlassungsanzeigen erfassten Beschäftigten. Gezählt wird nach Ankündigungsdatum, mit Schwerpunkt auf dem US-Technologiesektor und unter Rückgriff auf die Erhebung eines Personalberatungsunternehmens, auf Massenentlassungsanzeigen, Unternehmensangaben und Sekundärberichterstattung; eine eigene Methodendokumentation liegt nicht vor. Entscheidend ist nicht der Stand, sondern das Verhältnis von Überschrift und Zählkriterium: Die Seite schreibt die 128.500 Stellen in der Überschrift ausdrücklich Künstlicher Intelligenz zu, die darunter zusammengestellte Grundgesamtheit ist jedoch eine </w:t>
      </w:r>
      <w:r>
        <w:rPr>
          <w:rFonts w:ascii="Arial" w:hAnsi="Arial"/>
          <w:b w:val="0"/>
          <w:i/>
          <w:sz w:val="19"/>
        </w:rPr>
        <w:t>Branchensumme</w:t>
      </w:r>
      <w:r>
        <w:rPr>
          <w:rFonts w:ascii="Arial" w:hAnsi="Arial"/>
          <w:b w:val="0"/>
          <w:i w:val="0"/>
          <w:sz w:val="19"/>
        </w:rPr>
        <w:t xml:space="preserve"> des Technologiesektors, in der die Zuschreibung als Deutung des Gesamtbefundes und nicht als Aufnahmekriterium des Einzelfalls fungiert. Damit liegt erstmals ein Zählwerk vor, das genau jenen Schritt vollzieht, vor dem die am 13. September 2026 eingeführte Verfahrensregel warnt — die Gleichsetzung einer Sektorgröße mit einer Verdrängungsgröße. Für dieselbe Frage — wie viele Stellenstreichungen des Jahres 2026 sind Künstlicher Intelligenz zuzurechnen — stehen damit drei nicht ineinander überführbare Größen nebeneinander: 66.861 bei strenger Zuschreibung durch den Arbeitgeber (</w:t>
      </w:r>
      <w:r>
        <w:rPr>
          <w:rFonts w:ascii="Arial" w:hAnsi="Arial"/>
          <w:b w:val="0"/>
          <w:i/>
          <w:sz w:val="19"/>
        </w:rPr>
        <w:t>AskTheRecruiter</w:t>
      </w:r>
      <w:r>
        <w:rPr>
          <w:rFonts w:ascii="Arial" w:hAnsi="Arial"/>
          <w:b w:val="0"/>
          <w:i w:val="0"/>
          <w:sz w:val="19"/>
        </w:rPr>
        <w:t>), rund 128.500 als Branchensumme mit KI-Überschrift (</w:t>
      </w:r>
      <w:r>
        <w:rPr>
          <w:rFonts w:ascii="Arial" w:hAnsi="Arial"/>
          <w:b w:val="0"/>
          <w:i/>
          <w:sz w:val="19"/>
        </w:rPr>
        <w:t>Job Security Meter</w:t>
      </w:r>
      <w:r>
        <w:rPr>
          <w:rFonts w:ascii="Arial" w:hAnsi="Arial"/>
          <w:b w:val="0"/>
          <w:i w:val="0"/>
          <w:sz w:val="19"/>
        </w:rPr>
        <w:t>) und 173.465 bei Selbstbenennung von Künstlicher Intelligenz, Automatisierung oder maschinellem Lernen durch das Unternehmen (</w:t>
      </w:r>
      <w:r>
        <w:rPr>
          <w:rFonts w:ascii="Arial" w:hAnsi="Arial"/>
          <w:b w:val="0"/>
          <w:i/>
          <w:sz w:val="19"/>
        </w:rPr>
        <w:t>SkillSyncer</w:t>
      </w:r>
      <w:r>
        <w:rPr>
          <w:rFonts w:ascii="Arial" w:hAnsi="Arial"/>
          <w:b w:val="0"/>
          <w:i w:val="0"/>
          <w:sz w:val="19"/>
        </w:rPr>
        <w:t xml:space="preserve">), mithin ein Verhältnis von rund 1 : 1,9 : 2,6. Der Stand von </w:t>
      </w:r>
      <w:r>
        <w:rPr>
          <w:rFonts w:ascii="Arial" w:hAnsi="Arial"/>
          <w:b w:val="0"/>
          <w:i/>
          <w:sz w:val="19"/>
        </w:rPr>
        <w:t>DisplaceIndex</w:t>
      </w:r>
      <w:r>
        <w:rPr>
          <w:rFonts w:ascii="Arial" w:hAnsi="Arial"/>
          <w:b w:val="0"/>
          <w:i w:val="0"/>
          <w:sz w:val="19"/>
        </w:rPr>
        <w:t xml:space="preserve"> ist in diese Reihe nicht einzuordnen, weil er seit Januar 2023 kumuliert. Die Spreizung ist damit nicht kleiner geworden, sondern hat eine weitere Zwischenstufe erhalten — und sie stützt die in § 9.2 gezogene Folgerung, dass eine Bemessungsgrundlage, die an der Zuschreibung ansetzt, ohne verbindliche Legaldefinition des Zuschreibungsmaßstabs nicht justiziabel wäre.</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Internationaler Währungsfonds (April 2026):</w:t>
      </w:r>
      <w:r>
        <w:rPr>
          <w:rFonts w:ascii="Arial" w:hAnsi="Arial"/>
          <w:b w:val="0"/>
          <w:i w:val="0"/>
          <w:sz w:val="19"/>
        </w:rPr>
        <w:t xml:space="preserve"> Neben der akademischen Literatur liegt seit April 2026 erstmals eine zusammenhängende Positionsbestimmung des </w:t>
      </w:r>
      <w:r>
        <w:rPr>
          <w:rFonts w:ascii="Arial" w:hAnsi="Arial"/>
          <w:b w:val="0"/>
          <w:i/>
          <w:sz w:val="19"/>
        </w:rPr>
        <w:t>Internationalen Währungsfonds</w:t>
      </w:r>
      <w:r>
        <w:rPr>
          <w:rFonts w:ascii="Arial" w:hAnsi="Arial"/>
          <w:b w:val="0"/>
          <w:i w:val="0"/>
          <w:sz w:val="19"/>
        </w:rPr>
        <w:t xml:space="preserve"> (International Monetary Fund, IWF) zur Steuerfrage vor. Ein elfköpfiges Autorenteam um Natalia Tamirisa unter der Leitung von Era Dabla-Norris legt mit „Global Economic and Financial Implications of Artificial Intelligence: Lessons from a Scenario-Planning Exercise" (IMF Note 2026/002) die Ergebnisse eines Fachgesprächs vom 10. und 11. Dezember 2025 vor, das der Fonds gemeinsam mit der von Anton Korinek geleiteten </w:t>
      </w:r>
      <w:r>
        <w:rPr>
          <w:rFonts w:ascii="Arial" w:hAnsi="Arial"/>
          <w:b w:val="0"/>
          <w:i/>
          <w:sz w:val="19"/>
        </w:rPr>
        <w:t>Economics of Transformative AI Initiative</w:t>
      </w:r>
      <w:r>
        <w:rPr>
          <w:rFonts w:ascii="Arial" w:hAnsi="Arial"/>
          <w:b w:val="0"/>
          <w:i w:val="0"/>
          <w:sz w:val="19"/>
        </w:rPr>
        <w:t xml:space="preserve"> der University of Virginia veranstaltet hat. Untersucht werden zwei Diffusionspfade über einen Fünfjahreshorizont bei gleicher Annahme rasch fortschreitender Modellfähigkeiten: ein </w:t>
      </w:r>
      <w:r>
        <w:rPr>
          <w:rFonts w:ascii="Arial" w:hAnsi="Arial"/>
          <w:b w:val="0"/>
          <w:i/>
          <w:sz w:val="19"/>
        </w:rPr>
        <w:t>Basispfad</w:t>
      </w:r>
      <w:r>
        <w:rPr>
          <w:rFonts w:ascii="Arial" w:hAnsi="Arial"/>
          <w:b w:val="0"/>
          <w:i w:val="0"/>
          <w:sz w:val="19"/>
        </w:rPr>
        <w:t xml:space="preserve"> mit ungleichmäßiger, durch Regulierung, Infrastruktur und betriebliche Reibungen gebremster Verbreitung und ein Pfad </w:t>
      </w:r>
      <w:r>
        <w:rPr>
          <w:rFonts w:ascii="Arial" w:hAnsi="Arial"/>
          <w:b w:val="0"/>
          <w:i/>
          <w:sz w:val="19"/>
        </w:rPr>
        <w:t>entfesselter Verbreitung</w:t>
      </w:r>
      <w:r>
        <w:rPr>
          <w:rFonts w:ascii="Arial" w:hAnsi="Arial"/>
          <w:b w:val="0"/>
          <w:i w:val="0"/>
          <w:sz w:val="19"/>
        </w:rPr>
        <w:t xml:space="preserve"> („runaway diffusion") mit breiter Automatisierung in Industrie und Dienstleistungen und zeitlich vorgezogener Verdrängung. Für die hier geführte Debatte sind vier Aussagen einschlägig. </w:t>
      </w:r>
      <w:r>
        <w:rPr>
          <w:rFonts w:ascii="Arial" w:hAnsi="Arial"/>
          <w:b w:val="0"/>
          <w:i/>
          <w:sz w:val="19"/>
        </w:rPr>
        <w:t>Erstens</w:t>
      </w:r>
      <w:r>
        <w:rPr>
          <w:rFonts w:ascii="Arial" w:hAnsi="Arial"/>
          <w:b w:val="0"/>
          <w:i w:val="0"/>
          <w:sz w:val="19"/>
        </w:rPr>
        <w:t xml:space="preserve"> erwartet der Fonds eine Erosion der arbeitsbezogenen Steuerbasis: Rückgänge bei Beschäftigung und Lohneinkommen schwächten die Bemessungsgrundlage der persönlichen Einkommensteuer, und zwar auch dann, wenn die Löhne der verbleibenden Beschäftigten stiegen. </w:t>
      </w:r>
      <w:r>
        <w:rPr>
          <w:rFonts w:ascii="Arial" w:hAnsi="Arial"/>
          <w:b w:val="0"/>
          <w:i/>
          <w:sz w:val="19"/>
        </w:rPr>
        <w:t>Zweitens</w:t>
      </w:r>
      <w:r>
        <w:rPr>
          <w:rFonts w:ascii="Arial" w:hAnsi="Arial"/>
          <w:b w:val="0"/>
          <w:i w:val="0"/>
          <w:sz w:val="19"/>
        </w:rPr>
        <w:t xml:space="preserve"> könne eine Verlagerung von der Arbeit auf das Kapital über höhere Unternehmensteuern diese Ausfälle angesichts von Kapitalmobilität, Marktkonzentration und internationalem Steuerwettbewerb nur teilweise ausgleichen — ein Befund, der die in § 9.3 referierte Einschränkung bestätigt. </w:t>
      </w:r>
      <w:r>
        <w:rPr>
          <w:rFonts w:ascii="Arial" w:hAnsi="Arial"/>
          <w:b w:val="0"/>
          <w:i/>
          <w:sz w:val="19"/>
        </w:rPr>
        <w:t>Drittens</w:t>
      </w:r>
      <w:r>
        <w:rPr>
          <w:rFonts w:ascii="Arial" w:hAnsi="Arial"/>
          <w:b w:val="0"/>
          <w:i w:val="0"/>
          <w:sz w:val="19"/>
        </w:rPr>
        <w:t xml:space="preserve"> rät der Fonds ausdrücklich von pauschalen Robotersteuern („blunt robot taxes") ab und empfiehlt stattdessen, die Steuersysteme auf die Erfassung </w:t>
      </w:r>
      <w:r>
        <w:rPr>
          <w:rFonts w:ascii="Arial" w:hAnsi="Arial"/>
          <w:b w:val="0"/>
          <w:i/>
          <w:sz w:val="19"/>
        </w:rPr>
        <w:t>ökonomischer Renten</w:t>
      </w:r>
      <w:r>
        <w:rPr>
          <w:rFonts w:ascii="Arial" w:hAnsi="Arial"/>
          <w:b w:val="0"/>
          <w:i w:val="0"/>
          <w:sz w:val="19"/>
        </w:rPr>
        <w:t xml:space="preserve"> auszurichten, die Kapitaleinkommensbesteuerung auf der Ebene der natürlichen Personen mit Sicherungen gegen Basiserosion zu stärken und die Steuerverwaltung selbst KI-gestützt zu ertüchtigen. </w:t>
      </w:r>
      <w:r>
        <w:rPr>
          <w:rFonts w:ascii="Arial" w:hAnsi="Arial"/>
          <w:b w:val="0"/>
          <w:i/>
          <w:sz w:val="19"/>
        </w:rPr>
        <w:t>Viertens</w:t>
      </w:r>
      <w:r>
        <w:rPr>
          <w:rFonts w:ascii="Arial" w:hAnsi="Arial"/>
          <w:b w:val="0"/>
          <w:i w:val="0"/>
          <w:sz w:val="19"/>
        </w:rPr>
        <w:t xml:space="preserve"> verlören beschäftigungsgebundene Sozialversicherungssysteme bei rascher Verbreitung an Wirksamkeit; nötig seien schnell skalierbare Transfersysteme mit schwächerer Bindung an den Erwerbsstatus, in zugespitzten Fällen bis hin zu Programmen nach Art eines bedingungslosen Grundeinkommens (§ 5.3). Ausdrücklich benannt wird eine Asymmetrie, die für die in Kapitel 8 entwickelte Position unmittelbar einschlägig ist: Die fiskalischen Probleme seien am schärfsten für Länder, die KI-Dienste </w:t>
      </w:r>
      <w:r>
        <w:rPr>
          <w:rFonts w:ascii="Arial" w:hAnsi="Arial"/>
          <w:b w:val="0"/>
          <w:i/>
          <w:sz w:val="19"/>
        </w:rPr>
        <w:t>konsumieren</w:t>
      </w:r>
      <w:r>
        <w:rPr>
          <w:rFonts w:ascii="Arial" w:hAnsi="Arial"/>
          <w:b w:val="0"/>
          <w:i w:val="0"/>
          <w:sz w:val="19"/>
        </w:rPr>
        <w:t>, statt sie zu produzieren (vgl. § 8.2).</w:t>
      </w:r>
    </w:p>
    <w:p>
      <w:pPr>
        <w:jc w:val="both"/>
      </w:pPr>
      <w:r>
        <w:rPr>
          <w:rFonts w:ascii="Arial" w:hAnsi="Arial"/>
          <w:b w:val="0"/>
          <w:i w:val="0"/>
          <w:sz w:val="19"/>
        </w:rPr>
        <w:t>Der Einordnung bedarf die Belastbarkeit. Es handelt sich nicht um eine quantifizierte Modellrechnung, sondern um eine Szenario-Planungsübung: Das Papier enthält keine eigenen Punktschätzungen zu Wachstum, Lohnquote oder Beschäftigung, die Beratungen liefen unter der Chatham-House-Regel (Inhalte dürfen wiedergegeben, aber keiner namentlich benannten Person zugeordnet werden), und die Reihe weist die Ansichten ausdrücklich den Verfasserinnen und Verfassern und nicht dem Fonds, seinem Exekutivdirektorium oder seiner Leitung zu. Die Aussagen sind deshalb als institutionell gerahmte Erwartungsbildung zu lesen, nicht als Prognose (§ 4.2 `Claude.md`). Inhaltlich steht der Fonds der Gegenposition in § 3.4 nahe, soweit er eine eigenständige Robotersteuer ablehnt, weicht von ihr aber im positiven Teil ab: de la Feria und andere verweisen auf die bestehende Steuerstruktur, der Fonds auf eine Neuausrichtung auf Renten- und persönliche Kapitaleinkommensbesteuerung. Gegenüber der in § 5.1 behandelten Wertschöpfungsabgabe ist das eine dritte Zugriffslogik — weder Maschine noch Wertschöpfung, sondern Rente als Bemessungsgrundlage.</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jc w:val="both"/>
      </w:pPr>
      <w:r>
        <w:rPr>
          <w:rFonts w:ascii="Arial" w:hAnsi="Arial"/>
          <w:b/>
          <w:i w:val="0"/>
          <w:sz w:val="19"/>
        </w:rPr>
        <w:t>Elfte Fortschreibung (Strategiekreis für Technologie und Innovation des Bundeskanzlers, 16. September 2026 — die Veredelungsspur erhält eine Regierungsentsprechung, die Finanzierungsspur wieder nicht):</w:t>
      </w:r>
      <w:r>
        <w:rPr>
          <w:rFonts w:ascii="Arial" w:hAnsi="Arial"/>
          <w:b w:val="0"/>
          <w:i w:val="0"/>
          <w:sz w:val="19"/>
        </w:rPr>
        <w:t xml:space="preserve"> Am selben Tag, an dem die europäische Ebene ihre Gesamtbilanz gezogen hat (Neunte Fortschreibung), hat der Bundeskanzler den </w:t>
      </w:r>
      <w:r>
        <w:rPr>
          <w:rFonts w:ascii="Arial" w:hAnsi="Arial"/>
          <w:b w:val="0"/>
          <w:i/>
          <w:sz w:val="19"/>
        </w:rPr>
        <w:t>Strategiekreis für Technologie und Innovation</w:t>
      </w:r>
      <w:r>
        <w:rPr>
          <w:rFonts w:ascii="Arial" w:hAnsi="Arial"/>
          <w:b w:val="0"/>
          <w:i w:val="0"/>
          <w:sz w:val="19"/>
        </w:rPr>
        <w:t xml:space="preserve"> zu seiner dritten Sitzung im Bundeskanzleramt empfangen. Beteiligt waren neben der Leitung des Kanzleramts die Ressorts für Wirtschaft und Energie (BMWE), Forschung, Technologie und Raumfahrt (BMFTR), Digitales und Staatsmodernisierung (BMDS), Finanzen (BMF) und Verteidigung (BMVg) sowie acht Sachverständige aus Wirtschaft und Wissenschaft, darunter der Präsident der Deutschen Akademie der Technikwissenschaften (acatech), der Präsident der Fraunhofer-Gesellschaft sowie Unternehmensvertreterinnen und -vertreter aus der Sprachtechnologie und der Biotechnologie. Zwei Schwerpunkte standen auf der Tagesordnung: die Stärkung des nationalen KI-Ökosystems und Innovationspotenziale im Verteidigungsbereich. Zur ersten Frage kommt das Gremium zu dem Ergebnis, dass gerade die </w:t>
      </w:r>
      <w:r>
        <w:rPr>
          <w:rFonts w:ascii="Arial" w:hAnsi="Arial"/>
          <w:b w:val="0"/>
          <w:i/>
          <w:sz w:val="19"/>
        </w:rPr>
        <w:t>industrielle</w:t>
      </w:r>
      <w:r>
        <w:rPr>
          <w:rFonts w:ascii="Arial" w:hAnsi="Arial"/>
          <w:b w:val="0"/>
          <w:i w:val="0"/>
          <w:sz w:val="19"/>
        </w:rPr>
        <w:t xml:space="preserve"> Künstliche Intelligenz eine besondere Chance biete, Deutschland als KI-Nation zu etablieren; empfohlen werden eine Verzahnung der </w:t>
      </w:r>
      <w:r>
        <w:rPr>
          <w:rFonts w:ascii="Arial" w:hAnsi="Arial"/>
          <w:b w:val="0"/>
          <w:i/>
          <w:sz w:val="19"/>
        </w:rPr>
        <w:t>Hightech Agenda Deutschland</w:t>
      </w:r>
      <w:r>
        <w:rPr>
          <w:rFonts w:ascii="Arial" w:hAnsi="Arial"/>
          <w:b w:val="0"/>
          <w:i w:val="0"/>
          <w:sz w:val="19"/>
        </w:rPr>
        <w:t xml:space="preserve"> mit den europäischen Vorhaben von gemeinsamem europäischem Interesse (Important Projects of Common European Interest, IPCEI) sowie der Einsatz einer KI-Taskforce der Bundesregierung. Erörtert wurden ferner das Potenzial Künstlicher Intelligenz für die nächste Robotikgeneration (vgl. § 2.2) und der Schutz geistigen Eigentums.</w:t>
      </w:r>
    </w:p>
    <w:p>
      <w:pPr>
        <w:jc w:val="both"/>
      </w:pPr>
      <w:r>
        <w:rPr>
          <w:rFonts w:ascii="Arial" w:hAnsi="Arial"/>
          <w:b w:val="0"/>
          <w:i w:val="0"/>
          <w:sz w:val="19"/>
        </w:rPr>
        <w:t xml:space="preserve">Für die erste Säule der These — die Veredelungsstrategie — ist der Vorgang in drei Hinsichten aufschlussreich. </w:t>
      </w:r>
      <w:r>
        <w:rPr>
          <w:rFonts w:ascii="Arial" w:hAnsi="Arial"/>
          <w:b w:val="0"/>
          <w:i/>
          <w:sz w:val="19"/>
        </w:rPr>
        <w:t>Erstens</w:t>
      </w:r>
      <w:r>
        <w:rPr>
          <w:rFonts w:ascii="Arial" w:hAnsi="Arial"/>
          <w:b w:val="0"/>
          <w:i w:val="0"/>
          <w:sz w:val="19"/>
        </w:rPr>
        <w:t xml:space="preserve"> formuliert ein Beratungsgremium der Regierungsspitze eine Zielbestimmung, die strukturell mit der in diesem Abschnitt vertretenen Position übereinstimmt: Der deutsche Zugriff wird nicht auf der Ebene des Basismodells, sondern auf der industriellen Anwendungs- und Veredelungsschicht gesucht. </w:t>
      </w:r>
      <w:r>
        <w:rPr>
          <w:rFonts w:ascii="Arial" w:hAnsi="Arial"/>
          <w:b w:val="0"/>
          <w:i/>
          <w:sz w:val="19"/>
        </w:rPr>
        <w:t>Zweitens</w:t>
      </w:r>
      <w:r>
        <w:rPr>
          <w:rFonts w:ascii="Arial" w:hAnsi="Arial"/>
          <w:b w:val="0"/>
          <w:i w:val="0"/>
          <w:sz w:val="19"/>
        </w:rPr>
        <w:t xml:space="preserve"> reproduziert der Beschluss zugleich die Leerstelle, die in § 4.5 gegenüber dem OpenAI-Papier und in der Neunten Fortschreibung gegenüber der europäischen Bilanz festgehalten worden ist: Die Antwort bleibt vollständig industrie- und förderpolitisch; Finanzierung, Bemessungsgrundlage und Teilhabe (§ 8.3) kommen nicht vor, obwohl mit dem Bundesfinanzministerium das dafür zuständige Ressort am Tisch saß. Die Veredelungsspur und die Finanzierungsspur der These werden damit auf Regierungsebene weiterhin getrennt geführt. </w:t>
      </w:r>
      <w:r>
        <w:rPr>
          <w:rFonts w:ascii="Arial" w:hAnsi="Arial"/>
          <w:b w:val="0"/>
          <w:i/>
          <w:sz w:val="19"/>
        </w:rPr>
        <w:t>Drittens</w:t>
      </w:r>
      <w:r>
        <w:rPr>
          <w:rFonts w:ascii="Arial" w:hAnsi="Arial"/>
          <w:b w:val="0"/>
          <w:i w:val="0"/>
          <w:sz w:val="19"/>
        </w:rPr>
        <w:t xml:space="preserve"> handelt es sich um Empfehlungen eines Beratungsgremiums, nicht um Beschlusslage; sie wären erst über die </w:t>
      </w:r>
      <w:r>
        <w:rPr>
          <w:rFonts w:ascii="Arial" w:hAnsi="Arial"/>
          <w:b w:val="0"/>
          <w:i/>
          <w:sz w:val="19"/>
        </w:rPr>
        <w:t>Hightech Agenda Deutschland</w:t>
      </w:r>
      <w:r>
        <w:rPr>
          <w:rFonts w:ascii="Arial" w:hAnsi="Arial"/>
          <w:b w:val="0"/>
          <w:i w:val="0"/>
          <w:sz w:val="19"/>
        </w:rPr>
        <w:t>, die Haushaltsaufstellung und gegebenenfalls ein IPCEI-Verfahren umzusetzen (Konjunktivpflicht nach § 4.2 `Claude.md`). Ein Verfahrensvermerk ist mitzuführen: Die amtliche Meldung des Bundeskanzlers enthält lediglich die Terminankündigung mit den beiden Themenschwerpunkten; der inhaltliche Bericht mit den oben referierten Empfehlungen stammt von acatech, das den Strategiekreis wissenschaftlich begleitet — also von einem Beteiligten und nicht von einer unabhängigen Instanz. Zahlenangaben zu Investitionsvolumina oder Förderhöhen enthält keine der beiden Quellen.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jc w:val="both"/>
      </w:pPr>
      <w:r>
        <w:rPr>
          <w:rFonts w:ascii="Arial" w:hAnsi="Arial"/>
          <w:b w:val="0"/>
          <w:i w:val="0"/>
          <w:sz w:val="19"/>
        </w:rPr>
        <w:t xml:space="preserve">Internationaler Währungsfonds (Barhoumi, K., de Carvalho, F., Gorbanyov, M., Kido, Y., Koll, D., Nguyen, A. D. M., Ostojic, D., Shang, B., Tamirisa, N. [Leitung], Toms, S. &amp; Zhao, Y., unter der Leitung von Dabla-Norris, E.). (April 2026). </w:t>
      </w:r>
      <w:r>
        <w:rPr>
          <w:rFonts w:ascii="Arial" w:hAnsi="Arial"/>
          <w:b w:val="0"/>
          <w:i/>
          <w:sz w:val="19"/>
        </w:rPr>
        <w:t>Global Economic and Financial Implications of Artificial Intelligence: Lessons from a Scenario-Planning Exercise.</w:t>
      </w:r>
      <w:r>
        <w:rPr>
          <w:rFonts w:ascii="Arial" w:hAnsi="Arial"/>
          <w:b w:val="0"/>
          <w:i w:val="0"/>
          <w:sz w:val="19"/>
        </w:rPr>
        <w:t xml:space="preserve"> IMF Note 2026/002, International Monetary Fund, Washington, DC. ISBN 979-8-2290-4297-0 (webPDF). Ergebnisbericht eines Fachgesprächs vom 10./11. Dezember 2025, ausgerichtet gemeinsam mit der </w:t>
      </w:r>
      <w:r>
        <w:rPr>
          <w:rFonts w:ascii="Arial" w:hAnsi="Arial"/>
          <w:b w:val="0"/>
          <w:i/>
          <w:sz w:val="19"/>
        </w:rPr>
        <w:t>Economics of Transformative AI Initiative</w:t>
      </w:r>
      <w:r>
        <w:rPr>
          <w:rFonts w:ascii="Arial" w:hAnsi="Arial"/>
          <w:b w:val="0"/>
          <w:i w:val="0"/>
          <w:sz w:val="19"/>
        </w:rPr>
        <w:t xml:space="preserve"> (EconTAI, University of Virginia, Anton Korinek) unter der Chatham-House-Regel; Tag 1 mit Fachvorträgen, Tag 2 mit einer nichtöffentlichen Szenario-Planungsübung zu zwei Diffusionspfaden (Basispfad und „runaway diffusion") über einen Fünfjahreshorizont. Fiskalische Kernaussagen: Erosion der arbeitsbezogenen Steuerbasis auch bei steigenden Löhnen der verbleibenden Beschäftigten; nur teilweiser Ausgleich über höhere Unternehmensteuern wegen Kapitalmobilität, Marktkonzentration und Steuerwettbewerb; ausdrückliche Empfehlung, pauschale Robotersteuern („blunt robot taxes") zu vermeiden, die Systeme stattdessen auf die Erfassung ökonomischer Renten auszurichten, die Kapitaleinkommensbesteuerung auf Ebene der natürlichen Personen mit Sicherungen gegen Basiserosion zu stärken und die Steuerverwaltung KI-gestützt zu ertüchtigen; Wirksamkeitsverlust beschäftigungsgebundener Sozialversicherung und Entkopplung der Sicherung vom Erwerbsstatus, in zugespitzten Fällen bis hin zu Programmen nach Art eines bedingungslosen Grundeinkommens; ausdrückliche Asymmetrie zulasten von Ländern, die KI-Dienste konsumieren statt produzieren. Einschränkung: keine eigenen Punktschätzungen; die Ansichten werden ausdrücklich den Verfasserinnen und Verfassern und nicht dem Fonds zugerechnet. </w:t>
      </w:r>
      <w:r>
        <w:rPr>
          <w:rFonts w:ascii="Arial" w:hAnsi="Arial"/>
          <w:b/>
          <w:i w:val="0"/>
          <w:sz w:val="19"/>
        </w:rPr>
        <w:t>Prüfvermerk nach § 2.4.4 `Validierung.md`:</w:t>
      </w:r>
      <w:r>
        <w:rPr>
          <w:rFonts w:ascii="Arial" w:hAnsi="Arial"/>
          <w:b w:val="0"/>
          <w:i w:val="0"/>
          <w:sz w:val="19"/>
        </w:rPr>
        <w:t xml:space="preserve"> Der Direktabruf der Nachweisseite in der IMF-eLibrary ist mit HTTP-Statuscode 403 abgewiesen worden (Zugriffssperre, kein toter Link); der Volltext ist über die frei ausgelieferte PDF-Fassung auf imf.org vollständig beschafft und über alle 30 Seiten ausgewertet worden, sämtliche hier referierten Aussagen und wörtlichen Wendungen stammen aus dieser Fassung. Aufnahme in § 3.3 mit Querverweisen auf § 3.4, § 5.1, § 5.3, § 8.2 und § 9.3. https://www.elibrary.imf.org/view/journals/068/2026/002/article-A001-en.xml — Volltext: https://www.imf.org/-/media/files/publications/imf-notes/2026/english/insea2026002.pdf</w:t>
      </w:r>
    </w:p>
    <w:p>
      <w:pPr>
        <w:jc w:val="both"/>
      </w:pPr>
      <w:r>
        <w:rPr>
          <w:rFonts w:ascii="Arial" w:hAnsi="Arial"/>
          <w:b w:val="0"/>
          <w:i w:val="0"/>
          <w:sz w:val="19"/>
        </w:rPr>
        <w:t xml:space="preserve">Bundeskanzleramt / acatech – Deutsche Akademie der Technikwissenschaften. (16. September 2026). </w:t>
      </w:r>
      <w:r>
        <w:rPr>
          <w:rFonts w:ascii="Arial" w:hAnsi="Arial"/>
          <w:b w:val="0"/>
          <w:i/>
          <w:sz w:val="19"/>
        </w:rPr>
        <w:t>Sitzung des Strategiekreises für Technologie und Innovation</w:t>
      </w:r>
      <w:r>
        <w:rPr>
          <w:rFonts w:ascii="Arial" w:hAnsi="Arial"/>
          <w:b w:val="0"/>
          <w:i w:val="0"/>
          <w:sz w:val="19"/>
        </w:rPr>
        <w:t xml:space="preserve"> (amtliche Meldung) sowie </w:t>
      </w:r>
      <w:r>
        <w:rPr>
          <w:rFonts w:ascii="Arial" w:hAnsi="Arial"/>
          <w:b w:val="0"/>
          <w:i/>
          <w:sz w:val="19"/>
        </w:rPr>
        <w:t>Strategiekreis für Technologie und Innovation des Bundeskanzlers: Industrielle KI bietet eine große Chance für Deutschland</w:t>
      </w:r>
      <w:r>
        <w:rPr>
          <w:rFonts w:ascii="Arial" w:hAnsi="Arial"/>
          <w:b w:val="0"/>
          <w:i w:val="0"/>
          <w:sz w:val="19"/>
        </w:rPr>
        <w:t xml:space="preserve"> (Bericht der begleitenden Akademie). Dritte Sitzung des Gremiums im Bundeskanzleramt mit den Ressorts BMWE, BMFTR, BMDS, BMF und BMVg sowie acht Sachverständigen aus Wirtschaft und Wissenschaft; Schwerpunkte Stärkung des nationalen KI-Ökosystems und Innovationspotenziale im Verteidigungsbereich. Empfehlungen: industrielle Künstliche Intelligenz als besondere Chance, Deutschland als KI-Nation zu etablieren; Verzahnung der </w:t>
      </w:r>
      <w:r>
        <w:rPr>
          <w:rFonts w:ascii="Arial" w:hAnsi="Arial"/>
          <w:b w:val="0"/>
          <w:i/>
          <w:sz w:val="19"/>
        </w:rPr>
        <w:t>Hightech Agenda Deutschland</w:t>
      </w:r>
      <w:r>
        <w:rPr>
          <w:rFonts w:ascii="Arial" w:hAnsi="Arial"/>
          <w:b w:val="0"/>
          <w:i w:val="0"/>
          <w:sz w:val="19"/>
        </w:rPr>
        <w:t xml:space="preserve"> mit europäischen IPCEI-Vorhaben; Einsatz einer KI-Taskforce der Bundesregierung; ferner Robotik der nächsten Generation und Schutz geistigen Eigentums. Quellenlage: Die amtliche Meldung enthält nur die Terminankündigung mit den beiden Themenschwerpunkten; die inhaltlichen Empfehlungen sind dem Bericht der begleitenden Akademie — also eines Beteiligten — entnommen und entsprechend gekennzeichnet. Keine Zahlenangaben zu Investitionsvolumina oder Förderhöhen. Aufnahme als </w:t>
      </w:r>
      <w:r>
        <w:rPr>
          <w:rFonts w:ascii="Arial" w:hAnsi="Arial"/>
          <w:b w:val="0"/>
          <w:i/>
          <w:sz w:val="19"/>
        </w:rPr>
        <w:t>Elfte Fortschreibung</w:t>
      </w:r>
      <w:r>
        <w:rPr>
          <w:rFonts w:ascii="Arial" w:hAnsi="Arial"/>
          <w:b w:val="0"/>
          <w:i w:val="0"/>
          <w:sz w:val="19"/>
        </w:rPr>
        <w:t xml:space="preserve"> in § 8.2. https://www.bundeskanzler.de/bk-de/aktuelles/sitzung-des-strategiekreises-fuer-technologie-und-innovation-2452272 — https://www.acatech.de/allgemein/strategiekreis-industrielle-ki/</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xml:space="preserve">) und hält die 49-Prozent-Quote gleichwohl aufrecht — eine vom Betreiber selbst benannte Einschränkung, die hier vermerkt, aber nicht als Korrektur der Quote weiterverwendet wird. Zuwachs gegenüber dem Vortag: null. </w:t>
      </w:r>
      <w:r>
        <w:rPr>
          <w:rFonts w:ascii="Arial" w:hAnsi="Arial"/>
          <w:b w:val="0"/>
          <w:i/>
          <w:sz w:val="19"/>
        </w:rPr>
        <w:t>Nachtrag Stand 20. September 2026</w:t>
      </w:r>
      <w:r>
        <w:rPr>
          <w:rFonts w:ascii="Arial" w:hAnsi="Arial"/>
          <w:b w:val="0"/>
          <w:i w:val="0"/>
          <w:sz w:val="19"/>
        </w:rPr>
        <w:t xml:space="preserve"> (siebter aufeinanderfolgender Vierundzwanzig-Stunden-Zeitraum ohne Zugang): sämtliche Bestandskennzahlen unverändert — 383 Ereignisse, 210.741 Betroffene, 188 KI-attribuierte Ereignisse mit 173.465 Betroffenen; die angezeigte Tagesrate sinkt allein durch die Verlängerung des Nenners von 804 auf 801 (Rechenprobe: 210.741 / 263 Tage = 801,3, geht auf). Zuwachs gegenüber dem Vortag: null. Die Stände vom 12. bis 19.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w:t>
      </w:r>
      <w:r>
        <w:rPr>
          <w:rFonts w:ascii="Arial" w:hAnsi="Arial"/>
          <w:b w:val="0"/>
          <w:i/>
          <w:sz w:val="19"/>
        </w:rPr>
        <w:t>Nachtrag Stand 20. September 2026</w:t>
      </w:r>
      <w:r>
        <w:rPr>
          <w:rFonts w:ascii="Arial" w:hAnsi="Arial"/>
          <w:b w:val="0"/>
          <w:i w:val="0"/>
          <w:sz w:val="19"/>
        </w:rPr>
        <w:t xml:space="preserve"> (achter Direktabruf): 635.574 belegte Streichungen (591.783 bereits wirksam, 43.791 mit künftigem Wirksamkeitsdatum; Summenprobe geht auf), angekündigte Zählstufe 483.866, zusammengefasster Stand 1.119.440 (Summenprobe geht auf); Zuwachs gegenüber dem Vortag 1.707 belegte und 6.100 angekündigte Streichungen, zusammen 7.807 (Rechenprobe gegen die Gesamtstände geht auf). Sämtliche vier KI-Kennzahlen unverändert (66.861 streng, 47.883 angekündigt, 114.744 zusammengefasst, 123.459 weit gefasst); damit zweiter aufeinanderfolgender Tag, an dem der gesamte Zugang ohne KI-Zuschreibung bleibt. 3.152 Unternehmen und 3.409 Einträge in der laufenden Jahresansicht, 65 Länder, 49 US-Bundesstaaten. </w:t>
      </w:r>
      <w:r>
        <w:rPr>
          <w:rFonts w:ascii="Arial" w:hAnsi="Arial"/>
          <w:b/>
          <w:i w:val="0"/>
          <w:sz w:val="19"/>
        </w:rPr>
        <w:t>Berichtigung zum Stand vom 19. September 2026:</w:t>
      </w:r>
      <w:r>
        <w:rPr>
          <w:rFonts w:ascii="Arial" w:hAnsi="Arial"/>
          <w:b w:val="0"/>
          <w:i w:val="0"/>
          <w:sz w:val="19"/>
        </w:rPr>
        <w:t xml:space="preserve"> Die dort vermerkte „Allzeitzahl von 2.026 Unternehmen" ist keine Allzeitgröße, sondern die Jahresansicht („companies in 2026"); die Allzeitangaben lauten 39.591 Unternehmen, 81 Länder und 65.698 Einträge und liegen sämtlich über dem Jahresbestand. Die dort gezogene Folgerung einer Allzeitgröße unterhalb eines Jahresteilbestands ist damit hinfällig; der frühere Eintrag bleibt als zeitlich frühere Referenz unverändert stehen. Fortbestehend ist die Unstimmigkeit zweier Zahlen für dieselbe Jahresgröße 2026 (2.026 in der Jahresansicht gegenüber 3.152 in der laufenden Ansicht), hier vermerkt, aber nicht als Kennzahl weiterverwendet. Erfassungsquote unverändert (55 von 57, 96 %, Vertrauensbereich 88 bis 99 %); neu ausgelesen ist eine Eigenprüfung, nach der 36 von 36 stichprobenhaft geprüften Zahlen wörtlich in der angegebenen Quelle stehen. Die Stände vom 13. bis 19.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val="0"/>
          <w:i/>
          <w:sz w:val="19"/>
        </w:rPr>
        <w:t>Nachtrag Stand 20. September 2026</w:t>
      </w:r>
      <w:r>
        <w:rPr>
          <w:rFonts w:ascii="Arial" w:hAnsi="Arial"/>
          <w:b w:val="0"/>
          <w:i w:val="0"/>
          <w:sz w:val="19"/>
        </w:rPr>
        <w:t xml:space="preserve"> (achter Direktabruf; damit siebter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Die Stände vom 13. bis 19. September 2026 bleiben als zeitlich frühere Referenzen vollständig erhalten. https://displaceindex.com/trends/ai-layoffs-tracker/</w:t>
      </w:r>
    </w:p>
    <w:p>
      <w:pPr>
        <w:jc w:val="both"/>
      </w:pPr>
      <w:r>
        <w:rPr>
          <w:rFonts w:ascii="Arial" w:hAnsi="Arial"/>
          <w:b w:val="0"/>
          <w:i w:val="0"/>
          <w:sz w:val="19"/>
        </w:rPr>
        <w:t xml:space="preserve">Job Security Meter. (Stand 18. September 2026; erfasste Ankündigungen bis 13. September 2026). </w:t>
      </w:r>
      <w:r>
        <w:rPr>
          <w:rFonts w:ascii="Arial" w:hAnsi="Arial"/>
          <w:b w:val="0"/>
          <w:i/>
          <w:sz w:val="19"/>
        </w:rPr>
        <w:t>2026 Tech Layoffs: 128.500+ Jobs Lost to AI (Live Tracker).</w:t>
      </w:r>
      <w:r>
        <w:rPr>
          <w:rFonts w:ascii="Arial" w:hAnsi="Arial"/>
          <w:b w:val="0"/>
          <w:i w:val="0"/>
          <w:sz w:val="19"/>
        </w:rPr>
        <w:t xml:space="preserve"> Fünftes im Rahmen der Mehr-Tracker-Gegenprobe (`Suchthemen.md`, Cluster F) erschlossenes Zählwerk, erstmals in diesem Lauf abgerufen. Ausgewiesene Stände: mehr als 128.500 gestrichene Stellen im Technologiesektor des Jahres 2026 bei mehr als 281 Unternehmen; Vergleichswert für das Gesamtjahr 2025 rund 122.600; daneben eine sektorübergreifende US-Größe von mehr als 284.000 von Massenentlassungsanzeigen (WARN notices) erfassten Beschäftigten im Jahr 2026. Zähldefinition, soweit der Seite entnehmbar: Zählung nach Ankündigungsdatum, Schwerpunkt US-Technologiesektor bei vereinzelten internationalen Fällen, Quellen sind die Stellenabbau-Erhebung eines Personalberatungsunternehmens, Massenentlassungsanzeigen, Unternehmensangaben und Sekundärberichterstattung; eine eigene Methodendokumentation ist nicht hinterlegt. </w:t>
      </w:r>
      <w:r>
        <w:rPr>
          <w:rFonts w:ascii="Arial" w:hAnsi="Arial"/>
          <w:b/>
          <w:i w:val="0"/>
          <w:sz w:val="19"/>
        </w:rPr>
        <w:t>Prüfvermerk:</w:t>
      </w:r>
      <w:r>
        <w:rPr>
          <w:rFonts w:ascii="Arial" w:hAnsi="Arial"/>
          <w:b w:val="0"/>
          <w:i w:val="0"/>
          <w:sz w:val="19"/>
        </w:rPr>
        <w:t xml:space="preserve"> Die Überschrift schreibt die 128.500 Stellen ausdrücklich Künstlicher Intelligenz zu, die zugrunde liegende Grundgesamtheit ist jedoch eine Branchensumme des Technologiesektors; die KI-Zuschreibung ist Deutung des Gesamtbefundes und nicht Aufnahmekriterium des Einzelfalls. Die Zahl ist deshalb hier dokumentiert, aber nicht als Verdrängungsgröße weiterverwendet. Aufnahme in § 1.1 als dritte Zwischenstufe der Spreizung (66.861 streng / rund 128.500 Branchensumme / 173.465 bei Selbstbenennung; Verhältnis rund 1 : 1,9 : 2,6) mit Rückwirkung auf § 9.1 und § 9.2. https://jobsecuritymeter.com/layoffs</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i w:val="0"/>
          <w:sz w:val="19"/>
        </w:rPr>
        <w:t>Hinweis zur Aktualität:</w:t>
      </w:r>
      <w:r>
        <w:rPr>
          <w:rFonts w:ascii="Arial" w:hAnsi="Arial"/>
          <w:b w:val="0"/>
          <w:i w:val="0"/>
          <w:sz w:val="19"/>
        </w:rPr>
        <w:t xml:space="preserve"> Dieses Arbeitspapier gibt den Stand Ende September 2026 (Schnitt am 20. September 2026 — Lauf 001 vom 20. September 2026, Version 100.0)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Mit dem Lauf vom 20. September 2026 sind hinzugekommen: (e) die erste zusammenhängende Positionsbestimmung des </w:t>
      </w:r>
      <w:r>
        <w:rPr>
          <w:rFonts w:ascii="Arial" w:hAnsi="Arial"/>
          <w:b w:val="0"/>
          <w:i/>
          <w:sz w:val="19"/>
        </w:rPr>
        <w:t>Internationalen Währungsfonds</w:t>
      </w:r>
      <w:r>
        <w:rPr>
          <w:rFonts w:ascii="Arial" w:hAnsi="Arial"/>
          <w:b w:val="0"/>
          <w:i w:val="0"/>
          <w:sz w:val="19"/>
        </w:rPr>
        <w:t xml:space="preserve"> zur Steuerfrage — Erosion der arbeitsbezogenen Steuerbasis, nur teilweiser Ausgleich über die Unternehmensteuer, ausdrückliche Abratung von pauschalen Robotersteuern zugunsten einer Ausrichtung auf ökonomische Renten und die persönliche Kapitaleinkommensbesteuerung sowie die Asymmetrie zulasten KI-konsumierender Länder (§ 3.3 mit Querverweisen auf § 3.4, § 5.1, § 5.3, § 8.2 und § 9.3, Neueintrag in § 11.3); (f) die dritte Sitzung des </w:t>
      </w:r>
      <w:r>
        <w:rPr>
          <w:rFonts w:ascii="Arial" w:hAnsi="Arial"/>
          <w:b w:val="0"/>
          <w:i/>
          <w:sz w:val="19"/>
        </w:rPr>
        <w:t>Strategiekreises für Technologie und Innovation des Bundeskanzlers</w:t>
      </w:r>
      <w:r>
        <w:rPr>
          <w:rFonts w:ascii="Arial" w:hAnsi="Arial"/>
          <w:b w:val="0"/>
          <w:i w:val="0"/>
          <w:sz w:val="19"/>
        </w:rPr>
        <w:t xml:space="preserve"> vom 16. September 2026, die der Veredelungsspur der Deutschland-These eine Regierungsentsprechung gibt, die Finanzierungs- und Teilhabefrage aber erneut ausspart (</w:t>
      </w:r>
      <w:r>
        <w:rPr>
          <w:rFonts w:ascii="Arial" w:hAnsi="Arial"/>
          <w:b w:val="0"/>
          <w:i/>
          <w:sz w:val="19"/>
        </w:rPr>
        <w:t>Elfte Fortschreibung</w:t>
      </w:r>
      <w:r>
        <w:rPr>
          <w:rFonts w:ascii="Arial" w:hAnsi="Arial"/>
          <w:b w:val="0"/>
          <w:i w:val="0"/>
          <w:sz w:val="19"/>
        </w:rPr>
        <w:t xml:space="preserve"> in § 8.2, Neueintrag in § 11.3); und (g) die Erschließung eines fünften Layoff-Zählwerks, dessen KI-Überschrift eine Branchensumme trägt, womit die Spreizung derselben Größe eine dritte Zwischenstufe erhält (rund 1 : 1,9 : 2,6), samt Berichtigung einer im Vorlauf fehlgedeuteten Allzeitangabe (§ 1.1, Neueintrag und drei Fortschreibungen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