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(veröffentlicht zum 4. Juni 2026) verschärft das Bild: 97.006 angekündigte Streichungen — die höchste Mai-Zahl seit 2020 und der dritte Anstieg in Folge — entfallen zu 40 % auf KI als Einzelgrund (38.579 Stellen, das höchste je dokumentierte Monatsvolumen seit Beginn der Erfassung 2023; KI hat damit erstmals Markt- und Konjunkturbedingungen als am häufigsten genannten Einzelgrund überholt); Tech 38.242 Stellen im Mai — der höchste Monatswert seit August 2024 (39.563) — und kumuliert 123.653 Stellen für das laufende Jahr 2026 (+66 % gegenüber Vorjahresvergleich); KI-bezogen kumuliert 87.714 Stellen — bereits jetzt deutlich mehr als die 54.836 KI-bezogenen Streichungen, die Challenger über das gesamte Jahr 2025 erfasst hat, und entsprechend 22 % aller bislang im Jahr 2026 angekündigten Pläne, ein erneuter Anstieg von 16 % zum April-Stand. Zur methodischen Einordnung ist daran zu erinnern, dass die Challenger-Erhebung die </w:t>
      </w:r>
      <w:r>
        <w:rPr>
          <w:rFonts w:ascii="Arial" w:hAnsi="Arial"/>
          <w:b w:val="0"/>
          <w:i/>
          <w:sz w:val="19"/>
        </w:rPr>
        <w:t>Selbst-Zuordnung</w:t>
      </w:r>
      <w:r>
        <w:rPr>
          <w:rFonts w:ascii="Arial" w:hAnsi="Arial"/>
          <w:b w:val="0"/>
          <w:i w:val="0"/>
          <w:sz w:val="19"/>
        </w:rPr>
        <w:t xml:space="preserve"> der ankündigenden Arbeitgeber misst und keine unabhängige Kausalitätsanalyse darstellt — die in der </w:t>
      </w:r>
      <w:r>
        <w:rPr>
          <w:rFonts w:ascii="Arial" w:hAnsi="Arial"/>
          <w:b w:val="0"/>
          <w:i/>
          <w:sz w:val="19"/>
        </w:rPr>
        <w:t>Washington-Post</w:t>
      </w:r>
      <w:r>
        <w:rPr>
          <w:rFonts w:ascii="Arial" w:hAnsi="Arial"/>
          <w:b w:val="0"/>
          <w:i w:val="0"/>
          <w:sz w:val="19"/>
        </w:rPr>
        <w:t xml:space="preserve">-Differenzierung vom 1. Mai 2026 genannten Parallelkanäle bleiben damit beobachtungsoffen. Eine weitere Aggregat-Bestätigung liefert </w:t>
      </w:r>
      <w:r>
        <w:rPr>
          <w:rFonts w:ascii="Arial" w:hAnsi="Arial"/>
          <w:b w:val="0"/>
          <w:i/>
          <w:sz w:val="19"/>
        </w:rPr>
        <w:t>Oracle</w:t>
      </w:r>
      <w:r>
        <w:rPr>
          <w:rFonts w:ascii="Arial" w:hAnsi="Arial"/>
          <w:b w:val="0"/>
          <w:i w:val="0"/>
          <w:sz w:val="19"/>
        </w:rPr>
        <w:t xml:space="preserve"> mit dem am 22. Juni 2026 publizierten </w:t>
      </w:r>
      <w:r>
        <w:rPr>
          <w:rFonts w:ascii="Arial" w:hAnsi="Arial"/>
          <w:b w:val="0"/>
          <w:i/>
          <w:sz w:val="19"/>
        </w:rPr>
        <w:t>Form 10-K für Geschäftsjahr 2026</w:t>
      </w:r>
      <w:r>
        <w:rPr>
          <w:rFonts w:ascii="Arial" w:hAnsi="Arial"/>
          <w:b w:val="0"/>
          <w:i w:val="0"/>
          <w:sz w:val="19"/>
        </w:rPr>
        <w:t xml:space="preserve"> (Stichtag 31. Mai 2026): Über die zurückliegenden zwölf Monate hat das Unternehmen seine globale Belegschaft von rund 162.000 auf rund 141.000 reduziert (−21.000 oder −13 %), der Aufwand für Abfindungen und Restrukturierung wird auf 1,84 Milliarden US-Dollar beziffert; der Geschäftsbericht begründet die Reduktion ausdrücklich damit, dass „die Einführung und der Einsatz von KI-Technologien in unserem Betrieb zu Reduzierungen unserer Belegschaft geführt haben und weiterhin führen können", während der Konzern im selben Quartal 3,7 Milliarden US-Dollar Quartalsergebnis (+27 % gegenüber Vorjahr) und 553 Milliarden US-Dollar an </w:t>
      </w:r>
      <w:r>
        <w:rPr>
          <w:rFonts w:ascii="Arial" w:hAnsi="Arial"/>
          <w:b w:val="0"/>
          <w:i/>
          <w:sz w:val="19"/>
        </w:rPr>
        <w:t>remaining performance obligations</w:t>
      </w:r>
      <w:r>
        <w:rPr>
          <w:rFonts w:ascii="Arial" w:hAnsi="Arial"/>
          <w:b w:val="0"/>
          <w:i w:val="0"/>
          <w:sz w:val="19"/>
        </w:rPr>
        <w:t xml:space="preserve"> (+325 %) für KI-Rechenkapazität ausweist. Damit liegt erstmals eine Konzernoffenlegung in einem SEC-Pflichtdokument vor, in der KI-induzierter Personalabbau und KI-Capex parallel als zentrale Treiber der Bilanzentwicklung benannt werden — methodisch belastbarer als die einzelnen Earnings-Call-Aussagen früherer Quartale.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eine Aktualisierung des Goldman-</w:t>
      </w:r>
      <w:r>
        <w:rPr>
          <w:rFonts w:ascii="Arial" w:hAnsi="Arial"/>
          <w:b w:val="0"/>
          <w:i/>
          <w:sz w:val="19"/>
        </w:rPr>
        <w:t>AI Adoption Tracker</w:t>
      </w:r>
      <w:r>
        <w:rPr>
          <w:rFonts w:ascii="Arial" w:hAnsi="Arial"/>
          <w:b w:val="0"/>
          <w:i w:val="0"/>
          <w:sz w:val="19"/>
        </w:rPr>
        <w:t xml:space="preserve"> vom 1. Juni 2026 revidiert den Netto-Wert auf rund 11.000 Stellen pro Monat nach unten, projiziert aber im Basisszenario einen Anstieg auf 22.000 bis 28.000 Stellen pro Monat zum Jahresende 2026, sobald multimodale KI-Agenten breiter eingesetzt werden — die Methodikrevision unterstreicht damit die Ergebnis-Empfindlichkeit der Zähllogik, ohne die Richtung des Befunds zu ändern.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Nationale Vollzugsarchitektur für den AI Act — KI-MIG (Juni 2026):</w:t>
      </w:r>
      <w:r>
        <w:rPr>
          <w:rFonts w:ascii="Arial" w:hAnsi="Arial"/>
          <w:b w:val="0"/>
          <w:i w:val="0"/>
          <w:sz w:val="19"/>
        </w:rPr>
        <w:t xml:space="preserve"> Mit dem am 11. Juni 2026 vom Deutschen Bundestag in zweiter und dritter Lesung beschlossenen </w:t>
      </w:r>
      <w:r>
        <w:rPr>
          <w:rFonts w:ascii="Arial" w:hAnsi="Arial"/>
          <w:b w:val="0"/>
          <w:i/>
          <w:sz w:val="19"/>
        </w:rPr>
        <w:t>Gesetz zur Durchführung der Verordnung (EU) 2024/1689</w:t>
      </w:r>
      <w:r>
        <w:rPr>
          <w:rFonts w:ascii="Arial" w:hAnsi="Arial"/>
          <w:b w:val="0"/>
          <w:i w:val="0"/>
          <w:sz w:val="19"/>
        </w:rPr>
        <w:t xml:space="preserve"> (Artikelgesetz, Bundestags-Drucksachen 21/4594 und 21/6407) wäre die nationale Aufsichts- und Marktüberwachungsstruktur für den AI Act etabliert. Kern ist Artikel 1, mit dem das </w:t>
      </w:r>
      <w:r>
        <w:rPr>
          <w:rFonts w:ascii="Arial" w:hAnsi="Arial"/>
          <w:b w:val="0"/>
          <w:i/>
          <w:sz w:val="19"/>
        </w:rPr>
        <w:t>KI-Marktüberwachungs- und Innovationsförderungsgesetz</w:t>
      </w:r>
      <w:r>
        <w:rPr>
          <w:rFonts w:ascii="Arial" w:hAnsi="Arial"/>
          <w:b w:val="0"/>
          <w:i w:val="0"/>
          <w:sz w:val="19"/>
        </w:rPr>
        <w:t xml:space="preserve"> (KI-MIG) geschaffen würde; die Bundesnetzagentur (BNetzA) würde zur zentralen Marktüberwachungs-, Anlauf- und Beschwerdebehörde bestimmt und übernähme zugleich die Funktion einer notifizierenden Stelle gegenüber der EU-Kommission. Für Hochrisiko-KI-Systeme im Bereich Biometrie, Strafverfolgung, Grenz- und Asylmanagement sowie Justiz und demokratische Prozesse soll nach § 4 KI-MIG eine eigenständige </w:t>
      </w:r>
      <w:r>
        <w:rPr>
          <w:rFonts w:ascii="Arial" w:hAnsi="Arial"/>
          <w:b w:val="0"/>
          <w:i/>
          <w:sz w:val="19"/>
        </w:rPr>
        <w:t>KI-Marktüberwachungskammer</w:t>
      </w:r>
      <w:r>
        <w:rPr>
          <w:rFonts w:ascii="Arial" w:hAnsi="Arial"/>
          <w:b w:val="0"/>
          <w:i w:val="0"/>
          <w:sz w:val="19"/>
        </w:rPr>
        <w:t xml:space="preserve"> zuständig sein. Die Koalitionsfraktionen CDU/CSU und SPD haben dem Entwurf zugestimmt, AfD, Bündnis 90/Die Grünen und Die Linke haben ihn abgelehnt; die Zustimmung des Bundesrates steht aus. Für die Steuerdebatte ist das Gesetz primär als Definitions- und Klassifikationsrahmen relevant: Eine künftige Anknüpfung steuerlicher Tatbestände an AI-Act-Kategorien (Allzweck-KI, Hochrisiko, verbotene Praktiken) würde mit dem KI-MIG erstmals eine national zuständige Klassifikationsbehörde vorfinden; eine fiskalische Anknüpfung in Form einer Nutzungs- oder Wertschöpfungskomponente ist im Gesetz nicht vorgesehen.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Am 7. Mai 2026 haben Rat, Parlament und Kommission eine vorläufige politische Einigung im Trilog erzielt; das Europäische Parlament hat den Kompromiss am 16. Juni 2026 im Plenum gebilligt und damit den Weg für die formelle Annahme durch den Rat freigemacht. Die Vereinbarung verschiebt die Anwendbarkeit der Hochrisiko-Pflichten für KI in Beschäftigungsentscheidungen (Anhang III, einschließlich Auswahl-, Beförderungs-, Kündigungs- und Leistungsbewertungs-Anwendungen) auf den 2. Dezember 2027; die Pflicht der Mitgliedstaaten, eine nationale KI-Regulierungs-Sandbox einzurichten, wird vom 2. August 2026 auf den 2. August 2027 verschoben; ergänzend werden ab dem 2. Dezember 2026 KI-Anwendungen verboten, die nichteinvernehmlich sexualisierte Bilder, Videos oder Audio-Dateien Realer Personen erzeugen oder manipulieren („Nudifier"). Für die Steuerdebatte folgt daraus, dass die definitorischen Anknüpfungspunkte aus dem AI Act zwar erhalten bleiben, die zeitliche Verfügbarkeit verlässlicher Klassifikationen für Beschäftigungs-relevante KI-Anwendungen sich jedoch weiter nach hinten verschiebt — die in § 9.1 diskutierten Messprobleme einer Displacement-basierten Anknüpfung verschärfen sich tendenziell.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mit dem </w:t>
      </w:r>
      <w:r>
        <w:rPr>
          <w:rFonts w:ascii="Arial" w:hAnsi="Arial"/>
          <w:b w:val="0"/>
          <w:i/>
          <w:sz w:val="19"/>
        </w:rPr>
        <w:t>American AI Sovereign Wealth Fund Act</w:t>
      </w:r>
      <w:r>
        <w:rPr>
          <w:rFonts w:ascii="Arial" w:hAnsi="Arial"/>
          <w:b w:val="0"/>
          <w:i w:val="0"/>
          <w:sz w:val="19"/>
        </w:rPr>
        <w:t xml:space="preserve"> erstmals einen formellen Senatsentwurf eingebracht, der den im Oktober-2025-Report skizzierten Ansatz operationalisiert: KI-Unternehmen mit jährlichen Bruttoeinnahmen ab 200 Millionen US-Dollar (einschließlich Rechenzentren, KI-Compute-Infrastruktur, KI-Diensten und fortgeschrittener Robotik) sollen eine einmalige Abgabe von 50 Prozent ihres Aktienkapitals in einen </w:t>
      </w:r>
      <w:r>
        <w:rPr>
          <w:rFonts w:ascii="Arial" w:hAnsi="Arial"/>
          <w:b w:val="0"/>
          <w:i/>
          <w:sz w:val="19"/>
        </w:rPr>
        <w:t>American AI Sovereign Wealth Fund</w:t>
      </w:r>
      <w:r>
        <w:rPr>
          <w:rFonts w:ascii="Arial" w:hAnsi="Arial"/>
          <w:b w:val="0"/>
          <w:i w:val="0"/>
          <w:sz w:val="19"/>
        </w:rPr>
        <w:t xml:space="preserve"> einbringen; das Fondsvolumen wird in der Begründung auf rund 7 Billionen US-Dollar geschätzt. Eine </w:t>
      </w:r>
      <w:r>
        <w:rPr>
          <w:rFonts w:ascii="Arial" w:hAnsi="Arial"/>
          <w:b w:val="0"/>
          <w:i/>
          <w:sz w:val="19"/>
        </w:rPr>
        <w:t>Independent Commission for Democratic AI</w:t>
      </w:r>
      <w:r>
        <w:rPr>
          <w:rFonts w:ascii="Arial" w:hAnsi="Arial"/>
          <w:b w:val="0"/>
          <w:i w:val="0"/>
          <w:sz w:val="19"/>
        </w:rPr>
        <w:t xml:space="preserve"> mit sieben vom Präsidenten nominierten und vom Senat bestätigten Mitgliedern soll den Fonds im öffentlichen Interesse verwalten und Stimmrechte gegen Entscheidungen einsetzen, die als gemeinwohlschädlich beurteilt werden; eine jährliche Dividende in Höhe von 5 Prozent des Fondswerts soll als Direktzahlung an jeden Erwachsenen US-Bürger ausgeschüttet werden (laut Begründung mehr als 1.000 US-Dollar pro Person und Jahr, mit Anpassung an die weitere Wertentwicklung des Fonds). Sanders zitiert in der Begründung den Befund, dass heutige KI-Systeme auf der über Generationen aufgebauten gemeinschaftlichen Wertschöpfung beruhen und die Allgemeinheit deshalb an den Erträgen beteiligt werden müsse. Die Aussicht auf Annahme des Entwurfs in einem republikanisch geführten Kongress gilt weiterhin als gering; als Signalgebung markiert er jedoch eine Eskalationsstufe gegenüber dem Robotersteuer-Vorschlag von Oktober 2025 — die fiskalische Anknüpfung verlagert sich von einer Verbrauchsteuer auf automatisierende Technologie hin zu einer staatlichen Anteilskomponente am KI-Wertschöpfungskern und schließt damit konzeptionell an die in § 5.4 und § 8.3 behandelte Teilhabe-Fonds-Linie an. Eine erste fachpublizistische Einordnung weist darauf hin, dass eine Aktienkomponente methodisch weniger umgehungsanfällig sei als eine Verbrauchsteuer auf KI-Dienste (vgl. § 9.1), aber die in § 4.3 diskutierten verfassungsrechtlichen Grenzen einer Quasi-Enteignung berühre und damit nicht ohne Weiteres in EU- oder deutsches Recht übertragbar wäre.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das Gesetz am 2. Juni 2026 als </w:t>
      </w:r>
      <w:r>
        <w:rPr>
          <w:rFonts w:ascii="Arial" w:hAnsi="Arial"/>
          <w:b w:val="0"/>
          <w:i/>
          <w:sz w:val="19"/>
        </w:rPr>
        <w:t>Public Act 26-15</w:t>
      </w:r>
      <w:r>
        <w:rPr>
          <w:rFonts w:ascii="Arial" w:hAnsi="Arial"/>
          <w:b w:val="0"/>
          <w:i w:val="0"/>
          <w:sz w:val="19"/>
        </w:rPr>
        <w:t xml:space="preserve"> unterzeichnet.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OpenAI-Folgepapier (Juni 2026):</w:t>
      </w:r>
      <w:r>
        <w:rPr>
          <w:rFonts w:ascii="Arial" w:hAnsi="Arial"/>
          <w:b w:val="0"/>
          <w:i w:val="0"/>
          <w:sz w:val="19"/>
        </w:rPr>
        <w:t xml:space="preserve"> Am 2. Juni 2026 hat OpenAI mit </w:t>
      </w:r>
      <w:r>
        <w:rPr>
          <w:rFonts w:ascii="Arial" w:hAnsi="Arial"/>
          <w:b w:val="0"/>
          <w:i/>
          <w:sz w:val="19"/>
        </w:rPr>
        <w:t>„Democratic Governance of Frontier AI: A Blueprint for a Federal Framework"</w:t>
      </w:r>
      <w:r>
        <w:rPr>
          <w:rFonts w:ascii="Arial" w:hAnsi="Arial"/>
          <w:b w:val="0"/>
          <w:i w:val="0"/>
          <w:sz w:val="19"/>
        </w:rPr>
        <w:t xml:space="preserve"> einen zweiten Politikbeitrag vorgelegt, der das Aprilpapier auf der Governance-Seite ergänzt. Der Entwurf zielt nach eigenen Angaben darauf, ein bundesweites Aufsichtsregime für die rechenintensivsten Frontier-Modelle zu skizzieren und beruft sich dabei ausdrücklich auf den Konsens aus Frontier-Sicherheitsgesetzen einzelner US-Bundesstaaten. Kern ist die Forderung, dass die leistungsstärksten Frontier-Modelle vor öffentlicher Bereitstellung einer Prüfung durch das </w:t>
      </w:r>
      <w:r>
        <w:rPr>
          <w:rFonts w:ascii="Arial" w:hAnsi="Arial"/>
          <w:b w:val="0"/>
          <w:i/>
          <w:sz w:val="19"/>
        </w:rPr>
        <w:t>Center for AI Standards and Innovation</w:t>
      </w:r>
      <w:r>
        <w:rPr>
          <w:rFonts w:ascii="Arial" w:hAnsi="Arial"/>
          <w:b w:val="0"/>
          <w:i w:val="0"/>
          <w:sz w:val="19"/>
        </w:rPr>
        <w:t xml:space="preserve"> (CAISI) zu unterziehen wären; CAISI solle Bewertungen vornehmen und Risikominderungen empfehlen, ohne jedoch Freigaben zu erteilen oder zu sperren. Flankierende Bausteine sind jährliche dritte Audits, öffentliche Transparenzberichte, eine Meldepflicht für kritische Sicherheitsvorfälle, Cybersecurity-Anforderungen für noch nicht veröffentlichte Modellgewichte sowie Whistleblower-Schutz. Eine fiskalische Komponente sieht das Papier ausdrücklich nicht vor — die im Aprilpapier referenzierten „Steuern im Zusammenhang mit automatisierter Arbeit" und der Bürger-Wohlstandsfonds werden hier nicht aufgegriffen. Das Juni-Papier ergänzt das Aprilpapier damit auf der institutionellen Achse, ohne den steuerpolitischen Vorschlag fortzuschreiben — die in der amerikanischen Debatte beobachtete Trennung von </w:t>
      </w:r>
      <w:r>
        <w:rPr>
          <w:rFonts w:ascii="Arial" w:hAnsi="Arial"/>
          <w:b w:val="0"/>
          <w:i/>
          <w:sz w:val="19"/>
        </w:rPr>
        <w:t>Safety-Governance</w:t>
      </w:r>
      <w:r>
        <w:rPr>
          <w:rFonts w:ascii="Arial" w:hAnsi="Arial"/>
          <w:b w:val="0"/>
          <w:i w:val="0"/>
          <w:sz w:val="19"/>
        </w:rPr>
        <w:t xml:space="preserve"> und </w:t>
      </w:r>
      <w:r>
        <w:rPr>
          <w:rFonts w:ascii="Arial" w:hAnsi="Arial"/>
          <w:b w:val="0"/>
          <w:i/>
          <w:sz w:val="19"/>
        </w:rPr>
        <w:t>Verteilungspolitik</w:t>
      </w:r>
      <w:r>
        <w:rPr>
          <w:rFonts w:ascii="Arial" w:hAnsi="Arial"/>
          <w:b w:val="0"/>
          <w:i w:val="0"/>
          <w:sz w:val="19"/>
        </w:rPr>
        <w:t xml:space="preserve"> spiegelt sich in der OpenAI-Selbstpräsentation strukturell wider und ist für die hier behandelte Besteuerungsdebatte primär als Hinweis auf eine politische Arbeitsteilung relevant: OpenAI führt die Governance-Achse selbst, überlässt die Steuerachse aber dem Sanders-Strang (vgl. </w:t>
      </w:r>
      <w:r>
        <w:rPr>
          <w:rFonts w:ascii="Arial" w:hAnsi="Arial"/>
          <w:b w:val="0"/>
          <w:i/>
          <w:sz w:val="19"/>
        </w:rPr>
        <w:t>American AI Sovereign Wealth Fund Act</w:t>
      </w:r>
      <w:r>
        <w:rPr>
          <w:rFonts w:ascii="Arial" w:hAnsi="Arial"/>
          <w:b w:val="0"/>
          <w:i w:val="0"/>
          <w:sz w:val="19"/>
        </w:rPr>
        <w:t>, 18. Juni 2026).</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 xml:space="preserve">Sanders, B. (18. Juni 2026). </w:t>
      </w:r>
      <w:r>
        <w:rPr>
          <w:rFonts w:ascii="Arial" w:hAnsi="Arial"/>
          <w:b w:val="0"/>
          <w:i/>
          <w:sz w:val="19"/>
        </w:rPr>
        <w:t>American AI Sovereign Wealth Fund Act — Sanders Introduces Legislation to Create $7 Trillion AI Sovereign Wealth Fund.</w:t>
      </w:r>
      <w:r>
        <w:rPr>
          <w:rFonts w:ascii="Arial" w:hAnsi="Arial"/>
          <w:b w:val="0"/>
          <w:i w:val="0"/>
          <w:sz w:val="19"/>
        </w:rPr>
        <w:t xml:space="preserve"> US-Senat, Pressemitteilung mit Bill-Summary und Volltext (50 % Aktienabgabe für KI-Unternehmen ab 200 Mio. USD Bruttoeinnahmen einschließlich Data Center, Compute-Infrastruktur, KI-Diensten und fortgeschrittener Robotik; 7-köpfige Independent Commission for Democratic AI; 5 % Fondsdividende, geschätzt ≥ 1.000 USD pro Person und Jahr). https://www.sanders.senate.gov/press-releases/news-sanders-introduces-legislation-to-create-7-trillion-ai-sovereign-wealth-fund/</w:t>
      </w:r>
    </w:p>
    <w:p>
      <w:pPr>
        <w:jc w:val="both"/>
      </w:pPr>
      <w:r>
        <w:rPr>
          <w:rFonts w:ascii="Arial" w:hAnsi="Arial"/>
          <w:b w:val="0"/>
          <w:i w:val="0"/>
          <w:sz w:val="19"/>
        </w:rPr>
        <w:t xml:space="preserve">OpenAI. (2. Juni 2026). </w:t>
      </w:r>
      <w:r>
        <w:rPr>
          <w:rFonts w:ascii="Arial" w:hAnsi="Arial"/>
          <w:b w:val="0"/>
          <w:i/>
          <w:sz w:val="19"/>
        </w:rPr>
        <w:t>Democratic Governance of Frontier AI: A Blueprint for a Federal Framework.</w:t>
      </w:r>
      <w:r>
        <w:rPr>
          <w:rFonts w:ascii="Arial" w:hAnsi="Arial"/>
          <w:b w:val="0"/>
          <w:i w:val="0"/>
          <w:sz w:val="19"/>
        </w:rPr>
        <w:t xml:space="preserve"> Policy-Papier (CAISI-Bewertung leistungsstärkster Frontier-Modelle, jährliche dritte Audits, Transparenzberichte, Cybersecurity für Modellgewichte, Whistleblower-Schutz). https://openai.com/index/frontier-safety-blueprint/ | PDF: https://cdn.openai.com/pdf/25752ecb-0e5c-47f9-b9e4-c0f4d76f8d3d/a-blueprint-for-a-federal-framework.pdf</w:t>
      </w:r>
    </w:p>
    <w:p>
      <w:pPr>
        <w:jc w:val="both"/>
      </w:pPr>
      <w:r>
        <w:rPr>
          <w:rFonts w:ascii="Arial" w:hAnsi="Arial"/>
          <w:b w:val="0"/>
          <w:i w:val="0"/>
          <w:sz w:val="19"/>
        </w:rPr>
        <w:t xml:space="preserve">Connecticut General Assembly / Office of the Governor. (2. Juni 2026). </w:t>
      </w:r>
      <w:r>
        <w:rPr>
          <w:rFonts w:ascii="Arial" w:hAnsi="Arial"/>
          <w:b w:val="0"/>
          <w:i/>
          <w:sz w:val="19"/>
        </w:rPr>
        <w:t>Public Act 26-15 — Connecticut Artificial Intelligence Responsibility and Transparency Act (vormals SB 5).</w:t>
      </w:r>
      <w:r>
        <w:rPr>
          <w:rFonts w:ascii="Arial" w:hAnsi="Arial"/>
          <w:b w:val="0"/>
          <w:i w:val="0"/>
          <w:sz w:val="19"/>
        </w:rPr>
        <w:t xml:space="preserve"> Unterzeichnung durch Gouverneur Ned Lamont; gestaffelte Inkrafttreten ab 1. Oktober 2026. https://portal.ct.gov/governor/news/press-releases/2026/06-2026/governor-lamont-signs-legislation-establishing-youth-online-safety-protections</w:t>
      </w:r>
    </w:p>
    <w:p>
      <w:pPr>
        <w:jc w:val="both"/>
      </w:pPr>
      <w:r>
        <w:rPr>
          <w:rFonts w:ascii="Arial" w:hAnsi="Arial"/>
          <w:b w:val="0"/>
          <w:i w:val="0"/>
          <w:sz w:val="19"/>
        </w:rPr>
        <w:t xml:space="preserve">Deutscher Bundestag. (11. Juni 2026). </w:t>
      </w:r>
      <w:r>
        <w:rPr>
          <w:rFonts w:ascii="Arial" w:hAnsi="Arial"/>
          <w:b w:val="0"/>
          <w:i/>
          <w:sz w:val="19"/>
        </w:rPr>
        <w:t>Gesetz zur Durchführung der Verordnung (EU) 2024/1689 — KI-Marktüberwachungs- und Innovationsförderungsgesetz (KI-MIG)</w:t>
      </w:r>
      <w:r>
        <w:rPr>
          <w:rFonts w:ascii="Arial" w:hAnsi="Arial"/>
          <w:b w:val="0"/>
          <w:i w:val="0"/>
          <w:sz w:val="19"/>
        </w:rPr>
        <w:t xml:space="preserve"> (Bundestags-Drucksachen 21/4594 und 21/6407). Beschluss in zweiter und dritter Lesung; Bundesnetzagentur als zentrale Marktüberwachungsbehörde; KI-Marktüberwachungskammer für besonders sensible Hochrisiko-Bereiche (§ 4 KI-MIG); Zustimmung CDU/CSU und SPD, Ablehnung AfD/Bündnis 90/Die Grünen/Die Linke. https://www.bundestag.de/dokumente/textarchiv/2026/kw24-de-ki-1183820 | https://www.bundesregierung.de/breg-de/aktuelles/umsetzung-ki-verordnung-2406638 | https://bmds.bund.de/service/gesetzgebungsverfahren/gesetz-zur-durchfuehrung-der-ki-verordnung</w:t>
      </w:r>
    </w:p>
    <w:p>
      <w:pPr>
        <w:jc w:val="both"/>
      </w:pPr>
      <w:r>
        <w:rPr>
          <w:rFonts w:ascii="Arial" w:hAnsi="Arial"/>
          <w:b w:val="0"/>
          <w:i w:val="0"/>
          <w:sz w:val="19"/>
        </w:rPr>
        <w:t xml:space="preserve">Europäisches Parlament / Rat der EU. (7. Mai 2026 / 16. Juni 2026). </w:t>
      </w:r>
      <w:r>
        <w:rPr>
          <w:rFonts w:ascii="Arial" w:hAnsi="Arial"/>
          <w:b w:val="0"/>
          <w:i/>
          <w:sz w:val="19"/>
        </w:rPr>
        <w:t>Digital Omnibus on AI — Politische Trilog-Einigung 7. Mai 2026 und Plenarbilligung im Europäischen Parlament 16. Juni 2026.</w:t>
      </w:r>
      <w:r>
        <w:rPr>
          <w:rFonts w:ascii="Arial" w:hAnsi="Arial"/>
          <w:b w:val="0"/>
          <w:i w:val="0"/>
          <w:sz w:val="19"/>
        </w:rPr>
        <w:t xml:space="preserve"> Verschiebung der Hochrisiko-Pflichten für KI in Beschäftigungsentscheidungen (Anhang III) auf 2. Dezember 2027; Verschiebung der nationalen KI-Regulierungs-Sandbox-Pflicht von 2. August 2026 auf 2. August 2027; Verbot „Nudifier"-Anwendungen ab 2. Dezember 2026. https://www.consilium.europa.eu/en/press/press-releases/2026/05/07/artificial-intelligence-council-and-parliament-agree-to-simplify-and-streamline-rules/ | https://www.globalpolicywatch.com/2026/06/eu-ai-act-update-timeline-relief-targeted-simplification-and-new-prohibitions-2/</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Goldman Sachs / Fortune. (1. Juni 2026). </w:t>
      </w:r>
      <w:r>
        <w:rPr>
          <w:rFonts w:ascii="Arial" w:hAnsi="Arial"/>
          <w:b w:val="0"/>
          <w:i/>
          <w:sz w:val="19"/>
        </w:rPr>
        <w:t>Gen Z is losing the most in the AI economy — and Goldman warns it's about to get worse / AI Adoption Tracker — Aktualisierung.</w:t>
      </w:r>
      <w:r>
        <w:rPr>
          <w:rFonts w:ascii="Arial" w:hAnsi="Arial"/>
          <w:b w:val="0"/>
          <w:i w:val="0"/>
          <w:sz w:val="19"/>
        </w:rPr>
        <w:t xml:space="preserve"> Revidierter monatlicher Netto-Verdrängungswert rund 11.000 Stellen pro Monat im Basisszenario, projizierter Anstieg auf 22.000–28.000 Stellen pro Monat zum Q4 2026 mit Skalierung multimodaler KI-Agenten. https://fortune.com/2026/06/01/how-many-jobs-is-ai-destroying-goldman-sachs-11000-per-month-gen-z-economy/</w:t>
      </w:r>
    </w:p>
    <w:p>
      <w:pPr>
        <w:jc w:val="both"/>
      </w:pPr>
      <w:r>
        <w:rPr>
          <w:rFonts w:ascii="Arial" w:hAnsi="Arial"/>
          <w:b w:val="0"/>
          <w:i w:val="0"/>
          <w:sz w:val="19"/>
        </w:rPr>
        <w:t xml:space="preserve">Challenger, Gray &amp; Christmas / CNBC / Bloomberg. (4./5. Juni 2026). </w:t>
      </w:r>
      <w:r>
        <w:rPr>
          <w:rFonts w:ascii="Arial" w:hAnsi="Arial"/>
          <w:b w:val="0"/>
          <w:i/>
          <w:sz w:val="19"/>
        </w:rPr>
        <w:t>Challenger Report: May Job Cuts Rise 16 % from April; Highest May Total Since 2020 / „AI is now the leading reason companies give for cutting jobs," says new report / US Tech Sector Announces Most Job Cuts in Nearly Two Years.</w:t>
      </w:r>
      <w:r>
        <w:rPr>
          <w:rFonts w:ascii="Arial" w:hAnsi="Arial"/>
          <w:b w:val="0"/>
          <w:i w:val="0"/>
          <w:sz w:val="19"/>
        </w:rPr>
        <w:t xml:space="preserve"> Mai-2026-Streichungen 97.006 (+16 % gegenüber April; höchste Mai-Zahl seit 2020); KI 38.579 Stellen (40 % aller Mai-Streichungen, drittes Mal in Folge führender Einzelgrund, erstes Mal vor Markt-/Konjunkturbedingungen); Tech 38.242 (höchster Monatswert seit August 2024); YTD-KI 87.714 (22 % aller 2026-Pläne), YTD-Tech 123.653 (+66 % YoY); Methodikhinweis Selbst-Zuordnung. https://www.challengergray.com/blog/challenger-report-may-job-cuts-rise-16-from-april-highest-may-total-since-2020/ | https://www.challengergray.com/wp-content/uploads/2026/06/Challenger-Report-May-2026.pdf | https://www.cnbc.com/2026/06/05/ai-is-now-the-leading-reason-companies-give-for-cutting-jobs-says-new-report-what-that-means-for-workers.html | https://www.bloomberg.com/news/articles/2026-06-04/us-tech-sector-announces-most-job-cuts-in-nearly-two-years</w:t>
      </w:r>
    </w:p>
    <w:p>
      <w:pPr>
        <w:jc w:val="both"/>
      </w:pPr>
      <w:r>
        <w:rPr>
          <w:rFonts w:ascii="Arial" w:hAnsi="Arial"/>
          <w:b w:val="0"/>
          <w:i w:val="0"/>
          <w:sz w:val="19"/>
        </w:rPr>
        <w:t xml:space="preserve">Oracle Corp. / Bloomberg / SEC. (22. Juni 2026). </w:t>
      </w:r>
      <w:r>
        <w:rPr>
          <w:rFonts w:ascii="Arial" w:hAnsi="Arial"/>
          <w:b w:val="0"/>
          <w:i/>
          <w:sz w:val="19"/>
        </w:rPr>
        <w:t>Oracle Layoffs Fueled by AI, Reduces Workforce by 21,000 / Oracle Corp. Form 10-K FY2026.</w:t>
      </w:r>
      <w:r>
        <w:rPr>
          <w:rFonts w:ascii="Arial" w:hAnsi="Arial"/>
          <w:b w:val="0"/>
          <w:i w:val="0"/>
          <w:sz w:val="19"/>
        </w:rPr>
        <w:t xml:space="preserve"> Konzernoffenlegung im Jahresbericht: Belegschaft −13 % von rund 162.000 auf 141.000 zum 31. Mai 2026 (−21.000 Personen über zwölf Monate); Restrukturierungsaufwand 1,84 Mrd. USD; ausdrückliche Begründung mit KI-Einführung; Quartalsnettoergebnis 3,7 Mrd. USD (+27 % YoY); Remaining Performance Obligations 553 Mrd. USD (+325 %) für KI-Rechenkapazität. https://www.bloomberg.com/news/articles/2026-06-22/oracle-layoffs-fueled-by-ai-reduces-workforce-by-21-000 | https://www.sec.gov/Archives/edgar/data/0001341439/000119312526277521/orcl-ex32_01.htm</w:t>
      </w:r>
    </w:p>
    <w:p>
      <w:pPr>
        <w:jc w:val="both"/>
      </w:pPr>
      <w:r>
        <w:rPr>
          <w:rFonts w:ascii="Arial" w:hAnsi="Arial"/>
          <w:b w:val="0"/>
          <w:i w:val="0"/>
          <w:sz w:val="19"/>
        </w:rPr>
        <w:t xml:space="preserve">Axios / Fortune / Roll Call / Reason. (18./19. Juni 2026). </w:t>
      </w:r>
      <w:r>
        <w:rPr>
          <w:rFonts w:ascii="Arial" w:hAnsi="Arial"/>
          <w:b w:val="0"/>
          <w:i/>
          <w:sz w:val="19"/>
        </w:rPr>
        <w:t>Bernie Sanders unveils AI „tax" plan / „Make AI work for ordinary people": Bernie Sanders wants to pay you $1,000 every year from a government stake in AI companies / Sovereign wealth fund tax on AI companies unveiled by Sanders / Bernie Sanders proposes AI tax to give everyone $1,000 a month.</w:t>
      </w:r>
      <w:r>
        <w:rPr>
          <w:rFonts w:ascii="Arial" w:hAnsi="Arial"/>
          <w:b w:val="0"/>
          <w:i w:val="0"/>
          <w:sz w:val="19"/>
        </w:rPr>
        <w:t xml:space="preserve"> Sammelberichterstattung zum American AI Sovereign Wealth Fund Act mit kritischen Einordnungen aus libertären und progressiven Perspektiven. https://www.axios.com/2026/06/18/bernie-sanders-ai-openai-anthropic | https://fortune.com/2026/06/18/bernie-sanders-ai-fund-bill-sam-altman-1000-payments/ | https://rollcall.com/2026/06/18/sovereign-wealth-fund-tax-on-ai-companies-unveiled-by-sanders/ | https://reason.com/2026/06/19/bernie-sanders-proposes-ai-tax-to-give-everyone-1000-a-month-his-bill-would-do-a-lot-more-than-that/</w:t>
      </w:r>
    </w:p>
    <w:p>
      <w:pPr>
        <w:jc w:val="both"/>
      </w:pPr>
      <w:r>
        <w:rPr>
          <w:rFonts w:ascii="Arial" w:hAnsi="Arial"/>
          <w:b w:val="0"/>
          <w:i w:val="0"/>
          <w:sz w:val="19"/>
        </w:rPr>
        <w:t xml:space="preserve">Holland &amp; Knight / Morrison Foerster / Ropes &amp; Gray / FPF. (Juni 2026). </w:t>
      </w:r>
      <w:r>
        <w:rPr>
          <w:rFonts w:ascii="Arial" w:hAnsi="Arial"/>
          <w:b w:val="0"/>
          <w:i/>
          <w:sz w:val="19"/>
        </w:rPr>
        <w:t>Connecticut Enacts Comprehensive AI Legislation — SB 5 Signed Into Law on June 2, 2026.</w:t>
      </w:r>
      <w:r>
        <w:rPr>
          <w:rFonts w:ascii="Arial" w:hAnsi="Arial"/>
          <w:b w:val="0"/>
          <w:i w:val="0"/>
          <w:sz w:val="19"/>
        </w:rPr>
        <w:t xml:space="preserve"> Kanzlei- und Fachanalysen zur Unterzeichnung von SB 5 als Public Act 26-15. https://www.hklaw.com/en/insights/publications/2026/06/connecticut-enacts-comprehensive-ai-legislation | https://www.mofo.com/resources/insights/260608-connecticut-enacts-sweeping-ai-law | https://www.ropesgray.com/en/insights/alerts/2026/06/connecticut-enacts-sweeping-ai-law-covering-employment-healthcare-and-online-safety | https://fpf.org/blog/sb-5-in-five-what-to-know-about-connecticuts-new-ai-law/</w:t>
      </w:r>
    </w:p>
    <w:p>
      <w:pPr>
        <w:jc w:val="both"/>
      </w:pPr>
      <w:r>
        <w:rPr>
          <w:rFonts w:ascii="Arial" w:hAnsi="Arial"/>
          <w:b w:val="0"/>
          <w:i w:val="0"/>
          <w:sz w:val="19"/>
        </w:rPr>
        <w:t xml:space="preserve">SiliconANGLE / Resultsense / Don't Worry About the Vase. (Juni 2026). </w:t>
      </w:r>
      <w:r>
        <w:rPr>
          <w:rFonts w:ascii="Arial" w:hAnsi="Arial"/>
          <w:b w:val="0"/>
          <w:i/>
          <w:sz w:val="19"/>
        </w:rPr>
        <w:t>In policy paper, OpenAI diverges from White House on AI safety / OpenAI's federal blueprint and what a single US AI regime means for the UK / OpenAI Offers A New Policy Blueprint.</w:t>
      </w:r>
      <w:r>
        <w:rPr>
          <w:rFonts w:ascii="Arial" w:hAnsi="Arial"/>
          <w:b w:val="0"/>
          <w:i w:val="0"/>
          <w:sz w:val="19"/>
        </w:rPr>
        <w:t xml:space="preserve"> Einordnung des OpenAI-Juni-Papiers zur Frontier-AI-Governance. https://siliconangle.com/2026/06/03/policy-paper-openai-diverges-white-house-ai-safety/ | https://www.resultsense.com/insights/2026-06-04-openai-frontier-ai-federal-framework-uk-implications/ | https://thezvi.wordpress.com/2026/06/05/openai-offers-a-new-policy-blueprint/</w:t>
      </w:r>
    </w:p>
    <w:p>
      <w:pPr>
        <w:jc w:val="both"/>
      </w:pPr>
      <w:r>
        <w:rPr>
          <w:rFonts w:ascii="Arial" w:hAnsi="Arial"/>
          <w:b w:val="0"/>
          <w:i w:val="0"/>
          <w:sz w:val="19"/>
        </w:rPr>
        <w:t xml:space="preserve">Rechtsanwalt Ferner / activeMind.legal / BMDS / Betriebs-Berater. (Juni 2026). </w:t>
      </w:r>
      <w:r>
        <w:rPr>
          <w:rFonts w:ascii="Arial" w:hAnsi="Arial"/>
          <w:b w:val="0"/>
          <w:i/>
          <w:sz w:val="19"/>
        </w:rPr>
        <w:t>Deutschland bekommt ein KI-Gesetz: Bündelung der nationalen KI-Aufsicht bei der Bundesnetzagentur / KI-MIG — das Gesetz zur Durchführung der KI-Verordnung / Bundestag: Ja zur Durchführung der Verordnung über künstliche Intelligenz.</w:t>
      </w:r>
      <w:r>
        <w:rPr>
          <w:rFonts w:ascii="Arial" w:hAnsi="Arial"/>
          <w:b w:val="0"/>
          <w:i w:val="0"/>
          <w:sz w:val="19"/>
        </w:rPr>
        <w:t xml:space="preserve"> Fachliche Einordnung des KI-MIG mit Schwerpunkt KI-Marktüberwachungskammer (§ 4 KI-MIG). https://www.ferner-alsdorf.de/deutschland-bekommt-ein-ki-gesetz-buendelung-der-nationalen-ki-aufsicht-bei-der-bundesnetzagentur/ | https://www.activemind.legal/de/guides/ki-mig/ | https://betriebs-berater.com/43374/2026/bt-ja-zur-durchfuehrung-der-verordnung-ueber-kuenstliche-intelligenz/</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Ende Juni 2026 (Schnitt am 23. Juni 2026 — Lauf 001 vom 23. Juni 2026) wieder. Neu eingearbeitet in dieser Version: der am 18. Juni 2026 von Senator Bernie Sanders eingebrachte </w:t>
      </w:r>
      <w:r>
        <w:rPr>
          <w:rFonts w:ascii="Arial" w:hAnsi="Arial"/>
          <w:b w:val="0"/>
          <w:i/>
          <w:sz w:val="19"/>
        </w:rPr>
        <w:t>American AI Sovereign Wealth Fund Act</w:t>
      </w:r>
      <w:r>
        <w:rPr>
          <w:rFonts w:ascii="Arial" w:hAnsi="Arial"/>
          <w:b w:val="0"/>
          <w:i w:val="0"/>
          <w:sz w:val="19"/>
        </w:rPr>
        <w:t xml:space="preserve"> (50 % Aktienabgabe für KI-Unternehmen ab 200 Mio. USD Bruttoeinnahmen, 7-köpfige Independent Commission for Democratic AI, 5 % Fondsdividende ≥ 1.000 USD pro Person und Jahr); die Unterzeichnung des Connecticut Artificial Intelligence Responsibility and Transparency Act als </w:t>
      </w:r>
      <w:r>
        <w:rPr>
          <w:rFonts w:ascii="Arial" w:hAnsi="Arial"/>
          <w:b w:val="0"/>
          <w:i/>
          <w:sz w:val="19"/>
        </w:rPr>
        <w:t>Public Act 26-15</w:t>
      </w:r>
      <w:r>
        <w:rPr>
          <w:rFonts w:ascii="Arial" w:hAnsi="Arial"/>
          <w:b w:val="0"/>
          <w:i w:val="0"/>
          <w:sz w:val="19"/>
        </w:rPr>
        <w:t xml:space="preserve"> durch Gouverneur Ned Lamont am 2. Juni 2026; das am 11. Juni 2026 vom Deutschen Bundestag beschlossene </w:t>
      </w:r>
      <w:r>
        <w:rPr>
          <w:rFonts w:ascii="Arial" w:hAnsi="Arial"/>
          <w:b w:val="0"/>
          <w:i/>
          <w:sz w:val="19"/>
        </w:rPr>
        <w:t>KI-Marktüberwachungs- und Innovationsförderungsgesetz</w:t>
      </w:r>
      <w:r>
        <w:rPr>
          <w:rFonts w:ascii="Arial" w:hAnsi="Arial"/>
          <w:b w:val="0"/>
          <w:i w:val="0"/>
          <w:sz w:val="19"/>
        </w:rPr>
        <w:t xml:space="preserve"> (KI-MIG) mit Zuweisung der Marktüberwachung an die Bundesnetzagentur; das OpenAI-Folgepapier </w:t>
      </w:r>
      <w:r>
        <w:rPr>
          <w:rFonts w:ascii="Arial" w:hAnsi="Arial"/>
          <w:b w:val="0"/>
          <w:i/>
          <w:sz w:val="19"/>
        </w:rPr>
        <w:t>„Democratic Governance of Frontier AI"</w:t>
      </w:r>
      <w:r>
        <w:rPr>
          <w:rFonts w:ascii="Arial" w:hAnsi="Arial"/>
          <w:b w:val="0"/>
          <w:i w:val="0"/>
          <w:sz w:val="19"/>
        </w:rPr>
        <w:t xml:space="preserve"> vom 2. Juni 2026 (CAISI-Bewertung, jährliche dritte Audits, Whistleblower-Schutz; keine Fortschreibung der steuerpolitischen Vorschläge des Aprilpapiers); die Trilog-Einigung zum </w:t>
      </w:r>
      <w:r>
        <w:rPr>
          <w:rFonts w:ascii="Arial" w:hAnsi="Arial"/>
          <w:b w:val="0"/>
          <w:i/>
          <w:sz w:val="19"/>
        </w:rPr>
        <w:t>Digital Omnibus on AI</w:t>
      </w:r>
      <w:r>
        <w:rPr>
          <w:rFonts w:ascii="Arial" w:hAnsi="Arial"/>
          <w:b w:val="0"/>
          <w:i w:val="0"/>
          <w:sz w:val="19"/>
        </w:rPr>
        <w:t xml:space="preserve"> (7. Mai 2026) mit Plenarbilligung des Europäischen Parlaments am 16. Juni 2026 (Anhang-III-Hochrisiko-Pflichten für KI in Beschäftigungsentscheidungen auf 2. Dezember 2027, nationale KI-Regulierungs-Sandbox-Pflicht auf 2. August 2027, „Nudifier"-Verbot ab 2. Dezember 2026); der </w:t>
      </w:r>
      <w:r>
        <w:rPr>
          <w:rFonts w:ascii="Arial" w:hAnsi="Arial"/>
          <w:b w:val="0"/>
          <w:i/>
          <w:sz w:val="19"/>
        </w:rPr>
        <w:t>Challenger May-2026-Job-Cuts-Report</w:t>
      </w:r>
      <w:r>
        <w:rPr>
          <w:rFonts w:ascii="Arial" w:hAnsi="Arial"/>
          <w:b w:val="0"/>
          <w:i w:val="0"/>
          <w:sz w:val="19"/>
        </w:rPr>
        <w:t xml:space="preserve"> (97.006 Streichungen, davon 38.579 KI-bezogen / 40 % — drittes Mal in Folge führender Einzelgrund, erstmals vor Markt-/Konjunkturbedingungen; Tech 38.242 / höchster Monatswert seit August 2024; YTD KI 87.714 / 22 %, YTD Tech 123.653 / +66 % YoY; methodische Selbst-Zuordnungs-Erinnerung); die im </w:t>
      </w:r>
      <w:r>
        <w:rPr>
          <w:rFonts w:ascii="Arial" w:hAnsi="Arial"/>
          <w:b w:val="0"/>
          <w:i/>
          <w:sz w:val="19"/>
        </w:rPr>
        <w:t>Oracle Form 10-K für Geschäftsjahr 2026</w:t>
      </w:r>
      <w:r>
        <w:rPr>
          <w:rFonts w:ascii="Arial" w:hAnsi="Arial"/>
          <w:b w:val="0"/>
          <w:i w:val="0"/>
          <w:sz w:val="19"/>
        </w:rPr>
        <w:t xml:space="preserve"> (Stichtag 31. Mai 2026, veröffentlicht 22. Juni 2026) ausgewiesene Belegschaftsreduktion von rund 162.000 auf 141.000 (−21.000, −13 %; 1,84 Mrd. USD Restrukturierung) mit expliziter KI-Begründung; sowie die Goldman-Sachs-</w:t>
      </w:r>
      <w:r>
        <w:rPr>
          <w:rFonts w:ascii="Arial" w:hAnsi="Arial"/>
          <w:b w:val="0"/>
          <w:i/>
          <w:sz w:val="19"/>
        </w:rPr>
        <w:t>AI-Adoption-Tracker</w:t>
      </w:r>
      <w:r>
        <w:rPr>
          <w:rFonts w:ascii="Arial" w:hAnsi="Arial"/>
          <w:b w:val="0"/>
          <w:i w:val="0"/>
          <w:sz w:val="19"/>
        </w:rPr>
        <w:t xml:space="preserve">-Revision vom 1. Juni 2026 (Netto-Verdrängung 11.000 statt 16.000 Stellen pro Monat im Basisszenario, projizierter Anstieg auf 22.000–28.000 zum Q4 2026).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