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89.0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w:t>
      </w:r>
      <w:r>
        <w:rPr>
          <w:rFonts w:ascii="Arial" w:hAnsi="Arial"/>
          <w:b/>
          <w:i w:val="0"/>
          <w:sz w:val="19"/>
        </w:rPr>
        <w:t>Nachtrag zur Quellenlage (Stand 9. September 2026):</w:t>
      </w:r>
      <w:r>
        <w:rPr>
          <w:rFonts w:ascii="Arial" w:hAnsi="Arial"/>
          <w:b w:val="0"/>
          <w:i w:val="0"/>
          <w:sz w:val="19"/>
        </w:rPr>
        <w:t xml:space="preserve"> Der Beschlusstext liegt inzwischen als </w:t>
      </w:r>
      <w:r>
        <w:rPr>
          <w:rFonts w:ascii="Arial" w:hAnsi="Arial"/>
          <w:b w:val="0"/>
          <w:i/>
          <w:sz w:val="19"/>
        </w:rPr>
        <w:t>Primärquelle</w:t>
      </w:r>
      <w:r>
        <w:rPr>
          <w:rFonts w:ascii="Arial" w:hAnsi="Arial"/>
          <w:b w:val="0"/>
          <w:i w:val="0"/>
          <w:sz w:val="19"/>
        </w:rPr>
        <w:t xml:space="preserve"> vor. Die Fraktion hat das Papier unter dem Titel </w:t>
      </w:r>
      <w:r>
        <w:rPr>
          <w:rFonts w:ascii="Arial" w:hAnsi="Arial"/>
          <w:b w:val="0"/>
          <w:i/>
          <w:sz w:val="19"/>
        </w:rPr>
        <w:t>„Damit Fortschritt bei allen ankommt: gute Arbeit im KI-Zeitalter"</w:t>
      </w:r>
      <w:r>
        <w:rPr>
          <w:rFonts w:ascii="Arial" w:hAnsi="Arial"/>
          <w:b w:val="0"/>
          <w:i w:val="0"/>
          <w:sz w:val="19"/>
        </w:rPr>
        <w:t xml:space="preserve"> — gemeinsam mit einem zweiten Klausurbeschluss </w:t>
      </w:r>
      <w:r>
        <w:rPr>
          <w:rFonts w:ascii="Arial" w:hAnsi="Arial"/>
          <w:b w:val="0"/>
          <w:i/>
          <w:sz w:val="19"/>
        </w:rPr>
        <w:t>„Wirtschaftliche Abhängigkeiten reduzieren, Klimaanpassung vorantreiben"</w:t>
      </w:r>
      <w:r>
        <w:rPr>
          <w:rFonts w:ascii="Arial" w:hAnsi="Arial"/>
          <w:b w:val="0"/>
          <w:i w:val="0"/>
          <w:sz w:val="19"/>
        </w:rPr>
        <w:t xml:space="preserve"> — am 4. September 2026 veröffentlicht (Herausgeberin: </w:t>
      </w:r>
      <w:r>
        <w:rPr>
          <w:rFonts w:ascii="Arial" w:hAnsi="Arial"/>
          <w:b w:val="0"/>
          <w:i/>
          <w:sz w:val="19"/>
        </w:rPr>
        <w:t>Derya Türk-Nachbaur</w:t>
      </w:r>
      <w:r>
        <w:rPr>
          <w:rFonts w:ascii="Arial" w:hAnsi="Arial"/>
          <w:b w:val="0"/>
          <w:i w:val="0"/>
          <w:sz w:val="19"/>
        </w:rPr>
        <w:t xml:space="preserve">, MdB, Parlamentarische Geschäftsführerin). Die nachstehenden Zitate sind am Beschlusstext verifiziert; drei im Vorlauf aus der Presserezeption übernommene Formulierungen sind dabei berichtigt worden (Nachweis in `Validierung-Ergebnisse.md`). Die Konjunktivpflicht nach § 4.2 `Claude.md` bleibt bestehen, weil der Beschluss die Fraktion politisch bindet, aber weder Gesetzentwurf noch Regierungsvorlage ist. Substantiell führt das Papier sechs Instrumente zusammen: </w:t>
      </w:r>
      <w:r>
        <w:rPr>
          <w:rFonts w:ascii="Arial" w:hAnsi="Arial"/>
          <w:b w:val="0"/>
          <w:i/>
          <w:sz w:val="19"/>
        </w:rPr>
        <w:t>Erstens</w:t>
      </w:r>
      <w:r>
        <w:rPr>
          <w:rFonts w:ascii="Arial" w:hAnsi="Arial"/>
          <w:b w:val="0"/>
          <w:i w:val="0"/>
          <w:sz w:val="19"/>
        </w:rPr>
        <w:t xml:space="preserve"> eine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 im Beschlusstext allerdings als Absichtserklärung und nicht, wie die Presserezeption nahelegte, als Festlegung formuliert: „Dazu gehört auch, dass die Standorte von Rechenzentren fair an den Gewinnen beteiligt werden. Deshalb streben wir hier eine Änderung der Bemessung der Gewerbesteuer an." Ergänzend sollen Möglichkeiten „etwa über eine angepasste Unternehmensbesteuerung" lediglich </w:t>
      </w:r>
      <w:r>
        <w:rPr>
          <w:rFonts w:ascii="Arial" w:hAnsi="Arial"/>
          <w:b w:val="0"/>
          <w:i/>
          <w:sz w:val="19"/>
        </w:rPr>
        <w:t>geprüft</w:t>
      </w:r>
      <w:r>
        <w:rPr>
          <w:rFonts w:ascii="Arial" w:hAnsi="Arial"/>
          <w:b w:val="0"/>
          <w:i w:val="0"/>
          <w:sz w:val="19"/>
        </w:rPr>
        <w:t xml:space="preserve"> werden. </w:t>
      </w:r>
      <w:r>
        <w:rPr>
          <w:rFonts w:ascii="Arial" w:hAnsi="Arial"/>
          <w:b w:val="0"/>
          <w:i/>
          <w:sz w:val="19"/>
        </w:rPr>
        <w:t>Zweitens</w:t>
      </w:r>
      <w:r>
        <w:rPr>
          <w:rFonts w:ascii="Arial" w:hAnsi="Arial"/>
          <w:b w:val="0"/>
          <w:i w:val="0"/>
          <w:sz w:val="19"/>
        </w:rPr>
        <w:t xml:space="preserve"> eine höhere Besteuerung großer Technologieunternehmen: Die Fraktion wolle dafür sorgen, „dass die großen Gewinner der KI-Revolution ihren fairen Beitrag leisten und große Technologiekonzerne endlich fair besteuert werden". </w:t>
      </w:r>
      <w:r>
        <w:rPr>
          <w:rFonts w:ascii="Arial" w:hAnsi="Arial"/>
          <w:b w:val="0"/>
          <w:i/>
          <w:sz w:val="19"/>
        </w:rPr>
        <w:t>Drittens</w:t>
      </w:r>
      <w:r>
        <w:rPr>
          <w:rFonts w:ascii="Arial" w:hAnsi="Arial"/>
          <w:b w:val="0"/>
          <w:i w:val="0"/>
          <w:sz w:val="19"/>
        </w:rPr>
        <w:t xml:space="preserve"> die Verbreiterung der Finanzierungsbasis des Sozialstaats: Weil Lohnsteuereinnahmen ausbleiben könnten, wenn Maschinen mehr Aufgaben übernehmen, sollten „künftig … schrittweise alle Erwerbstätigen sowie weitere Einkommens- und Wertschöpfungsquellen stärker zur solidarischen Finanzierung beitragen" — eine Formulierung, die den Beschluss unmittelbar an die in § 5.2 dargestellte </w:t>
      </w:r>
      <w:r>
        <w:rPr>
          <w:rFonts w:ascii="Arial" w:hAnsi="Arial"/>
          <w:b w:val="0"/>
          <w:i/>
          <w:sz w:val="19"/>
        </w:rPr>
        <w:t>Bürgerversicherungs</w:t>
      </w:r>
      <w:r>
        <w:rPr>
          <w:rFonts w:ascii="Arial" w:hAnsi="Arial"/>
          <w:b w:val="0"/>
          <w:i w:val="0"/>
          <w:sz w:val="19"/>
        </w:rPr>
        <w:t xml:space="preserve">-Logik heranführt. </w:t>
      </w:r>
      <w:r>
        <w:rPr>
          <w:rFonts w:ascii="Arial" w:hAnsi="Arial"/>
          <w:b w:val="0"/>
          <w:i/>
          <w:sz w:val="19"/>
        </w:rPr>
        <w:t>Viertens</w:t>
      </w:r>
      <w:r>
        <w:rPr>
          <w:rFonts w:ascii="Arial" w:hAnsi="Arial"/>
          <w:b w:val="0"/>
          <w:i w:val="0"/>
          <w:sz w:val="19"/>
        </w:rPr>
        <w:t xml:space="preserve"> eine „stärkere Einbeziehung von Kapitaleinkünften", flankiert durch „großzügige Freibeträge" zum Schutz kleiner und mittlerer Vermögen. </w:t>
      </w:r>
      <w:r>
        <w:rPr>
          <w:rFonts w:ascii="Arial" w:hAnsi="Arial"/>
          <w:b w:val="0"/>
          <w:i/>
          <w:sz w:val="19"/>
        </w:rPr>
        <w:t>Fünftens</w:t>
      </w:r>
      <w:r>
        <w:rPr>
          <w:rFonts w:ascii="Arial" w:hAnsi="Arial"/>
          <w:b w:val="0"/>
          <w:i w:val="0"/>
          <w:sz w:val="19"/>
        </w:rPr>
        <w:t xml:space="preserve"> eine deployerseitige </w:t>
      </w:r>
      <w:r>
        <w:rPr>
          <w:rFonts w:ascii="Arial" w:hAnsi="Arial"/>
          <w:b w:val="0"/>
          <w:i/>
          <w:sz w:val="19"/>
        </w:rPr>
        <w:t>KI-Nachwuchsgarantie</w:t>
      </w:r>
      <w:r>
        <w:rPr>
          <w:rFonts w:ascii="Arial" w:hAnsi="Arial"/>
          <w:b w:val="0"/>
          <w:i w:val="0"/>
          <w:sz w:val="19"/>
        </w:rPr>
        <w:t xml:space="preserve"> — im Beschlusstext ausdrücklich als Möglichkeit und beschränkt auf größere Unternehmen formuliert: „Für größere Unternehmen könnte eine gesetzliche KI-Nachwuchsgarantie gelten: Sinkt nach einer KI-Einführung die Zahl qualifizierter Einstiegsstellen deutlich, muss der Betrieb bezahlte Berufseinstiegsprogramme, zusätzliche Ausbildungsplätze oder vergleichbare Lernstellen schaffen. Tut er das nicht, zahlt er in einen branchenbezogenen Nachwuchsfonds ein." </w:t>
      </w:r>
      <w:r>
        <w:rPr>
          <w:rFonts w:ascii="Arial" w:hAnsi="Arial"/>
          <w:b w:val="0"/>
          <w:i/>
          <w:sz w:val="19"/>
        </w:rPr>
        <w:t>Sechstens</w:t>
      </w:r>
      <w:r>
        <w:rPr>
          <w:rFonts w:ascii="Arial" w:hAnsi="Arial"/>
          <w:b w:val="0"/>
          <w:i w:val="0"/>
          <w:sz w:val="19"/>
        </w:rPr>
        <w:t xml:space="preserve"> zwei im Vorlauf nicht erfasste Instrumente unterhalb der Steuerebene: eine </w:t>
      </w:r>
      <w:r>
        <w:rPr>
          <w:rFonts w:ascii="Arial" w:hAnsi="Arial"/>
          <w:b w:val="0"/>
          <w:i/>
          <w:sz w:val="19"/>
        </w:rPr>
        <w:t>Konditionierung öffentlicher Förderung</w:t>
      </w:r>
      <w:r>
        <w:rPr>
          <w:rFonts w:ascii="Arial" w:hAnsi="Arial"/>
          <w:b w:val="0"/>
          <w:i w:val="0"/>
          <w:sz w:val="19"/>
        </w:rPr>
        <w:t xml:space="preserve"> („Öffentliche Förderprogramme für neue Technologien sollen nur Unternehmen erhalten, die Mitbestimmung, Folgenabschätzung und Beschäftigtendialoge nachweisen können") und ein „staatlich finanzierter KI-Gutschein" für kleine und mittlere Unternehmen; hinzu tritt die Forderung, dass Kreative „fair an der Wertschöpfung teilhaben" und die kommerzielle Nutzung geschützter Werke „eine angemessene Vergütung" gewährleisten müsse.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KI-Nachwuchsgarantie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(Nachwuchsgarantie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Fünftens — und erst am verifizierten Beschlusstext erkennbar — verschiebt die Formulierung, künftig sollten „schrittweise alle Erwerbstätigen sowie weitere Einkommens- und Wertschöpfungsquellen" zur solidarischen Finanzierung beitragen, den Vorstoß aus der engeren KI-Steuerdebatte in die deutlich ältere und breitere deutsche Debatte um eine </w:t>
      </w:r>
      <w:r>
        <w:rPr>
          <w:rFonts w:ascii="Arial" w:hAnsi="Arial"/>
          <w:b w:val="0"/>
          <w:i/>
          <w:sz w:val="19"/>
        </w:rPr>
        <w:t>Bürgerversicherung</w:t>
      </w:r>
      <w:r>
        <w:rPr>
          <w:rFonts w:ascii="Arial" w:hAnsi="Arial"/>
          <w:b w:val="0"/>
          <w:i w:val="0"/>
          <w:sz w:val="19"/>
        </w:rPr>
        <w:t xml:space="preserve"> (§ 5.2): Nicht ein KI-spezifisches Sonderinstrument, sondern die Verbreiterung der beitragspflichtigen Bemessungsgrundlage insgesamt wäre danach die vorrangige Antwort auf eine KI-bedingt schrumpfende Lohnsumme — eine Anschlussstelle, die die in § 5.1 diskutierte Wertschöpfungsabgabe als </w:t>
      </w:r>
      <w:r>
        <w:rPr>
          <w:rFonts w:ascii="Arial" w:hAnsi="Arial"/>
          <w:b w:val="0"/>
          <w:i/>
          <w:sz w:val="19"/>
        </w:rPr>
        <w:t>Bemessungs</w:t>
      </w:r>
      <w:r>
        <w:rPr>
          <w:rFonts w:ascii="Arial" w:hAnsi="Arial"/>
          <w:b w:val="0"/>
          <w:i w:val="0"/>
          <w:sz w:val="19"/>
        </w:rPr>
        <w:t xml:space="preserve">-, die Bürgerversicherung als </w:t>
      </w:r>
      <w:r>
        <w:rPr>
          <w:rFonts w:ascii="Arial" w:hAnsi="Arial"/>
          <w:b w:val="0"/>
          <w:i/>
          <w:sz w:val="19"/>
        </w:rPr>
        <w:t>Kreis</w:t>
      </w:r>
      <w:r>
        <w:rPr>
          <w:rFonts w:ascii="Arial" w:hAnsi="Arial"/>
          <w:b w:val="0"/>
          <w:i w:val="0"/>
          <w:sz w:val="19"/>
        </w:rPr>
        <w:t>-Erweiterung erscheinen lässt.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streben wir hier eine Änderung der Bemessung der Gewerbesteuer an"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Bundeshaushalt 2027 — KI-Titel in der Haushaltswoche des Bundestages (8. September 2026):</w:t>
      </w:r>
      <w:r>
        <w:rPr>
          <w:rFonts w:ascii="Arial" w:hAnsi="Arial"/>
          <w:b w:val="0"/>
          <w:i w:val="0"/>
          <w:sz w:val="19"/>
        </w:rPr>
        <w:t xml:space="preserve"> Vier Tage nach dem SPD-Klausurbeschluss und sechs Tage nach der Kabinettsbefassung zum </w:t>
      </w:r>
      <w:r>
        <w:rPr>
          <w:rFonts w:ascii="Arial" w:hAnsi="Arial"/>
          <w:b w:val="0"/>
          <w:i/>
          <w:sz w:val="19"/>
        </w:rPr>
        <w:t>Einkommensteuerreformgesetz 2027</w:t>
      </w:r>
      <w:r>
        <w:rPr>
          <w:rFonts w:ascii="Arial" w:hAnsi="Arial"/>
          <w:b w:val="0"/>
          <w:i w:val="0"/>
          <w:sz w:val="19"/>
        </w:rPr>
        <w:t xml:space="preserve"> hat der </w:t>
      </w:r>
      <w:r>
        <w:rPr>
          <w:rFonts w:ascii="Arial" w:hAnsi="Arial"/>
          <w:b w:val="0"/>
          <w:i/>
          <w:sz w:val="19"/>
        </w:rPr>
        <w:t>Deutsche Bundestag</w:t>
      </w:r>
      <w:r>
        <w:rPr>
          <w:rFonts w:ascii="Arial" w:hAnsi="Arial"/>
          <w:b w:val="0"/>
          <w:i w:val="0"/>
          <w:sz w:val="19"/>
        </w:rPr>
        <w:t xml:space="preserve"> am </w:t>
      </w:r>
      <w:r>
        <w:rPr>
          <w:rFonts w:ascii="Arial" w:hAnsi="Arial"/>
          <w:b w:val="0"/>
          <w:i/>
          <w:sz w:val="19"/>
        </w:rPr>
        <w:t>8. September 2026</w:t>
      </w:r>
      <w:r>
        <w:rPr>
          <w:rFonts w:ascii="Arial" w:hAnsi="Arial"/>
          <w:b w:val="0"/>
          <w:i w:val="0"/>
          <w:sz w:val="19"/>
        </w:rPr>
        <w:t xml:space="preserve"> im Rahmen der Haushaltswoche die Regierungsentwürfe der beiden für die KI-Politik zentralen Einzelpläne beraten. Die Zahlen sind für die hier geführte Debatte aufschlussreich, weil sie erstmals die </w:t>
      </w:r>
      <w:r>
        <w:rPr>
          <w:rFonts w:ascii="Arial" w:hAnsi="Arial"/>
          <w:b w:val="0"/>
          <w:i/>
          <w:sz w:val="19"/>
        </w:rPr>
        <w:t>Ausgabenseite</w:t>
      </w:r>
      <w:r>
        <w:rPr>
          <w:rFonts w:ascii="Arial" w:hAnsi="Arial"/>
          <w:b w:val="0"/>
          <w:i w:val="0"/>
          <w:sz w:val="19"/>
        </w:rPr>
        <w:t xml:space="preserve"> der deutschen KI-Politik neben die in den vorstehenden Absätzen dokumentierte </w:t>
      </w:r>
      <w:r>
        <w:rPr>
          <w:rFonts w:ascii="Arial" w:hAnsi="Arial"/>
          <w:b w:val="0"/>
          <w:i/>
          <w:sz w:val="19"/>
        </w:rPr>
        <w:t>Einnahmenseite</w:t>
      </w:r>
      <w:r>
        <w:rPr>
          <w:rFonts w:ascii="Arial" w:hAnsi="Arial"/>
          <w:b w:val="0"/>
          <w:i w:val="0"/>
          <w:sz w:val="19"/>
        </w:rPr>
        <w:t xml:space="preserve"> stellen. Im Etat des </w:t>
      </w:r>
      <w:r>
        <w:rPr>
          <w:rFonts w:ascii="Arial" w:hAnsi="Arial"/>
          <w:b w:val="0"/>
          <w:i/>
          <w:sz w:val="19"/>
        </w:rPr>
        <w:t>Bundesministeriums für Digitales und Staatsmodernisierung</w:t>
      </w:r>
      <w:r>
        <w:rPr>
          <w:rFonts w:ascii="Arial" w:hAnsi="Arial"/>
          <w:b w:val="0"/>
          <w:i w:val="0"/>
          <w:sz w:val="19"/>
        </w:rPr>
        <w:t xml:space="preserve"> (BMDS, Bundesminister </w:t>
      </w:r>
      <w:r>
        <w:rPr>
          <w:rFonts w:ascii="Arial" w:hAnsi="Arial"/>
          <w:b w:val="0"/>
          <w:i/>
          <w:sz w:val="19"/>
        </w:rPr>
        <w:t>Karsten Wildberger</w:t>
      </w:r>
      <w:r>
        <w:rPr>
          <w:rFonts w:ascii="Arial" w:hAnsi="Arial"/>
          <w:b w:val="0"/>
          <w:i w:val="0"/>
          <w:sz w:val="19"/>
        </w:rPr>
        <w:t xml:space="preserve">, CDU; Einzelplan 24) sind für 2027 Ausgaben von rund </w:t>
      </w:r>
      <w:r>
        <w:rPr>
          <w:rFonts w:ascii="Arial" w:hAnsi="Arial"/>
          <w:b w:val="0"/>
          <w:i/>
          <w:sz w:val="19"/>
        </w:rPr>
        <w:t>1,44 Milliarden Euro</w:t>
      </w:r>
      <w:r>
        <w:rPr>
          <w:rFonts w:ascii="Arial" w:hAnsi="Arial"/>
          <w:b w:val="0"/>
          <w:i w:val="0"/>
          <w:sz w:val="19"/>
        </w:rPr>
        <w:t xml:space="preserve"> vorgesehen und damit </w:t>
      </w:r>
      <w:r>
        <w:rPr>
          <w:rFonts w:ascii="Arial" w:hAnsi="Arial"/>
          <w:b w:val="0"/>
          <w:i/>
          <w:sz w:val="19"/>
        </w:rPr>
        <w:t>84,6 Millionen Euro</w:t>
      </w:r>
      <w:r>
        <w:rPr>
          <w:rFonts w:ascii="Arial" w:hAnsi="Arial"/>
          <w:b w:val="0"/>
          <w:i w:val="0"/>
          <w:sz w:val="19"/>
        </w:rPr>
        <w:t xml:space="preserve"> mehr als im Haushalt 2026 (rund 1,36 Milliarden Euro); die Beratung dauerte rund neunzig Minuten. Innerhalb dieses Einzelplans verschieben sich die KI-Titel gegenläufig: Der Titel </w:t>
      </w:r>
      <w:r>
        <w:rPr>
          <w:rFonts w:ascii="Arial" w:hAnsi="Arial"/>
          <w:b w:val="0"/>
          <w:i/>
          <w:sz w:val="19"/>
        </w:rPr>
        <w:t>„KI-Governance und digitale Basisdienste"</w:t>
      </w:r>
      <w:r>
        <w:rPr>
          <w:rFonts w:ascii="Arial" w:hAnsi="Arial"/>
          <w:b w:val="0"/>
          <w:i w:val="0"/>
          <w:sz w:val="19"/>
        </w:rPr>
        <w:t xml:space="preserve"> sinke von 79,4 Millionen Euro (2026) auf </w:t>
      </w:r>
      <w:r>
        <w:rPr>
          <w:rFonts w:ascii="Arial" w:hAnsi="Arial"/>
          <w:b w:val="0"/>
          <w:i/>
          <w:sz w:val="19"/>
        </w:rPr>
        <w:t>77,8 Millionen Euro</w:t>
      </w:r>
      <w:r>
        <w:rPr>
          <w:rFonts w:ascii="Arial" w:hAnsi="Arial"/>
          <w:b w:val="0"/>
          <w:i w:val="0"/>
          <w:sz w:val="19"/>
        </w:rPr>
        <w:t xml:space="preserve"> (2027), der Titel </w:t>
      </w:r>
      <w:r>
        <w:rPr>
          <w:rFonts w:ascii="Arial" w:hAnsi="Arial"/>
          <w:b w:val="0"/>
          <w:i/>
          <w:sz w:val="19"/>
        </w:rPr>
        <w:t>„Souveräne Dateninfrastruktur, Datenverfügbarkeit und Künstliche Intelligenz"</w:t>
      </w:r>
      <w:r>
        <w:rPr>
          <w:rFonts w:ascii="Arial" w:hAnsi="Arial"/>
          <w:b w:val="0"/>
          <w:i w:val="0"/>
          <w:sz w:val="19"/>
        </w:rPr>
        <w:t xml:space="preserve"> von 89 Millionen Euro auf </w:t>
      </w:r>
      <w:r>
        <w:rPr>
          <w:rFonts w:ascii="Arial" w:hAnsi="Arial"/>
          <w:b w:val="0"/>
          <w:i/>
          <w:sz w:val="19"/>
        </w:rPr>
        <w:t>81,2 Millionen Euro</w:t>
      </w:r>
      <w:r>
        <w:rPr>
          <w:rFonts w:ascii="Arial" w:hAnsi="Arial"/>
          <w:b w:val="0"/>
          <w:i w:val="0"/>
          <w:sz w:val="19"/>
        </w:rPr>
        <w:t xml:space="preserve">, während die Zuschüsse für </w:t>
      </w:r>
      <w:r>
        <w:rPr>
          <w:rFonts w:ascii="Arial" w:hAnsi="Arial"/>
          <w:b w:val="0"/>
          <w:i/>
          <w:sz w:val="19"/>
        </w:rPr>
        <w:t>„innovative KI-Anwendungen"</w:t>
      </w:r>
      <w:r>
        <w:rPr>
          <w:rFonts w:ascii="Arial" w:hAnsi="Arial"/>
          <w:b w:val="0"/>
          <w:i w:val="0"/>
          <w:sz w:val="19"/>
        </w:rPr>
        <w:t xml:space="preserve"> von 26 Millionen Euro auf </w:t>
      </w:r>
      <w:r>
        <w:rPr>
          <w:rFonts w:ascii="Arial" w:hAnsi="Arial"/>
          <w:b w:val="0"/>
          <w:i/>
          <w:sz w:val="19"/>
        </w:rPr>
        <w:t>35,2 Millionen Euro</w:t>
      </w:r>
      <w:r>
        <w:rPr>
          <w:rFonts w:ascii="Arial" w:hAnsi="Arial"/>
          <w:b w:val="0"/>
          <w:i w:val="0"/>
          <w:sz w:val="19"/>
        </w:rPr>
        <w:t xml:space="preserve"> steigen; neu veranschlagt sind </w:t>
      </w:r>
      <w:r>
        <w:rPr>
          <w:rFonts w:ascii="Arial" w:hAnsi="Arial"/>
          <w:b w:val="0"/>
          <w:i/>
          <w:sz w:val="19"/>
        </w:rPr>
        <w:t>154,6 Millionen Euro</w:t>
      </w:r>
      <w:r>
        <w:rPr>
          <w:rFonts w:ascii="Arial" w:hAnsi="Arial"/>
          <w:b w:val="0"/>
          <w:i w:val="0"/>
          <w:sz w:val="19"/>
        </w:rPr>
        <w:t xml:space="preserve"> für die </w:t>
      </w:r>
      <w:r>
        <w:rPr>
          <w:rFonts w:ascii="Arial" w:hAnsi="Arial"/>
          <w:b w:val="0"/>
          <w:i/>
          <w:sz w:val="19"/>
        </w:rPr>
        <w:t>IT-Betriebskonsolidierung Bund</w:t>
      </w:r>
      <w:r>
        <w:rPr>
          <w:rFonts w:ascii="Arial" w:hAnsi="Arial"/>
          <w:b w:val="0"/>
          <w:i w:val="0"/>
          <w:sz w:val="19"/>
        </w:rPr>
        <w:t xml:space="preserve"> (standardisierte virtuelle Server der </w:t>
      </w:r>
      <w:r>
        <w:rPr>
          <w:rFonts w:ascii="Arial" w:hAnsi="Arial"/>
          <w:b w:val="0"/>
          <w:i/>
          <w:sz w:val="19"/>
        </w:rPr>
        <w:t>Bundescloud 2.0</w:t>
      </w:r>
      <w:r>
        <w:rPr>
          <w:rFonts w:ascii="Arial" w:hAnsi="Arial"/>
          <w:b w:val="0"/>
          <w:i w:val="0"/>
          <w:sz w:val="19"/>
        </w:rPr>
        <w:t xml:space="preserve">, gemeinsame Cloud-, Kommunikations- und Verwaltungslösungen im Rahmen des </w:t>
      </w:r>
      <w:r>
        <w:rPr>
          <w:rFonts w:ascii="Arial" w:hAnsi="Arial"/>
          <w:b w:val="0"/>
          <w:i/>
          <w:sz w:val="19"/>
        </w:rPr>
        <w:t>Deutschland-Stack</w:t>
      </w:r>
      <w:r>
        <w:rPr>
          <w:rFonts w:ascii="Arial" w:hAnsi="Arial"/>
          <w:b w:val="0"/>
          <w:i w:val="0"/>
          <w:sz w:val="19"/>
        </w:rPr>
        <w:t xml:space="preserve">). Im Etat des </w:t>
      </w:r>
      <w:r>
        <w:rPr>
          <w:rFonts w:ascii="Arial" w:hAnsi="Arial"/>
          <w:b w:val="0"/>
          <w:i/>
          <w:sz w:val="19"/>
        </w:rPr>
        <w:t>Bundesministeriums für Wirtschaft und Energie</w:t>
      </w:r>
      <w:r>
        <w:rPr>
          <w:rFonts w:ascii="Arial" w:hAnsi="Arial"/>
          <w:b w:val="0"/>
          <w:i w:val="0"/>
          <w:sz w:val="19"/>
        </w:rPr>
        <w:t xml:space="preserve"> (Einzelplan 09), am selben Tag ab 17:55 Uhr beraten, sinken die Gesamtausgaben von 5,90 Milliarden Euro (2026) auf </w:t>
      </w:r>
      <w:r>
        <w:rPr>
          <w:rFonts w:ascii="Arial" w:hAnsi="Arial"/>
          <w:b w:val="0"/>
          <w:i/>
          <w:sz w:val="19"/>
        </w:rPr>
        <w:t>5,55 Milliarden Euro</w:t>
      </w:r>
      <w:r>
        <w:rPr>
          <w:rFonts w:ascii="Arial" w:hAnsi="Arial"/>
          <w:b w:val="0"/>
          <w:i w:val="0"/>
          <w:sz w:val="19"/>
        </w:rPr>
        <w:t xml:space="preserve"> (2027, minus 353,6 Millionen Euro) — bei stark steigenden Infrastrukturtiteln: </w:t>
      </w:r>
      <w:r>
        <w:rPr>
          <w:rFonts w:ascii="Arial" w:hAnsi="Arial"/>
          <w:b w:val="0"/>
          <w:i/>
          <w:sz w:val="19"/>
        </w:rPr>
        <w:t>„Mikroelektronik für die Digitalisierung"</w:t>
      </w:r>
      <w:r>
        <w:rPr>
          <w:rFonts w:ascii="Arial" w:hAnsi="Arial"/>
          <w:b w:val="0"/>
          <w:i w:val="0"/>
          <w:sz w:val="19"/>
        </w:rPr>
        <w:t xml:space="preserve"> wachse von 2,48 Milliarden Euro auf </w:t>
      </w:r>
      <w:r>
        <w:rPr>
          <w:rFonts w:ascii="Arial" w:hAnsi="Arial"/>
          <w:b w:val="0"/>
          <w:i/>
          <w:sz w:val="19"/>
        </w:rPr>
        <w:t>4,19 Milliarden Euro</w:t>
      </w:r>
      <w:r>
        <w:rPr>
          <w:rFonts w:ascii="Arial" w:hAnsi="Arial"/>
          <w:b w:val="0"/>
          <w:i w:val="0"/>
          <w:sz w:val="19"/>
        </w:rPr>
        <w:t xml:space="preserve">, der Titel </w:t>
      </w:r>
      <w:r>
        <w:rPr>
          <w:rFonts w:ascii="Arial" w:hAnsi="Arial"/>
          <w:b w:val="0"/>
          <w:i/>
          <w:sz w:val="19"/>
        </w:rPr>
        <w:t>„Digitale Infrastruktur für verteilte Datenverarbeitung und Künstliche Intelligenz"</w:t>
      </w:r>
      <w:r>
        <w:rPr>
          <w:rFonts w:ascii="Arial" w:hAnsi="Arial"/>
          <w:b w:val="0"/>
          <w:i w:val="0"/>
          <w:sz w:val="19"/>
        </w:rPr>
        <w:t xml:space="preserve"> von 10 Millionen Euro auf </w:t>
      </w:r>
      <w:r>
        <w:rPr>
          <w:rFonts w:ascii="Arial" w:hAnsi="Arial"/>
          <w:b w:val="0"/>
          <w:i/>
          <w:sz w:val="19"/>
        </w:rPr>
        <w:t>250 Millionen Euro</w:t>
      </w:r>
      <w:r>
        <w:rPr>
          <w:rFonts w:ascii="Arial" w:hAnsi="Arial"/>
          <w:b w:val="0"/>
          <w:i w:val="0"/>
          <w:sz w:val="19"/>
        </w:rPr>
        <w:t xml:space="preserve"> (Fünfundzwanzigfachung), während die Titelgruppe </w:t>
      </w:r>
      <w:r>
        <w:rPr>
          <w:rFonts w:ascii="Arial" w:hAnsi="Arial"/>
          <w:b w:val="0"/>
          <w:i/>
          <w:sz w:val="19"/>
        </w:rPr>
        <w:t>„Digitale Agenda"</w:t>
      </w:r>
      <w:r>
        <w:rPr>
          <w:rFonts w:ascii="Arial" w:hAnsi="Arial"/>
          <w:b w:val="0"/>
          <w:i w:val="0"/>
          <w:sz w:val="19"/>
        </w:rPr>
        <w:t xml:space="preserve"> von 399,04 Millionen Euro auf </w:t>
      </w:r>
      <w:r>
        <w:rPr>
          <w:rFonts w:ascii="Arial" w:hAnsi="Arial"/>
          <w:b w:val="0"/>
          <w:i/>
          <w:sz w:val="19"/>
        </w:rPr>
        <w:t>140 Millionen Euro</w:t>
      </w:r>
      <w:r>
        <w:rPr>
          <w:rFonts w:ascii="Arial" w:hAnsi="Arial"/>
          <w:b w:val="0"/>
          <w:i w:val="0"/>
          <w:sz w:val="19"/>
        </w:rPr>
        <w:t xml:space="preserve"> zurückgeht (Bundestag, Textarchiv-Meldungen zur Haushaltswoche vom 8. September 2026). Für die Debatte um die Besteuerung KI-gestützter Wertschöpfung folgen daraus vier Beobachtungen. </w:t>
      </w:r>
      <w:r>
        <w:rPr>
          <w:rFonts w:ascii="Arial" w:hAnsi="Arial"/>
          <w:b w:val="0"/>
          <w:i/>
          <w:sz w:val="19"/>
        </w:rPr>
        <w:t>Erstens</w:t>
      </w:r>
      <w:r>
        <w:rPr>
          <w:rFonts w:ascii="Arial" w:hAnsi="Arial"/>
          <w:b w:val="0"/>
          <w:i w:val="0"/>
          <w:sz w:val="19"/>
        </w:rPr>
        <w:t xml:space="preserve"> eine fiskalische Asymmetrie: Die angebotsseitige Infrastrukturförderung wachse deutlich (Mikroelektronik plus rund 1,71 Milliarden Euro, KI-Rechenzentren plus 240 Millionen Euro), während Governance-, Daten- und Anwendungstitel in Summe schrumpfen — haushaltsseitig wird also genau die Förderstufe gestärkt, die in der Rohstoff-Analogie (§ 8.2) der </w:t>
      </w:r>
      <w:r>
        <w:rPr>
          <w:rFonts w:ascii="Arial" w:hAnsi="Arial"/>
          <w:b w:val="0"/>
          <w:i/>
          <w:sz w:val="19"/>
        </w:rPr>
        <w:t>Förderung</w:t>
      </w:r>
      <w:r>
        <w:rPr>
          <w:rFonts w:ascii="Arial" w:hAnsi="Arial"/>
          <w:b w:val="0"/>
          <w:i w:val="0"/>
          <w:sz w:val="19"/>
        </w:rPr>
        <w:t xml:space="preserve"> entspricht, nicht die in § 8.3 diskutierte </w:t>
      </w:r>
      <w:r>
        <w:rPr>
          <w:rFonts w:ascii="Arial" w:hAnsi="Arial"/>
          <w:b w:val="0"/>
          <w:i/>
          <w:sz w:val="19"/>
        </w:rPr>
        <w:t>Teilhabe</w:t>
      </w:r>
      <w:r>
        <w:rPr>
          <w:rFonts w:ascii="Arial" w:hAnsi="Arial"/>
          <w:b w:val="0"/>
          <w:i w:val="0"/>
          <w:sz w:val="19"/>
        </w:rPr>
        <w:t xml:space="preserve">-Architektur. </w:t>
      </w:r>
      <w:r>
        <w:rPr>
          <w:rFonts w:ascii="Arial" w:hAnsi="Arial"/>
          <w:b w:val="0"/>
          <w:i/>
          <w:sz w:val="19"/>
        </w:rPr>
        <w:t>Zweitens</w:t>
      </w:r>
      <w:r>
        <w:rPr>
          <w:rFonts w:ascii="Arial" w:hAnsi="Arial"/>
          <w:b w:val="0"/>
          <w:i w:val="0"/>
          <w:sz w:val="19"/>
        </w:rPr>
        <w:t xml:space="preserve"> enthält der Regierungsentwurf, soweit aus den Beratungsunterlagen erkennbar, keinen Einnahmetitel, der eine KI- oder rechenzentrumsbezogene Abgabe abbilden würde; der SPD-Klausurbeschluss vom 4. September 2026 und der Kabinettsentwurf zur gewerbesteuerlichen Zerlegung vom 2. September 2026 sind bundeshaushaltsseitig bislang nicht hinterlegt — was bei der Gewerbesteuer als Gemeindesteuer aufkommensseitig systemgerecht ist, bei einer bundesgesetzlichen Abgabe nach dem Muster der in § 5.1 diskutierten Wertschöpfungsabgabe aber gerade nicht. </w:t>
      </w:r>
      <w:r>
        <w:rPr>
          <w:rFonts w:ascii="Arial" w:hAnsi="Arial"/>
          <w:b w:val="0"/>
          <w:i/>
          <w:sz w:val="19"/>
        </w:rPr>
        <w:t>Drittens</w:t>
      </w:r>
      <w:r>
        <w:rPr>
          <w:rFonts w:ascii="Arial" w:hAnsi="Arial"/>
          <w:b w:val="0"/>
          <w:i w:val="0"/>
          <w:sz w:val="19"/>
        </w:rPr>
        <w:t xml:space="preserve"> ist der 250-Millionen-Euro-Titel die innerdeutsche Parallele zur </w:t>
      </w:r>
      <w:r>
        <w:rPr>
          <w:rFonts w:ascii="Arial" w:hAnsi="Arial"/>
          <w:b w:val="0"/>
          <w:i/>
          <w:sz w:val="19"/>
        </w:rPr>
        <w:t>EU-AI-Gigafactories</w:t>
      </w:r>
      <w:r>
        <w:rPr>
          <w:rFonts w:ascii="Arial" w:hAnsi="Arial"/>
          <w:b w:val="0"/>
          <w:i w:val="0"/>
          <w:sz w:val="19"/>
        </w:rPr>
        <w:t xml:space="preserve">-Ausschreibung (§ 8.2) und zum südkoreanischen Public-Compute-Modell (§ 6.1) — allerdings adressiert er die Angebots-, nicht die Zugangsseite; eine dem südkoreanischen </w:t>
      </w:r>
      <w:r>
        <w:rPr>
          <w:rFonts w:ascii="Arial" w:hAnsi="Arial"/>
          <w:b w:val="0"/>
          <w:i/>
          <w:sz w:val="19"/>
        </w:rPr>
        <w:t>„AI for All"</w:t>
      </w:r>
      <w:r>
        <w:rPr>
          <w:rFonts w:ascii="Arial" w:hAnsi="Arial"/>
          <w:b w:val="0"/>
          <w:i w:val="0"/>
          <w:sz w:val="19"/>
        </w:rPr>
        <w:t xml:space="preserve">-Programm vergleichbare Bürgerzugangs­komponente ist nicht veranschlagt. </w:t>
      </w:r>
      <w:r>
        <w:rPr>
          <w:rFonts w:ascii="Arial" w:hAnsi="Arial"/>
          <w:b w:val="0"/>
          <w:i/>
          <w:sz w:val="19"/>
        </w:rPr>
        <w:t>Viertens</w:t>
      </w:r>
      <w:r>
        <w:rPr>
          <w:rFonts w:ascii="Arial" w:hAnsi="Arial"/>
          <w:b w:val="0"/>
          <w:i w:val="0"/>
          <w:sz w:val="19"/>
        </w:rPr>
        <w:t xml:space="preserve"> gilt die Konjunktivpflicht nach § 4.2 `Claude.md` in vollem Umfang: Es handelt sich um Regierungsentwürfe in erster Beratung; das parlamentarische Verfahren bis zum Haushaltsbeschluss ist zum Redaktionsschluss nicht abgeschlossen, sodass sämtliche Titelansätze noch veränderlich sind. </w:t>
      </w:r>
      <w:r>
        <w:rPr>
          <w:rFonts w:ascii="Arial" w:hAnsi="Arial"/>
          <w:b/>
          <w:i w:val="0"/>
          <w:sz w:val="19"/>
        </w:rPr>
        <w:t>Ergänzung — Einzelplan 11 (Arbeit und Soziales) als fiskalische Gegenprobe:</w:t>
      </w:r>
      <w:r>
        <w:rPr>
          <w:rFonts w:ascii="Arial" w:hAnsi="Arial"/>
          <w:b w:val="0"/>
          <w:i w:val="0"/>
          <w:sz w:val="19"/>
        </w:rPr>
        <w:t xml:space="preserve"> Der Regierungsentwurf zum Etat des </w:t>
      </w:r>
      <w:r>
        <w:rPr>
          <w:rFonts w:ascii="Arial" w:hAnsi="Arial"/>
          <w:b w:val="0"/>
          <w:i/>
          <w:sz w:val="19"/>
        </w:rPr>
        <w:t>Bundesministeriums für Arbeit und Soziales</w:t>
      </w:r>
      <w:r>
        <w:rPr>
          <w:rFonts w:ascii="Arial" w:hAnsi="Arial"/>
          <w:b w:val="0"/>
          <w:i w:val="0"/>
          <w:sz w:val="19"/>
        </w:rPr>
        <w:t xml:space="preserve">, der nach der Tagesordnung des Bundestages am </w:t>
      </w:r>
      <w:r>
        <w:rPr>
          <w:rFonts w:ascii="Arial" w:hAnsi="Arial"/>
          <w:b w:val="0"/>
          <w:i/>
          <w:sz w:val="19"/>
        </w:rPr>
        <w:t>11. September 2026</w:t>
      </w:r>
      <w:r>
        <w:rPr>
          <w:rFonts w:ascii="Arial" w:hAnsi="Arial"/>
          <w:b w:val="0"/>
          <w:i w:val="0"/>
          <w:sz w:val="19"/>
        </w:rPr>
        <w:t xml:space="preserve"> beraten werden soll, beziffert die Ausgaben für 2027 auf rund </w:t>
      </w:r>
      <w:r>
        <w:rPr>
          <w:rFonts w:ascii="Arial" w:hAnsi="Arial"/>
          <w:b w:val="0"/>
          <w:i/>
          <w:sz w:val="19"/>
        </w:rPr>
        <w:t>201,46 Milliarden Euro</w:t>
      </w:r>
      <w:r>
        <w:rPr>
          <w:rFonts w:ascii="Arial" w:hAnsi="Arial"/>
          <w:b w:val="0"/>
          <w:i w:val="0"/>
          <w:sz w:val="19"/>
        </w:rPr>
        <w:t xml:space="preserve"> nach 197,34 Milliarden Euro im Haushalt 2026 (plus rund 4,12 Milliarden Euro); der Anteil am Gesamthaushalt sinke dabei von 37,62 auf </w:t>
      </w:r>
      <w:r>
        <w:rPr>
          <w:rFonts w:ascii="Arial" w:hAnsi="Arial"/>
          <w:b w:val="0"/>
          <w:i/>
          <w:sz w:val="19"/>
        </w:rPr>
        <w:t>36,27 Prozent</w:t>
      </w:r>
      <w:r>
        <w:rPr>
          <w:rFonts w:ascii="Arial" w:hAnsi="Arial"/>
          <w:b w:val="0"/>
          <w:i w:val="0"/>
          <w:sz w:val="19"/>
        </w:rPr>
        <w:t xml:space="preserve">. Der größte Einzelposten sind die </w:t>
      </w:r>
      <w:r>
        <w:rPr>
          <w:rFonts w:ascii="Arial" w:hAnsi="Arial"/>
          <w:b w:val="0"/>
          <w:i/>
          <w:sz w:val="19"/>
        </w:rPr>
        <w:t>Bundeszuschüsse an die gesetzliche Rentenversicherung</w:t>
      </w:r>
      <w:r>
        <w:rPr>
          <w:rFonts w:ascii="Arial" w:hAnsi="Arial"/>
          <w:b w:val="0"/>
          <w:i w:val="0"/>
          <w:sz w:val="19"/>
        </w:rPr>
        <w:t xml:space="preserve">, die von 127,42 Milliarden Euro auf </w:t>
      </w:r>
      <w:r>
        <w:rPr>
          <w:rFonts w:ascii="Arial" w:hAnsi="Arial"/>
          <w:b w:val="0"/>
          <w:i/>
          <w:sz w:val="19"/>
        </w:rPr>
        <w:t>132,04 Milliarden Euro</w:t>
      </w:r>
      <w:r>
        <w:rPr>
          <w:rFonts w:ascii="Arial" w:hAnsi="Arial"/>
          <w:b w:val="0"/>
          <w:i w:val="0"/>
          <w:sz w:val="19"/>
        </w:rPr>
        <w:t xml:space="preserve"> stiegen (plus rund 4,62 Milliarden Euro), während die </w:t>
      </w:r>
      <w:r>
        <w:rPr>
          <w:rFonts w:ascii="Arial" w:hAnsi="Arial"/>
          <w:b w:val="0"/>
          <w:i/>
          <w:sz w:val="19"/>
        </w:rPr>
        <w:t>Grundsicherung für Arbeitsuchende</w:t>
      </w:r>
      <w:r>
        <w:rPr>
          <w:rFonts w:ascii="Arial" w:hAnsi="Arial"/>
          <w:b w:val="0"/>
          <w:i w:val="0"/>
          <w:sz w:val="19"/>
        </w:rPr>
        <w:t xml:space="preserve"> mit </w:t>
      </w:r>
      <w:r>
        <w:rPr>
          <w:rFonts w:ascii="Arial" w:hAnsi="Arial"/>
          <w:b w:val="0"/>
          <w:i/>
          <w:sz w:val="19"/>
        </w:rPr>
        <w:t>50,81 Milliarden Euro</w:t>
      </w:r>
      <w:r>
        <w:rPr>
          <w:rFonts w:ascii="Arial" w:hAnsi="Arial"/>
          <w:b w:val="0"/>
          <w:i w:val="0"/>
          <w:sz w:val="19"/>
        </w:rPr>
        <w:t xml:space="preserve"> leicht unter dem Vorjahreswert (51,02 Milliarden Euro) läge und für </w:t>
      </w:r>
      <w:r>
        <w:rPr>
          <w:rFonts w:ascii="Arial" w:hAnsi="Arial"/>
          <w:b w:val="0"/>
          <w:i/>
          <w:sz w:val="19"/>
        </w:rPr>
        <w:t>Leistungen zur Eingliederung in Arbeit</w:t>
      </w:r>
      <w:r>
        <w:rPr>
          <w:rFonts w:ascii="Arial" w:hAnsi="Arial"/>
          <w:b w:val="0"/>
          <w:i w:val="0"/>
          <w:sz w:val="19"/>
        </w:rPr>
        <w:t xml:space="preserve"> rund </w:t>
      </w:r>
      <w:r>
        <w:rPr>
          <w:rFonts w:ascii="Arial" w:hAnsi="Arial"/>
          <w:b w:val="0"/>
          <w:i/>
          <w:sz w:val="19"/>
        </w:rPr>
        <w:t>4,7 Milliarden Euro</w:t>
      </w:r>
      <w:r>
        <w:rPr>
          <w:rFonts w:ascii="Arial" w:hAnsi="Arial"/>
          <w:b w:val="0"/>
          <w:i w:val="0"/>
          <w:sz w:val="19"/>
        </w:rPr>
        <w:t xml:space="preserve"> veranschlagt seien (Bundestag, Textarchiv zur Haushaltswoche). Für die hier geführte Debatte ist diese Gegenprobe aufschlussreich, weil sie die Größenordnungen sortiert: Der </w:t>
      </w:r>
      <w:r>
        <w:rPr>
          <w:rFonts w:ascii="Arial" w:hAnsi="Arial"/>
          <w:b w:val="0"/>
          <w:i/>
          <w:sz w:val="19"/>
        </w:rPr>
        <w:t>Zuwachs allein beim Bundeszuschuss zur Rentenversicherung</w:t>
      </w:r>
      <w:r>
        <w:rPr>
          <w:rFonts w:ascii="Arial" w:hAnsi="Arial"/>
          <w:b w:val="0"/>
          <w:i w:val="0"/>
          <w:sz w:val="19"/>
        </w:rPr>
        <w:t xml:space="preserve"> übersteigt in einem einzigen Haushaltsjahr die Summe sämtlicher KI-bezogenen Titel der Einzelpläne 24 und 09 um ein Vielfaches. Die in § 5.1 diskutierte Wertschöpfungsabgabe und die im vorstehenden SPD-Klausurbeschluss angelegte Verbreiterung der Finanzierungsbasis (§ 5.2) adressieren mithin nicht einen Randposten, sondern genau jenen steuerfinanzierten Anteil der Sozialversicherung, der auch ohne KI-bedingte Substitution demografisch bedingt wächst — ein Befund, der die in § 8.4 entwickelte Systemstabilitäts-Argumentation stützt, zugleich aber davor warnt, KI-bedingte Verdrängung als alleinige Ursache der Finanzierungslücke zu behandeln (vgl. die Abgrenzung von Demografie- und Automatisierungseffekten in § 1.1 und § 9.1).</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jc w:val="both"/>
      </w:pPr>
      <w:r>
        <w:rPr>
          <w:rFonts w:ascii="Arial" w:hAnsi="Arial"/>
          <w:b/>
          <w:i w:val="0"/>
          <w:sz w:val="19"/>
        </w:rPr>
        <w:t>Compute-Bindung der physischen Automatisierung (Figure/Nscale, 3. September 2026):</w:t>
      </w:r>
      <w:r>
        <w:rPr>
          <w:rFonts w:ascii="Arial" w:hAnsi="Arial"/>
          <w:b w:val="0"/>
          <w:i w:val="0"/>
          <w:sz w:val="19"/>
        </w:rPr>
        <w:t xml:space="preserve"> Ein knapper, aber für die Faktormodellierung aufschlussreicher Datenpunkt aus der Robotik: Am </w:t>
      </w:r>
      <w:r>
        <w:rPr>
          <w:rFonts w:ascii="Arial" w:hAnsi="Arial"/>
          <w:b w:val="0"/>
          <w:i/>
          <w:sz w:val="19"/>
        </w:rPr>
        <w:t>3. September 2026</w:t>
      </w:r>
      <w:r>
        <w:rPr>
          <w:rFonts w:ascii="Arial" w:hAnsi="Arial"/>
          <w:b w:val="0"/>
          <w:i w:val="0"/>
          <w:sz w:val="19"/>
        </w:rPr>
        <w:t xml:space="preserve"> hätten der Infrastrukturanbieter </w:t>
      </w:r>
      <w:r>
        <w:rPr>
          <w:rFonts w:ascii="Arial" w:hAnsi="Arial"/>
          <w:b w:val="0"/>
          <w:i/>
          <w:sz w:val="19"/>
        </w:rPr>
        <w:t>Nscale</w:t>
      </w:r>
      <w:r>
        <w:rPr>
          <w:rFonts w:ascii="Arial" w:hAnsi="Arial"/>
          <w:b w:val="0"/>
          <w:i w:val="0"/>
          <w:sz w:val="19"/>
        </w:rPr>
        <w:t xml:space="preserve"> und der Humanoid-Hersteller </w:t>
      </w:r>
      <w:r>
        <w:rPr>
          <w:rFonts w:ascii="Arial" w:hAnsi="Arial"/>
          <w:b w:val="0"/>
          <w:i/>
          <w:sz w:val="19"/>
        </w:rPr>
        <w:t>Figure</w:t>
      </w:r>
      <w:r>
        <w:rPr>
          <w:rFonts w:ascii="Arial" w:hAnsi="Arial"/>
          <w:b w:val="0"/>
          <w:i w:val="0"/>
          <w:sz w:val="19"/>
        </w:rPr>
        <w:t xml:space="preserve"> eine strategische Partnerschaft über eine anfängliche Compute-Zusage von </w:t>
      </w:r>
      <w:r>
        <w:rPr>
          <w:rFonts w:ascii="Arial" w:hAnsi="Arial"/>
          <w:b w:val="0"/>
          <w:i/>
          <w:sz w:val="19"/>
        </w:rPr>
        <w:t>3,5 Milliarden US-Dollar</w:t>
      </w:r>
      <w:r>
        <w:rPr>
          <w:rFonts w:ascii="Arial" w:hAnsi="Arial"/>
          <w:b w:val="0"/>
          <w:i w:val="0"/>
          <w:sz w:val="19"/>
        </w:rPr>
        <w:t xml:space="preserve"> mit erklärter Absicht der Ausweitung auf über </w:t>
      </w:r>
      <w:r>
        <w:rPr>
          <w:rFonts w:ascii="Arial" w:hAnsi="Arial"/>
          <w:b w:val="0"/>
          <w:i/>
          <w:sz w:val="19"/>
        </w:rPr>
        <w:t>6 Milliarden US-Dollar</w:t>
      </w:r>
      <w:r>
        <w:rPr>
          <w:rFonts w:ascii="Arial" w:hAnsi="Arial"/>
          <w:b w:val="0"/>
          <w:i w:val="0"/>
          <w:sz w:val="19"/>
        </w:rPr>
        <w:t xml:space="preserve"> bekanntgegeben, die den Einsatz von bis zu </w:t>
      </w:r>
      <w:r>
        <w:rPr>
          <w:rFonts w:ascii="Arial" w:hAnsi="Arial"/>
          <w:b w:val="0"/>
          <w:i/>
          <w:sz w:val="19"/>
        </w:rPr>
        <w:t>100.000 GPUs</w:t>
      </w:r>
      <w:r>
        <w:rPr>
          <w:rFonts w:ascii="Arial" w:hAnsi="Arial"/>
          <w:b w:val="0"/>
          <w:i w:val="0"/>
          <w:sz w:val="19"/>
        </w:rPr>
        <w:t xml:space="preserve"> der </w:t>
      </w:r>
      <w:r>
        <w:rPr>
          <w:rFonts w:ascii="Arial" w:hAnsi="Arial"/>
          <w:b w:val="0"/>
          <w:i/>
          <w:sz w:val="19"/>
        </w:rPr>
        <w:t>NVIDIA-Vera-Rubin</w:t>
      </w:r>
      <w:r>
        <w:rPr>
          <w:rFonts w:ascii="Arial" w:hAnsi="Arial"/>
          <w:b w:val="0"/>
          <w:i w:val="0"/>
          <w:sz w:val="19"/>
        </w:rPr>
        <w:t xml:space="preserve">-Plattform umfasse; der Aufbau solle im zweiten Halbjahr 2027 in </w:t>
      </w:r>
      <w:r>
        <w:rPr>
          <w:rFonts w:ascii="Arial" w:hAnsi="Arial"/>
          <w:b w:val="0"/>
          <w:i/>
          <w:sz w:val="19"/>
        </w:rPr>
        <w:t>Barstow</w:t>
      </w:r>
      <w:r>
        <w:rPr>
          <w:rFonts w:ascii="Arial" w:hAnsi="Arial"/>
          <w:b w:val="0"/>
          <w:i w:val="0"/>
          <w:sz w:val="19"/>
        </w:rPr>
        <w:t xml:space="preserve"> (Texas) beginnen, </w:t>
      </w:r>
      <w:r>
        <w:rPr>
          <w:rFonts w:ascii="Arial" w:hAnsi="Arial"/>
          <w:b w:val="0"/>
          <w:i/>
          <w:sz w:val="19"/>
        </w:rPr>
        <w:t>Nscale</w:t>
      </w:r>
      <w:r>
        <w:rPr>
          <w:rFonts w:ascii="Arial" w:hAnsi="Arial"/>
          <w:b w:val="0"/>
          <w:i w:val="0"/>
          <w:sz w:val="19"/>
        </w:rPr>
        <w:t xml:space="preserve"> werde Anteilseigner von </w:t>
      </w:r>
      <w:r>
        <w:rPr>
          <w:rFonts w:ascii="Arial" w:hAnsi="Arial"/>
          <w:b w:val="0"/>
          <w:i/>
          <w:sz w:val="19"/>
        </w:rPr>
        <w:t>Figure</w:t>
      </w:r>
      <w:r>
        <w:rPr>
          <w:rFonts w:ascii="Arial" w:hAnsi="Arial"/>
          <w:b w:val="0"/>
          <w:i w:val="0"/>
          <w:sz w:val="19"/>
        </w:rPr>
        <w:t xml:space="preserve">, und </w:t>
      </w:r>
      <w:r>
        <w:rPr>
          <w:rFonts w:ascii="Arial" w:hAnsi="Arial"/>
          <w:b w:val="0"/>
          <w:i/>
          <w:sz w:val="19"/>
        </w:rPr>
        <w:t>Figure</w:t>
      </w:r>
      <w:r>
        <w:rPr>
          <w:rFonts w:ascii="Arial" w:hAnsi="Arial"/>
          <w:b w:val="0"/>
          <w:i w:val="0"/>
          <w:sz w:val="19"/>
        </w:rPr>
        <w:t xml:space="preserve"> benenne </w:t>
      </w:r>
      <w:r>
        <w:rPr>
          <w:rFonts w:ascii="Arial" w:hAnsi="Arial"/>
          <w:b w:val="0"/>
          <w:i/>
          <w:sz w:val="19"/>
        </w:rPr>
        <w:t>Nscale</w:t>
      </w:r>
      <w:r>
        <w:rPr>
          <w:rFonts w:ascii="Arial" w:hAnsi="Arial"/>
          <w:b w:val="0"/>
          <w:i w:val="0"/>
          <w:sz w:val="19"/>
        </w:rPr>
        <w:t xml:space="preserve"> als bevorzugten Compute-Anbieter (Nscale-Pressemitteilung vom 3. September 2026; Figure-CEO </w:t>
      </w:r>
      <w:r>
        <w:rPr>
          <w:rFonts w:ascii="Arial" w:hAnsi="Arial"/>
          <w:b w:val="0"/>
          <w:i/>
          <w:sz w:val="19"/>
        </w:rPr>
        <w:t>Brett Adcock</w:t>
      </w:r>
      <w:r>
        <w:rPr>
          <w:rFonts w:ascii="Arial" w:hAnsi="Arial"/>
          <w:b w:val="0"/>
          <w:i w:val="0"/>
          <w:sz w:val="19"/>
        </w:rPr>
        <w:t xml:space="preserve">: </w:t>
      </w:r>
      <w:r>
        <w:rPr>
          <w:rFonts w:ascii="Arial" w:hAnsi="Arial"/>
          <w:b w:val="0"/>
          <w:i/>
          <w:sz w:val="19"/>
        </w:rPr>
        <w:t>„We're constrained by data and compute"</w:t>
      </w:r>
      <w:r>
        <w:rPr>
          <w:rFonts w:ascii="Arial" w:hAnsi="Arial"/>
          <w:b w:val="0"/>
          <w:i w:val="0"/>
          <w:sz w:val="19"/>
        </w:rPr>
        <w:t xml:space="preserve">; Nscale-CEO </w:t>
      </w:r>
      <w:r>
        <w:rPr>
          <w:rFonts w:ascii="Arial" w:hAnsi="Arial"/>
          <w:b w:val="0"/>
          <w:i/>
          <w:sz w:val="19"/>
        </w:rPr>
        <w:t>Josh Payne</w:t>
      </w:r>
      <w:r>
        <w:rPr>
          <w:rFonts w:ascii="Arial" w:hAnsi="Arial"/>
          <w:b w:val="0"/>
          <w:i w:val="0"/>
          <w:sz w:val="19"/>
        </w:rPr>
        <w:t>). Zwei Punkte sind für die Drei-Faktor-Sicht relevant. Erstens beschreiben beide Unternehmen die physische Automatisierung (§ 2.2) ausdrücklich nicht als klassisches Kapitalgut, sondern als compute- und datenlimitierte Anwendung eines Basismodells (</w:t>
      </w:r>
      <w:r>
        <w:rPr>
          <w:rFonts w:ascii="Arial" w:hAnsi="Arial"/>
          <w:b w:val="0"/>
          <w:i/>
          <w:sz w:val="19"/>
        </w:rPr>
        <w:t>Helix</w:t>
      </w:r>
      <w:r>
        <w:rPr>
          <w:rFonts w:ascii="Arial" w:hAnsi="Arial"/>
          <w:b w:val="0"/>
          <w:i w:val="0"/>
          <w:sz w:val="19"/>
        </w:rPr>
        <w:t>) — der Engpass liege nicht bei Mechanik oder Anlagekapital, sondern beim dritten Faktor selbst, was die oben formulierte Skalierungs- und Replikationslogik empirisch stützt. Zweitens verbindet die Konstruktion — Compute-Abnahmezusage gegen Eigenkapitalbeteiligung — die in § 8.2 dokumentierte Reihe zirkulärer Compute-Finanzierungskonstruktionen erstmals mit der Robotik und damit mit jenem Substitutionspfad, der für die Bemessung einer Wertschöpfungsabgabe (§ 5.1) und für die Kausalattribution beim Deployer (§ 9.1) unmittelbar einschlägig ist.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jc w:val="both"/>
      </w:pPr>
      <w:r>
        <w:rPr>
          <w:rFonts w:ascii="Arial" w:hAnsi="Arial"/>
          <w:b/>
          <w:i w:val="0"/>
          <w:sz w:val="19"/>
        </w:rPr>
        <w:t>Sechste Fortschreibung (NVIDIA-Übernahme von *Hugging Face* — Vereinbarung 2. September 2026, Bekanntgabe 3. September 2026):</w:t>
      </w:r>
      <w:r>
        <w:rPr>
          <w:rFonts w:ascii="Arial" w:hAnsi="Arial"/>
          <w:b w:val="0"/>
          <w:i w:val="0"/>
          <w:sz w:val="19"/>
        </w:rPr>
        <w:t xml:space="preserve"> Die in dieser Rubrik geführte Konzentrationsbeobachtung erhält mit der größten Akquisition der bisherigen KI-Zyklusgeschichte eine neue Ebene. Nach dem </w:t>
      </w:r>
      <w:r>
        <w:rPr>
          <w:rFonts w:ascii="Arial" w:hAnsi="Arial"/>
          <w:b w:val="0"/>
          <w:i/>
          <w:sz w:val="19"/>
        </w:rPr>
        <w:t>Current Report Form 8-K</w:t>
      </w:r>
      <w:r>
        <w:rPr>
          <w:rFonts w:ascii="Arial" w:hAnsi="Arial"/>
          <w:b w:val="0"/>
          <w:i w:val="0"/>
          <w:sz w:val="19"/>
        </w:rPr>
        <w:t xml:space="preserve"> der </w:t>
      </w:r>
      <w:r>
        <w:rPr>
          <w:rFonts w:ascii="Arial" w:hAnsi="Arial"/>
          <w:b w:val="0"/>
          <w:i/>
          <w:sz w:val="19"/>
        </w:rPr>
        <w:t>NVIDIA Corporation</w:t>
      </w:r>
      <w:r>
        <w:rPr>
          <w:rFonts w:ascii="Arial" w:hAnsi="Arial"/>
          <w:b w:val="0"/>
          <w:i w:val="0"/>
          <w:sz w:val="19"/>
        </w:rPr>
        <w:t xml:space="preserve"> an die </w:t>
      </w:r>
      <w:r>
        <w:rPr>
          <w:rFonts w:ascii="Arial" w:hAnsi="Arial"/>
          <w:b w:val="0"/>
          <w:i/>
          <w:sz w:val="19"/>
        </w:rPr>
        <w:t>U.S. Securities and Exchange Commission</w:t>
      </w:r>
      <w:r>
        <w:rPr>
          <w:rFonts w:ascii="Arial" w:hAnsi="Arial"/>
          <w:b w:val="0"/>
          <w:i w:val="0"/>
          <w:sz w:val="19"/>
        </w:rPr>
        <w:t xml:space="preserve"> (Aktenzeichen `nvda-20260902`) wurde die Vereinbarung am </w:t>
      </w:r>
      <w:r>
        <w:rPr>
          <w:rFonts w:ascii="Arial" w:hAnsi="Arial"/>
          <w:b w:val="0"/>
          <w:i/>
          <w:sz w:val="19"/>
        </w:rPr>
        <w:t>2. September 2026</w:t>
      </w:r>
      <w:r>
        <w:rPr>
          <w:rFonts w:ascii="Arial" w:hAnsi="Arial"/>
          <w:b w:val="0"/>
          <w:i w:val="0"/>
          <w:sz w:val="19"/>
        </w:rPr>
        <w:t xml:space="preserve"> geschlossen und am </w:t>
      </w:r>
      <w:r>
        <w:rPr>
          <w:rFonts w:ascii="Arial" w:hAnsi="Arial"/>
          <w:b w:val="0"/>
          <w:i/>
          <w:sz w:val="19"/>
        </w:rPr>
        <w:t>3. September 2026</w:t>
      </w:r>
      <w:r>
        <w:rPr>
          <w:rFonts w:ascii="Arial" w:hAnsi="Arial"/>
          <w:b w:val="0"/>
          <w:i w:val="0"/>
          <w:sz w:val="19"/>
        </w:rPr>
        <w:t xml:space="preserve"> öffentlich bekanntgegeben; die Gesamtgegenleistung beträgt rund </w:t>
      </w:r>
      <w:r>
        <w:rPr>
          <w:rFonts w:ascii="Arial" w:hAnsi="Arial"/>
          <w:b w:val="0"/>
          <w:i/>
          <w:sz w:val="19"/>
        </w:rPr>
        <w:t>12,9 Milliarden US-Dollar</w:t>
      </w:r>
      <w:r>
        <w:rPr>
          <w:rFonts w:ascii="Arial" w:hAnsi="Arial"/>
          <w:b w:val="0"/>
          <w:i w:val="0"/>
          <w:sz w:val="19"/>
        </w:rPr>
        <w:t xml:space="preserve">, davon rund </w:t>
      </w:r>
      <w:r>
        <w:rPr>
          <w:rFonts w:ascii="Arial" w:hAnsi="Arial"/>
          <w:b w:val="0"/>
          <w:i/>
          <w:sz w:val="19"/>
        </w:rPr>
        <w:t>11,9 Milliarden US-Dollar</w:t>
      </w:r>
      <w:r>
        <w:rPr>
          <w:rFonts w:ascii="Arial" w:hAnsi="Arial"/>
          <w:b w:val="0"/>
          <w:i w:val="0"/>
          <w:sz w:val="19"/>
        </w:rPr>
        <w:t xml:space="preserve"> an die Anteilseigner und rund </w:t>
      </w:r>
      <w:r>
        <w:rPr>
          <w:rFonts w:ascii="Arial" w:hAnsi="Arial"/>
          <w:b w:val="0"/>
          <w:i/>
          <w:sz w:val="19"/>
        </w:rPr>
        <w:t>1,0 Milliarde US-Dollar</w:t>
      </w:r>
      <w:r>
        <w:rPr>
          <w:rFonts w:ascii="Arial" w:hAnsi="Arial"/>
          <w:b w:val="0"/>
          <w:i w:val="0"/>
          <w:sz w:val="19"/>
        </w:rPr>
        <w:t xml:space="preserve"> als Eigenkapital-Retentionsprogramm für die Beschäftigten; der Vollzug werde für das </w:t>
      </w:r>
      <w:r>
        <w:rPr>
          <w:rFonts w:ascii="Arial" w:hAnsi="Arial"/>
          <w:b w:val="0"/>
          <w:i/>
          <w:sz w:val="19"/>
        </w:rPr>
        <w:t>erste Halbjahr 2027</w:t>
      </w:r>
      <w:r>
        <w:rPr>
          <w:rFonts w:ascii="Arial" w:hAnsi="Arial"/>
          <w:b w:val="0"/>
          <w:i w:val="0"/>
          <w:sz w:val="19"/>
        </w:rPr>
        <w:t xml:space="preserve"> erwartet, vorbehaltlich der üblichen Vollzugsbedingungen einschließlich der erforderlichen regulatorischen Freigaben. Gegenstand ist die Plattform, über die das offene Modellsegment praktisch vollständig distribuiert wird: nach Unternehmensangaben mehr als </w:t>
      </w:r>
      <w:r>
        <w:rPr>
          <w:rFonts w:ascii="Arial" w:hAnsi="Arial"/>
          <w:b w:val="0"/>
          <w:i/>
          <w:sz w:val="19"/>
        </w:rPr>
        <w:t>18 Millionen</w:t>
      </w:r>
      <w:r>
        <w:rPr>
          <w:rFonts w:ascii="Arial" w:hAnsi="Arial"/>
          <w:b w:val="0"/>
          <w:i w:val="0"/>
          <w:sz w:val="19"/>
        </w:rPr>
        <w:t xml:space="preserve"> Entwicklerinnen, Entwickler, Forschende und Kreative, über </w:t>
      </w:r>
      <w:r>
        <w:rPr>
          <w:rFonts w:ascii="Arial" w:hAnsi="Arial"/>
          <w:b w:val="0"/>
          <w:i/>
          <w:sz w:val="19"/>
        </w:rPr>
        <w:t>drei Millionen</w:t>
      </w:r>
      <w:r>
        <w:rPr>
          <w:rFonts w:ascii="Arial" w:hAnsi="Arial"/>
          <w:b w:val="0"/>
          <w:i w:val="0"/>
          <w:sz w:val="19"/>
        </w:rPr>
        <w:t xml:space="preserve"> Modelle, </w:t>
      </w:r>
      <w:r>
        <w:rPr>
          <w:rFonts w:ascii="Arial" w:hAnsi="Arial"/>
          <w:b w:val="0"/>
          <w:i/>
          <w:sz w:val="19"/>
        </w:rPr>
        <w:t>500.000</w:t>
      </w:r>
      <w:r>
        <w:rPr>
          <w:rFonts w:ascii="Arial" w:hAnsi="Arial"/>
          <w:b w:val="0"/>
          <w:i w:val="0"/>
          <w:sz w:val="19"/>
        </w:rPr>
        <w:t xml:space="preserve"> Datensätze, </w:t>
      </w:r>
      <w:r>
        <w:rPr>
          <w:rFonts w:ascii="Arial" w:hAnsi="Arial"/>
          <w:b w:val="0"/>
          <w:i/>
          <w:sz w:val="19"/>
        </w:rPr>
        <w:t>eine Million</w:t>
      </w:r>
      <w:r>
        <w:rPr>
          <w:rFonts w:ascii="Arial" w:hAnsi="Arial"/>
          <w:b w:val="0"/>
          <w:i w:val="0"/>
          <w:sz w:val="19"/>
        </w:rPr>
        <w:t xml:space="preserve"> Anwendungen und mehr als </w:t>
      </w:r>
      <w:r>
        <w:rPr>
          <w:rFonts w:ascii="Arial" w:hAnsi="Arial"/>
          <w:b w:val="0"/>
          <w:i/>
          <w:sz w:val="19"/>
        </w:rPr>
        <w:t>200.000</w:t>
      </w:r>
      <w:r>
        <w:rPr>
          <w:rFonts w:ascii="Arial" w:hAnsi="Arial"/>
          <w:b w:val="0"/>
          <w:i w:val="0"/>
          <w:sz w:val="19"/>
        </w:rPr>
        <w:t xml:space="preserve"> Unternehmen, die die Plattform zum Finden, Bewerten, Anpassen und Ausrollen von Modellen nutzen (die Drei-Millionen-Modell-Marke ist in dieser Rubrik bereits als Marktverschiebungsindikator geführt). Bei einem annualisierten Umsatz von rund </w:t>
      </w:r>
      <w:r>
        <w:rPr>
          <w:rFonts w:ascii="Arial" w:hAnsi="Arial"/>
          <w:b w:val="0"/>
          <w:i/>
          <w:sz w:val="19"/>
        </w:rPr>
        <w:t>150 Millionen US-Dollar</w:t>
      </w:r>
      <w:r>
        <w:rPr>
          <w:rFonts w:ascii="Arial" w:hAnsi="Arial"/>
          <w:b w:val="0"/>
          <w:i w:val="0"/>
          <w:sz w:val="19"/>
        </w:rPr>
        <w:t xml:space="preserve"> entspricht der Kaufpreis rund dem Sechsundachtzigfachen des Jahresumsatzes; eine frühere NVIDIA-Offerte über 500 Millionen US-Dollar sei im Vorjahr abgelehnt worden (</w:t>
      </w:r>
      <w:r>
        <w:rPr>
          <w:rFonts w:ascii="Arial" w:hAnsi="Arial"/>
          <w:b w:val="0"/>
          <w:i/>
          <w:sz w:val="19"/>
        </w:rPr>
        <w:t>TechCrunch</w:t>
      </w:r>
      <w:r>
        <w:rPr>
          <w:rFonts w:ascii="Arial" w:hAnsi="Arial"/>
          <w:b w:val="0"/>
          <w:i w:val="0"/>
          <w:sz w:val="19"/>
        </w:rPr>
        <w:t xml:space="preserve">, 3. September 2026). NVIDIA hat sich im 8-K ausdrücklich verpflichtet, die Plattform </w:t>
      </w:r>
      <w:r>
        <w:rPr>
          <w:rFonts w:ascii="Arial" w:hAnsi="Arial"/>
          <w:b w:val="0"/>
          <w:i/>
          <w:sz w:val="19"/>
        </w:rPr>
        <w:t>„offen"</w:t>
      </w:r>
      <w:r>
        <w:rPr>
          <w:rFonts w:ascii="Arial" w:hAnsi="Arial"/>
          <w:b w:val="0"/>
          <w:i w:val="0"/>
          <w:sz w:val="19"/>
        </w:rPr>
        <w:t xml:space="preserve"> im Sinne der bisherigen Praxis zu halten — Modellanbietern, Entwicklerinnen und Nutzern werde weiterhin der Upload und Download von Modellen und Datensätzen ihrer Wahl möglich sein, und andere Silizium-Anbieter würden weiterhin unterstützt; NVIDIA-CEO </w:t>
      </w:r>
      <w:r>
        <w:rPr>
          <w:rFonts w:ascii="Arial" w:hAnsi="Arial"/>
          <w:b w:val="0"/>
          <w:i/>
          <w:sz w:val="19"/>
        </w:rPr>
        <w:t>Jensen Huang</w:t>
      </w:r>
      <w:r>
        <w:rPr>
          <w:rFonts w:ascii="Arial" w:hAnsi="Arial"/>
          <w:b w:val="0"/>
          <w:i w:val="0"/>
          <w:sz w:val="19"/>
        </w:rPr>
        <w:t xml:space="preserve"> erklärte, </w:t>
      </w:r>
      <w:r>
        <w:rPr>
          <w:rFonts w:ascii="Arial" w:hAnsi="Arial"/>
          <w:b w:val="0"/>
          <w:i/>
          <w:sz w:val="19"/>
        </w:rPr>
        <w:t>Hugging Face</w:t>
      </w:r>
      <w:r>
        <w:rPr>
          <w:rFonts w:ascii="Arial" w:hAnsi="Arial"/>
          <w:b w:val="0"/>
          <w:i w:val="0"/>
          <w:sz w:val="19"/>
        </w:rPr>
        <w:t xml:space="preserve"> bleibe </w:t>
      </w:r>
      <w:r>
        <w:rPr>
          <w:rFonts w:ascii="Arial" w:hAnsi="Arial"/>
          <w:b w:val="0"/>
          <w:i/>
          <w:sz w:val="19"/>
        </w:rPr>
        <w:t>„an open platform for the entire AI ecosystem"</w:t>
      </w:r>
      <w:r>
        <w:rPr>
          <w:rFonts w:ascii="Arial" w:hAnsi="Arial"/>
          <w:b w:val="0"/>
          <w:i w:val="0"/>
          <w:sz w:val="19"/>
        </w:rPr>
        <w:t xml:space="preserve">, NVIDIA-Compute sei für Entwicklung und Deployment nicht erforderlich, und NVIDIA habe selbst über 500 Modelle und 250 offene Datensätze beigesteuert; </w:t>
      </w:r>
      <w:r>
        <w:rPr>
          <w:rFonts w:ascii="Arial" w:hAnsi="Arial"/>
          <w:b w:val="0"/>
          <w:i/>
          <w:sz w:val="19"/>
        </w:rPr>
        <w:t>Hugging-Face</w:t>
      </w:r>
      <w:r>
        <w:rPr>
          <w:rFonts w:ascii="Arial" w:hAnsi="Arial"/>
          <w:b w:val="0"/>
          <w:i w:val="0"/>
          <w:sz w:val="19"/>
        </w:rPr>
        <w:t xml:space="preserve">-CEO </w:t>
      </w:r>
      <w:r>
        <w:rPr>
          <w:rFonts w:ascii="Arial" w:hAnsi="Arial"/>
          <w:b w:val="0"/>
          <w:i/>
          <w:sz w:val="19"/>
        </w:rPr>
        <w:t>Clément Delangue</w:t>
      </w:r>
      <w:r>
        <w:rPr>
          <w:rFonts w:ascii="Arial" w:hAnsi="Arial"/>
          <w:b w:val="0"/>
          <w:i w:val="0"/>
          <w:sz w:val="19"/>
        </w:rPr>
        <w:t xml:space="preserve"> begründete den Schritt damit, dass die Skalierung offener Modelle </w:t>
      </w:r>
      <w:r>
        <w:rPr>
          <w:rFonts w:ascii="Arial" w:hAnsi="Arial"/>
          <w:b w:val="0"/>
          <w:i/>
          <w:sz w:val="19"/>
        </w:rPr>
        <w:t>„more compute, more support, more collaboration, and more visibility"</w:t>
      </w:r>
      <w:r>
        <w:rPr>
          <w:rFonts w:ascii="Arial" w:hAnsi="Arial"/>
          <w:b w:val="0"/>
          <w:i w:val="0"/>
          <w:sz w:val="19"/>
        </w:rPr>
        <w:t xml:space="preserve"> benötige. Die kritische Gegenlesart ist für die Ausgewogenheitsanforderung (§ 2.2.4 `Validierung.md`) mitzuführen und im Konjunktiv zu referieren: Die Transaktion verbinde erstmals die Compute-Ebene mit der Entdeckungs- und Distributionsebene und schaffe damit einen vertikalen Engpass in der Lieferkette offener Modelle; zu befürchten sei eine Depriorisierung konkurrierender Beschleuniger-Backends (etwa </w:t>
      </w:r>
      <w:r>
        <w:rPr>
          <w:rFonts w:ascii="Arial" w:hAnsi="Arial"/>
          <w:b w:val="0"/>
          <w:i/>
          <w:sz w:val="19"/>
        </w:rPr>
        <w:t>AMD ROCm</w:t>
      </w:r>
      <w:r>
        <w:rPr>
          <w:rFonts w:ascii="Arial" w:hAnsi="Arial"/>
          <w:b w:val="0"/>
          <w:i w:val="0"/>
          <w:sz w:val="19"/>
        </w:rPr>
        <w:t xml:space="preserve">) sowie ein struktureller Einblick in Download- und Nutzungsmuster konkurrierender Projekte; als Präzedenz wird der 2022 unter dem Druck der </w:t>
      </w:r>
      <w:r>
        <w:rPr>
          <w:rFonts w:ascii="Arial" w:hAnsi="Arial"/>
          <w:b w:val="0"/>
          <w:i/>
          <w:sz w:val="19"/>
        </w:rPr>
        <w:t>US Federal Trade Commission</w:t>
      </w:r>
      <w:r>
        <w:rPr>
          <w:rFonts w:ascii="Arial" w:hAnsi="Arial"/>
          <w:b w:val="0"/>
          <w:i w:val="0"/>
          <w:sz w:val="19"/>
        </w:rPr>
        <w:t xml:space="preserve"> sowie britischer, europäischer und chinesischer Behörden gescheiterte NVIDIA-Erwerb von </w:t>
      </w:r>
      <w:r>
        <w:rPr>
          <w:rFonts w:ascii="Arial" w:hAnsi="Arial"/>
          <w:b w:val="0"/>
          <w:i/>
          <w:sz w:val="19"/>
        </w:rPr>
        <w:t>Arm</w:t>
      </w:r>
      <w:r>
        <w:rPr>
          <w:rFonts w:ascii="Arial" w:hAnsi="Arial"/>
          <w:b w:val="0"/>
          <w:i w:val="0"/>
          <w:sz w:val="19"/>
        </w:rPr>
        <w:t xml:space="preserve"> (40 Milliarden US-Dollar) angeführt, dessen Kernargument — eine Plattform, von der alle abhängen, solle nicht einem der abhängigen Wettbewerber gehören — hier wiederkehre. Anders als die vorangegangenen NVIDIA-</w:t>
      </w:r>
      <w:r>
        <w:rPr>
          <w:rFonts w:ascii="Arial" w:hAnsi="Arial"/>
          <w:b w:val="0"/>
          <w:i/>
          <w:sz w:val="19"/>
        </w:rPr>
        <w:t>„Quasi-Fusionen"</w:t>
      </w:r>
      <w:r>
        <w:rPr>
          <w:rFonts w:ascii="Arial" w:hAnsi="Arial"/>
          <w:b w:val="0"/>
          <w:i w:val="0"/>
          <w:sz w:val="19"/>
        </w:rPr>
        <w:t xml:space="preserve"> (Beteiligungs-, Lizenz- und Talentübernahmen) unterliege dieser Erwerb einer förmlichen Fusionskontrolle, in den Vereinigten Staaten über die </w:t>
      </w:r>
      <w:r>
        <w:rPr>
          <w:rFonts w:ascii="Arial" w:hAnsi="Arial"/>
          <w:b w:val="0"/>
          <w:i/>
          <w:sz w:val="19"/>
        </w:rPr>
        <w:t>Hart-Scott-Rodino</w:t>
      </w:r>
      <w:r>
        <w:rPr>
          <w:rFonts w:ascii="Arial" w:hAnsi="Arial"/>
          <w:b w:val="0"/>
          <w:i w:val="0"/>
          <w:sz w:val="19"/>
        </w:rPr>
        <w:t xml:space="preserve">-Anmeldung, in der Europäischen Union über die EU-Fusionskontrolle; NVIDIA halte dem entgegen, es handle sich um eine </w:t>
      </w:r>
      <w:r>
        <w:rPr>
          <w:rFonts w:ascii="Arial" w:hAnsi="Arial"/>
          <w:b w:val="0"/>
          <w:i/>
          <w:sz w:val="19"/>
        </w:rPr>
        <w:t>„Dekonzentrationsplattform"</w:t>
      </w:r>
      <w:r>
        <w:rPr>
          <w:rFonts w:ascii="Arial" w:hAnsi="Arial"/>
          <w:b w:val="0"/>
          <w:i w:val="0"/>
          <w:sz w:val="19"/>
        </w:rPr>
        <w:t xml:space="preserve">, weil die Übernahme den Zugang zu KI in Länder und Branchen hinein verbreitere. Für die Deutschland-These ist die europäische Dimension der Transaktion der eigentlich interessante Teil: </w:t>
      </w:r>
      <w:r>
        <w:rPr>
          <w:rFonts w:ascii="Arial" w:hAnsi="Arial"/>
          <w:b w:val="0"/>
          <w:i/>
          <w:sz w:val="19"/>
        </w:rPr>
        <w:t>Hugging Face</w:t>
      </w:r>
      <w:r>
        <w:rPr>
          <w:rFonts w:ascii="Arial" w:hAnsi="Arial"/>
          <w:b w:val="0"/>
          <w:i w:val="0"/>
          <w:sz w:val="19"/>
        </w:rPr>
        <w:t xml:space="preserve"> ist französischen Ursprungs, rund die Hälfte der Beschäftigten arbeitet in Paris, und die Übernahme berührt nach der Einordnung von </w:t>
      </w:r>
      <w:r>
        <w:rPr>
          <w:rFonts w:ascii="Arial" w:hAnsi="Arial"/>
          <w:b w:val="0"/>
          <w:i/>
          <w:sz w:val="19"/>
        </w:rPr>
        <w:t>Euronews</w:t>
      </w:r>
      <w:r>
        <w:rPr>
          <w:rFonts w:ascii="Arial" w:hAnsi="Arial"/>
          <w:b w:val="0"/>
          <w:i w:val="0"/>
          <w:sz w:val="19"/>
        </w:rPr>
        <w:t xml:space="preserve"> (7. September 2026) die europäische digitale Souveränität in beide Richtungen — einerseits als Risiko eines Vendor-Lock-in bei einem US-Anbieter, andererseits als Chance, weil offene Modellgewichte lokal gehostet werden könnten und damit kleineren europäischen Unternehmen, Start-ups und Behörden mit sensiblen Datenbeständen überhaupt erst Wettbewerbsfähigkeit ermöglichten; Wettbewerbsbehörden in Paris und Brüssel würden den Vollzug sowohl fusionskontrollrechtlich als auch mit Blick auf die Durchsetzung der EU-KI-Verordnung prüfen. Vier Konsequenzen für die hier geführte Argumentation: </w:t>
      </w:r>
      <w:r>
        <w:rPr>
          <w:rFonts w:ascii="Arial" w:hAnsi="Arial"/>
          <w:b w:val="0"/>
          <w:i/>
          <w:sz w:val="19"/>
        </w:rPr>
        <w:t>Erstens</w:t>
      </w:r>
      <w:r>
        <w:rPr>
          <w:rFonts w:ascii="Arial" w:hAnsi="Arial"/>
          <w:b w:val="0"/>
          <w:i w:val="0"/>
          <w:sz w:val="19"/>
        </w:rPr>
        <w:t xml:space="preserve"> wird die Rohstoff-Analogie präzisiert — bislang lag die Konzentration auf der Förderstufe (Compute, Modellgewichte); mit dieser Transaktion wäre erstmals auch die Handelsstufe in derselben Hand, in der Rohstoffanalogie also Mine und Rohstoffbörse. </w:t>
      </w:r>
      <w:r>
        <w:rPr>
          <w:rFonts w:ascii="Arial" w:hAnsi="Arial"/>
          <w:b w:val="0"/>
          <w:i/>
          <w:sz w:val="19"/>
        </w:rPr>
        <w:t>Zweitens</w:t>
      </w:r>
      <w:r>
        <w:rPr>
          <w:rFonts w:ascii="Arial" w:hAnsi="Arial"/>
          <w:b w:val="0"/>
          <w:i w:val="0"/>
          <w:sz w:val="19"/>
        </w:rPr>
        <w:t xml:space="preserve"> verschiebt sich damit für die Veredelungsstrategie (§ 8.5, § 10.2) der Schwerpunkt des Zugangsrisikos: nicht mehr allein die Verfügbarkeit von Rechenleistung, sondern die Neutralität der Bezugswege für offene Modellgewichte wird zur kritischen Größe — eine Ebene, die europäisch und national sowohl haushaltsseitig (vgl. den 250-Millionen-Euro-Titel des Bundeshaushaltsentwurfs 2027 in § 4.5 und die </w:t>
      </w:r>
      <w:r>
        <w:rPr>
          <w:rFonts w:ascii="Arial" w:hAnsi="Arial"/>
          <w:b w:val="0"/>
          <w:i/>
          <w:sz w:val="19"/>
        </w:rPr>
        <w:t>AI-Gigafactories</w:t>
      </w:r>
      <w:r>
        <w:rPr>
          <w:rFonts w:ascii="Arial" w:hAnsi="Arial"/>
          <w:b w:val="0"/>
          <w:i w:val="0"/>
          <w:sz w:val="19"/>
        </w:rPr>
        <w:t xml:space="preserve"> oben) als auch fusionskontrollrechtlich adressierbar ist. </w:t>
      </w:r>
      <w:r>
        <w:rPr>
          <w:rFonts w:ascii="Arial" w:hAnsi="Arial"/>
          <w:b w:val="0"/>
          <w:i/>
          <w:sz w:val="19"/>
        </w:rPr>
        <w:t>Drittens</w:t>
      </w:r>
      <w:r>
        <w:rPr>
          <w:rFonts w:ascii="Arial" w:hAnsi="Arial"/>
          <w:b w:val="0"/>
          <w:i w:val="0"/>
          <w:sz w:val="19"/>
        </w:rPr>
        <w:t xml:space="preserve"> liefert die Transaktion bemessungsseitig (§ 8.3, § 9.2) erstmals einen Marktpreis für die Distributionsstufe der KI-Wertschöpfung, die in der Debatte über KI-Renten bislang unbewertet blieb; der Umsatzmultiplikator von rund 86 zeigt, dass der Wert dieser Stufe fast vollständig aus ihrer Position im Wertschöpfungsnetz und nicht aus laufenden Erlösen stammt — genau die Konstellation, für die die in § 5.1 diskutierte wertschöpfungsbezogene und nicht gewinnbezogene Bemessung entwickelt wurde. </w:t>
      </w:r>
      <w:r>
        <w:rPr>
          <w:rFonts w:ascii="Arial" w:hAnsi="Arial"/>
          <w:b w:val="0"/>
          <w:i/>
          <w:sz w:val="19"/>
        </w:rPr>
        <w:t>Viertens</w:t>
      </w:r>
      <w:r>
        <w:rPr>
          <w:rFonts w:ascii="Arial" w:hAnsi="Arial"/>
          <w:b w:val="0"/>
          <w:i w:val="0"/>
          <w:sz w:val="19"/>
        </w:rPr>
        <w:t xml:space="preserve"> steht ein Verifikationsvorbehalt: Der Vollzug ist offen, und die Offenheitszusage ist eine Selbstverpflichtung ohne veröffentlichte Durchsetzungsmechanik; ob sie in behördliche Zusagen überführt wird, ist bis zum erwarteten Vollzug im ersten Halbjahr 2027 zu beobachten.</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4.3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KI-Nachwuchsgarantie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KI-Nachwuchsgarantie</w:t>
      </w:r>
      <w:r>
        <w:rPr>
          <w:rFonts w:ascii="Arial" w:hAnsi="Arial"/>
          <w:b w:val="0"/>
          <w:i w:val="0"/>
          <w:sz w:val="19"/>
        </w:rPr>
        <w:t xml:space="preserve"> könnte größere Unternehmen verpflichten,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w:t>
      </w:r>
      <w:r>
        <w:rPr>
          <w:rFonts w:ascii="Arial" w:hAnsi="Arial"/>
          <w:b/>
          <w:i w:val="0"/>
          <w:sz w:val="19"/>
        </w:rPr>
        <w:t>Primärquelle nachgetragen (Stand 9. September 2026):</w:t>
      </w:r>
      <w:r>
        <w:rPr>
          <w:rFonts w:ascii="Arial" w:hAnsi="Arial"/>
          <w:b w:val="0"/>
          <w:i w:val="0"/>
          <w:sz w:val="19"/>
        </w:rPr>
        <w:t xml:space="preserve"> SPD-Bundestagsfraktion (Türk-Nachbaur, D., MdB, Parlamentarische Geschäftsführerin, Hrsg.). (4. September 2026). </w:t>
      </w:r>
      <w:r>
        <w:rPr>
          <w:rFonts w:ascii="Arial" w:hAnsi="Arial"/>
          <w:b w:val="0"/>
          <w:i/>
          <w:sz w:val="19"/>
        </w:rPr>
        <w:t>Damit Fortschritt bei allen ankommt: gute Arbeit im KI-Zeitalter. Beschlusspapier der SPD-Bundestagsfraktion zur Klausur im September 2026</w:t>
      </w:r>
      <w:r>
        <w:rPr>
          <w:rFonts w:ascii="Arial" w:hAnsi="Arial"/>
          <w:b w:val="0"/>
          <w:i w:val="0"/>
          <w:sz w:val="19"/>
        </w:rPr>
        <w:t xml:space="preserve"> [PDF]. Berlin: SPD-Bundestagsfraktion. https://www.spdfraktion.de/system/files/documents/beschluss_gute_arbeit_im_ki_zeitalter.pdf — veröffentlicht mit dem zweiten Klausurbeschluss </w:t>
      </w:r>
      <w:r>
        <w:rPr>
          <w:rFonts w:ascii="Arial" w:hAnsi="Arial"/>
          <w:b w:val="0"/>
          <w:i/>
          <w:sz w:val="19"/>
        </w:rPr>
        <w:t>Wirtschaftliche Abhängigkeiten reduzieren, Klimaanpassung vorantreiben</w:t>
      </w:r>
      <w:r>
        <w:rPr>
          <w:rFonts w:ascii="Arial" w:hAnsi="Arial"/>
          <w:b w:val="0"/>
          <w:i w:val="0"/>
          <w:sz w:val="19"/>
        </w:rPr>
        <w:t xml:space="preserve"> (https://www.spdfraktion.de/sites/default/files/documents/beschluss_wirtschaft_klima.pdf) über die Pressemitteilung https://www.spdfraktion.de/presse/pressemitteilungen/beschlusspapiere-klausur-spd-bundestagsfraktion-0304-september-2026. Am Primärtext verifizierte Wortlaute: „Deshalb streben wir hier eine Änderung der Bemessung der Gewerbesteuer an"; „dass die großen Gewinner der KI-Revolution ihren fairen Beitrag leisten und große Technologiekonzerne endlich fair besteuert werden"; „künftig sollen schrittweise alle Erwerbstätigen sowie weitere Einkommens- und Wertschöpfungsquellen stärker zur solidarischen Finanzierung beitragen"; „Für größere Unternehmen könnte eine gesetzliche KI-Nachwuchsgarantie gelten"; „Öffentliche Förderprogramme für neue Technologien sollen nur Unternehmen erhalten, die Mitbestimmung, Folgenabschätzung und Beschäftigtendialoge nachweisen können"; „staatlich finanzierter KI-Gutschein". Die Verifikation hat drei Abweichungen der Presserezeption korrigiert (Modalität der Gewerbesteuer-Aussage, deutschsprachiger Originalwortlaut statt englischer Paraphrase zur Tech-Konzern-Besteuerung, Bezeichnung und Bedingtheit der </w:t>
      </w:r>
      <w:r>
        <w:rPr>
          <w:rFonts w:ascii="Arial" w:hAnsi="Arial"/>
          <w:b w:val="0"/>
          <w:i/>
          <w:sz w:val="19"/>
        </w:rPr>
        <w:t>KI-Nachwuchsgarantie</w:t>
      </w:r>
      <w:r>
        <w:rPr>
          <w:rFonts w:ascii="Arial" w:hAnsi="Arial"/>
          <w:b w:val="0"/>
          <w:i w:val="0"/>
          <w:sz w:val="19"/>
        </w:rPr>
        <w:t xml:space="preserve"> statt </w:t>
      </w:r>
      <w:r>
        <w:rPr>
          <w:rFonts w:ascii="Arial" w:hAnsi="Arial"/>
          <w:b w:val="0"/>
          <w:i/>
          <w:sz w:val="19"/>
        </w:rPr>
        <w:t>KI-Ausbildungsgarantie</w:t>
      </w:r>
      <w:r>
        <w:rPr>
          <w:rFonts w:ascii="Arial" w:hAnsi="Arial"/>
          <w:b w:val="0"/>
          <w:i w:val="0"/>
          <w:sz w:val="19"/>
        </w:rPr>
        <w:t xml:space="preserve">); Nachweis in `Validierung-Ergebnisse.md`, Block zum 9. September 2026. Konjunktivpflicht nach § 4.2 Claude.md bleibt bestehen, weil der Fraktionsbeschluss weder Gesetzentwurf noch Regierungsvorlage ist.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jc w:val="both"/>
      </w:pPr>
      <w:r>
        <w:rPr>
          <w:rFonts w:ascii="Arial" w:hAnsi="Arial"/>
          <w:b w:val="0"/>
          <w:i w:val="0"/>
          <w:sz w:val="19"/>
        </w:rPr>
        <w:t xml:space="preserve">Deutscher Bundestag / Bundesministerium für Digitales und Staatsmodernisierung (Wildberger, K.) / Bundesministerium für Wirtschaft und Energie. (8. September 2026). </w:t>
      </w:r>
      <w:r>
        <w:rPr>
          <w:rFonts w:ascii="Arial" w:hAnsi="Arial"/>
          <w:b w:val="0"/>
          <w:i/>
          <w:sz w:val="19"/>
        </w:rPr>
        <w:t>Digitaletat steigt auf 1,44 Milliarden Euro / Wirtschaftsetat bei 5,55 Milliarden Euro — Erste Beratung der Regierungsentwürfe zu Einzelplan 24 und Einzelplan 09 des Bundeshaushalts 2027 in der Haushaltswoche.</w:t>
      </w:r>
      <w:r>
        <w:rPr>
          <w:rFonts w:ascii="Arial" w:hAnsi="Arial"/>
          <w:b w:val="0"/>
          <w:i w:val="0"/>
          <w:sz w:val="19"/>
        </w:rPr>
        <w:t xml:space="preserve"> Beratungen des Deutschen Bundestages am 8. September 2026: Einzelplan 24 (BMDS) mit 1,44 Mrd. EUR für 2027 gegenüber 1,36 Mrd. EUR (2026), plus 84,6 Mio. EUR, darin „KI-Governance und digitale Basisdienste" 77,8 Mio. EUR (2026: 79,4 Mio. EUR), „Souveräne Dateninfrastruktur, Datenverfügbarkeit und Künstliche Intelligenz" 81,2 Mio. EUR (2026: 89 Mio. EUR), Zuschüsse für „innovative KI-Anwendungen" 35,2 Mio. EUR (2026: 26 Mio. EUR) und „IT-Betriebskonsolidierung Bund" 154,6 Mio. EUR (neu 2027, Bundescloud 2.0 / Deutschland-Stack); Einzelplan 09 (BMWE) mit 5,55 Mrd. EUR für 2027 gegenüber 5,90 Mrd. EUR (2026), minus 353,6 Mio. EUR, darin „Mikroelektronik für die Digitalisierung" 4,19 Mrd. EUR (2026: 2,48 Mrd. EUR), „Digitale Infrastruktur für verteilte Datenverarbeitung und Künstliche Intelligenz" 250 Mio. EUR (2026: 10 Mio. EUR) und Titelgruppe „Digitale Agenda" 140 Mio. EUR (2026: 399,04 Mio. EUR). Aufnahme in § 4.5 als ausgabenseitige Gegenrechnung zur einnahmenseitigen Debatte (SPD-Klausurbeschluss 4. September 2026, Kabinettsentwurf zur gewerbesteuerlichen Zerlegung 2. September 2026) und mit Rückwirkung auf § 6.1, § 8.2 und § 8.3. Regierungsentwürfe in erster Beratung — Konjunktivpflicht nach § 4.2 `Claude.md`. </w:t>
      </w:r>
      <w:r>
        <w:rPr>
          <w:rFonts w:ascii="Arial" w:hAnsi="Arial"/>
          <w:b/>
          <w:i w:val="0"/>
          <w:sz w:val="19"/>
        </w:rPr>
        <w:t>Ergänzt am 9. September 2026 um Einzelplan 11 (Bundesministerium für Arbeit und Soziales, Beratung nach Tagesordnung am 11. September 2026):</w:t>
      </w:r>
      <w:r>
        <w:rPr>
          <w:rFonts w:ascii="Arial" w:hAnsi="Arial"/>
          <w:b w:val="0"/>
          <w:i w:val="0"/>
          <w:sz w:val="19"/>
        </w:rPr>
        <w:t xml:space="preserve"> Gesamtausgaben 2027 rund 201,46 Mrd. EUR (2026: 197,34 Mrd. EUR; plus rund 4,12 Mrd. EUR), Anteil am Gesamthaushalt 36,27 % (2026: 37,62 %), Bundeszuschüsse an die gesetzliche Rentenversicherung 132,04 Mrd. EUR (2026: 127,42 Mrd. EUR), Grundsicherung für Arbeitsuchende 50,81 Mrd. EUR (2026: 51,02 Mrd. EUR), Leistungen zur Eingliederung in Arbeit 4,7 Mrd. EUR (Verpflichtungsermächtigungen 6,52 Mrd. EUR), Verwaltungsdigitalisierung der Arbeits- und Sozialverwaltung im Sondervermögen 134 Mio. EUR (2026: 58,36 Mio. EUR). Aufnahme in § 4.5 als fiskalische Gegenprobe zu den Größenordnungen der KI-Titel mit Rückwirkung auf § 1.1, § 5.1, § 5.2, § 8.4 und § 9.1. https://www.bundestag.de/dokumente/textarchiv/2026/kw37-de-digitales-1194742 und https://www.bundestag.de/dokumente/textarchiv/2026/kw37-de-wirtschaft-1194768 und https://www.bundestag.de/dokumente/textarchiv/2026/kw37-de-arbeit-1194736</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Nscale (Payne, J.) / Figure (Adcock, B.) / </w:t>
      </w:r>
      <w:r>
        <w:rPr>
          <w:rFonts w:ascii="Arial" w:hAnsi="Arial"/>
          <w:b w:val="0"/>
          <w:i/>
          <w:sz w:val="19"/>
        </w:rPr>
        <w:t>Unite.AI</w:t>
      </w:r>
      <w:r>
        <w:rPr>
          <w:rFonts w:ascii="Arial" w:hAnsi="Arial"/>
          <w:b w:val="0"/>
          <w:i w:val="0"/>
          <w:sz w:val="19"/>
        </w:rPr>
        <w:t xml:space="preserve"> / </w:t>
      </w:r>
      <w:r>
        <w:rPr>
          <w:rFonts w:ascii="Arial" w:hAnsi="Arial"/>
          <w:b w:val="0"/>
          <w:i/>
          <w:sz w:val="19"/>
        </w:rPr>
        <w:t>Silicon UK</w:t>
      </w:r>
      <w:r>
        <w:rPr>
          <w:rFonts w:ascii="Arial" w:hAnsi="Arial"/>
          <w:b w:val="0"/>
          <w:i w:val="0"/>
          <w:sz w:val="19"/>
        </w:rPr>
        <w:t xml:space="preserve"> / </w:t>
      </w:r>
      <w:r>
        <w:rPr>
          <w:rFonts w:ascii="Arial" w:hAnsi="Arial"/>
          <w:b w:val="0"/>
          <w:i/>
          <w:sz w:val="19"/>
        </w:rPr>
        <w:t>eWeek</w:t>
      </w:r>
      <w:r>
        <w:rPr>
          <w:rFonts w:ascii="Arial" w:hAnsi="Arial"/>
          <w:b w:val="0"/>
          <w:i w:val="0"/>
          <w:sz w:val="19"/>
        </w:rPr>
        <w:t xml:space="preserve"> / </w:t>
      </w:r>
      <w:r>
        <w:rPr>
          <w:rFonts w:ascii="Arial" w:hAnsi="Arial"/>
          <w:b w:val="0"/>
          <w:i/>
          <w:sz w:val="19"/>
        </w:rPr>
        <w:t>The AI Insider</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Compare the Cloud</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(3./4. September 2026). </w:t>
      </w:r>
      <w:r>
        <w:rPr>
          <w:rFonts w:ascii="Arial" w:hAnsi="Arial"/>
          <w:b w:val="0"/>
          <w:i/>
          <w:sz w:val="19"/>
        </w:rPr>
        <w:t>Nscale and Figure Sign Strategic Partnership to Power the Next Generation of Humanoid Robotics / Nscale, Figure Ink $3.5B Deal for Up to 100,000 Vera Rubin GPUs.</w:t>
      </w:r>
      <w:r>
        <w:rPr>
          <w:rFonts w:ascii="Arial" w:hAnsi="Arial"/>
          <w:b w:val="0"/>
          <w:i w:val="0"/>
          <w:sz w:val="19"/>
        </w:rPr>
        <w:t xml:space="preserve"> Am 3. September 2026 bekanntgegebene strategische Partnerschaft zwischen dem Infrastrukturanbieter </w:t>
      </w:r>
      <w:r>
        <w:rPr>
          <w:rFonts w:ascii="Arial" w:hAnsi="Arial"/>
          <w:b w:val="0"/>
          <w:i/>
          <w:sz w:val="19"/>
        </w:rPr>
        <w:t>Nscale</w:t>
      </w:r>
      <w:r>
        <w:rPr>
          <w:rFonts w:ascii="Arial" w:hAnsi="Arial"/>
          <w:b w:val="0"/>
          <w:i w:val="0"/>
          <w:sz w:val="19"/>
        </w:rPr>
        <w:t xml:space="preserve"> und dem Humanoid-Hersteller </w:t>
      </w:r>
      <w:r>
        <w:rPr>
          <w:rFonts w:ascii="Arial" w:hAnsi="Arial"/>
          <w:b w:val="0"/>
          <w:i/>
          <w:sz w:val="19"/>
        </w:rPr>
        <w:t>Figure</w:t>
      </w:r>
      <w:r>
        <w:rPr>
          <w:rFonts w:ascii="Arial" w:hAnsi="Arial"/>
          <w:b w:val="0"/>
          <w:i w:val="0"/>
          <w:sz w:val="19"/>
        </w:rPr>
        <w:t xml:space="preserve"> über eine anfängliche Compute-Zusage von 3,5 Mrd. USD mit erklärter Ausweitungsabsicht auf über 6 Mrd. USD, Einsatz von bis zu 100.000 GPUs der NVIDIA-</w:t>
      </w:r>
      <w:r>
        <w:rPr>
          <w:rFonts w:ascii="Arial" w:hAnsi="Arial"/>
          <w:b w:val="0"/>
          <w:i/>
          <w:sz w:val="19"/>
        </w:rPr>
        <w:t>Vera-Rubin</w:t>
      </w:r>
      <w:r>
        <w:rPr>
          <w:rFonts w:ascii="Arial" w:hAnsi="Arial"/>
          <w:b w:val="0"/>
          <w:i w:val="0"/>
          <w:sz w:val="19"/>
        </w:rPr>
        <w:t xml:space="preserve">-Plattform, Aufbaubeginn zweites Halbjahr 2027 in Barstow (Texas), Eigenkapitalbeteiligung von </w:t>
      </w:r>
      <w:r>
        <w:rPr>
          <w:rFonts w:ascii="Arial" w:hAnsi="Arial"/>
          <w:b w:val="0"/>
          <w:i/>
          <w:sz w:val="19"/>
        </w:rPr>
        <w:t>Nscale</w:t>
      </w:r>
      <w:r>
        <w:rPr>
          <w:rFonts w:ascii="Arial" w:hAnsi="Arial"/>
          <w:b w:val="0"/>
          <w:i w:val="0"/>
          <w:sz w:val="19"/>
        </w:rPr>
        <w:t xml:space="preserve"> an </w:t>
      </w:r>
      <w:r>
        <w:rPr>
          <w:rFonts w:ascii="Arial" w:hAnsi="Arial"/>
          <w:b w:val="0"/>
          <w:i/>
          <w:sz w:val="19"/>
        </w:rPr>
        <w:t>Figure</w:t>
      </w:r>
      <w:r>
        <w:rPr>
          <w:rFonts w:ascii="Arial" w:hAnsi="Arial"/>
          <w:b w:val="0"/>
          <w:i w:val="0"/>
          <w:sz w:val="19"/>
        </w:rPr>
        <w:t xml:space="preserve"> und Benennung von </w:t>
      </w:r>
      <w:r>
        <w:rPr>
          <w:rFonts w:ascii="Arial" w:hAnsi="Arial"/>
          <w:b w:val="0"/>
          <w:i/>
          <w:sz w:val="19"/>
        </w:rPr>
        <w:t>Nscale</w:t>
      </w:r>
      <w:r>
        <w:rPr>
          <w:rFonts w:ascii="Arial" w:hAnsi="Arial"/>
          <w:b w:val="0"/>
          <w:i w:val="0"/>
          <w:sz w:val="19"/>
        </w:rPr>
        <w:t xml:space="preserve"> als bevorzugtem Compute-Anbieter; Trainings- und Inferenzgrundlage ist das Figure-Basismodell </w:t>
      </w:r>
      <w:r>
        <w:rPr>
          <w:rFonts w:ascii="Arial" w:hAnsi="Arial"/>
          <w:b w:val="0"/>
          <w:i/>
          <w:sz w:val="19"/>
        </w:rPr>
        <w:t>Helix</w:t>
      </w:r>
      <w:r>
        <w:rPr>
          <w:rFonts w:ascii="Arial" w:hAnsi="Arial"/>
          <w:b w:val="0"/>
          <w:i w:val="0"/>
          <w:sz w:val="19"/>
        </w:rPr>
        <w:t>; Adcock-Zitat „We're constrained by data and compute". Aufnahme in § 8.1 als kompakter Belegpunkt dafür, dass die physische Automatisierung von den Beteiligten selbst als compute- und datenlimitierte Anwendung eines Basismodells und nicht als klassisches Kapitalgut beschrieben wird, mit Rückwirkung auf § 2.2, § 5.1, § 8.2 und § 9.1. https://www.nscale.com/press-releases/nscale-and-figure und https://www.unite.ai/nscale-figure-ink-3-5b-deal-for-up-to-100000-vera-rubin-gpus/</w:t>
      </w:r>
    </w:p>
    <w:p>
      <w:pPr>
        <w:jc w:val="both"/>
      </w:pPr>
      <w:r>
        <w:rPr>
          <w:rFonts w:ascii="Arial" w:hAnsi="Arial"/>
          <w:b w:val="0"/>
          <w:i w:val="0"/>
          <w:sz w:val="19"/>
        </w:rPr>
        <w:t xml:space="preserve">NVIDIA Corporation (Huang, J.) / Hugging Face (Delangue, C.) / U.S. Securities and Exchange Commission (Form 8-K, `nvda-20260902`) / </w:t>
      </w:r>
      <w:r>
        <w:rPr>
          <w:rFonts w:ascii="Arial" w:hAnsi="Arial"/>
          <w:b w:val="0"/>
          <w:i/>
          <w:sz w:val="19"/>
        </w:rPr>
        <w:t>TechCrunch</w:t>
      </w:r>
      <w:r>
        <w:rPr>
          <w:rFonts w:ascii="Arial" w:hAnsi="Arial"/>
          <w:b w:val="0"/>
          <w:i w:val="0"/>
          <w:sz w:val="19"/>
        </w:rPr>
        <w:t xml:space="preserve"> / </w:t>
      </w:r>
      <w:r>
        <w:rPr>
          <w:rFonts w:ascii="Arial" w:hAnsi="Arial"/>
          <w:b w:val="0"/>
          <w:i/>
          <w:sz w:val="19"/>
        </w:rPr>
        <w:t>CNBC</w:t>
      </w:r>
      <w:r>
        <w:rPr>
          <w:rFonts w:ascii="Arial" w:hAnsi="Arial"/>
          <w:b w:val="0"/>
          <w:i w:val="0"/>
          <w:sz w:val="19"/>
        </w:rPr>
        <w:t xml:space="preserve"> / </w:t>
      </w:r>
      <w:r>
        <w:rPr>
          <w:rFonts w:ascii="Arial" w:hAnsi="Arial"/>
          <w:b w:val="0"/>
          <w:i/>
          <w:sz w:val="19"/>
        </w:rPr>
        <w:t>Euronews</w:t>
      </w:r>
      <w:r>
        <w:rPr>
          <w:rFonts w:ascii="Arial" w:hAnsi="Arial"/>
          <w:b w:val="0"/>
          <w:i w:val="0"/>
          <w:sz w:val="19"/>
        </w:rPr>
        <w:t xml:space="preserve"> / </w:t>
      </w:r>
      <w:r>
        <w:rPr>
          <w:rFonts w:ascii="Arial" w:hAnsi="Arial"/>
          <w:b w:val="0"/>
          <w:i/>
          <w:sz w:val="19"/>
        </w:rPr>
        <w:t>Tom's Hardware</w:t>
      </w:r>
      <w:r>
        <w:rPr>
          <w:rFonts w:ascii="Arial" w:hAnsi="Arial"/>
          <w:b w:val="0"/>
          <w:i w:val="0"/>
          <w:sz w:val="19"/>
        </w:rPr>
        <w:t xml:space="preserve"> / </w:t>
      </w:r>
      <w:r>
        <w:rPr>
          <w:rFonts w:ascii="Arial" w:hAnsi="Arial"/>
          <w:b w:val="0"/>
          <w:i/>
          <w:sz w:val="19"/>
        </w:rPr>
        <w:t>Variety</w:t>
      </w:r>
      <w:r>
        <w:rPr>
          <w:rFonts w:ascii="Arial" w:hAnsi="Arial"/>
          <w:b w:val="0"/>
          <w:i w:val="0"/>
          <w:sz w:val="19"/>
        </w:rPr>
        <w:t xml:space="preserve"> / </w:t>
      </w:r>
      <w:r>
        <w:rPr>
          <w:rFonts w:ascii="Arial" w:hAnsi="Arial"/>
          <w:b w:val="0"/>
          <w:i/>
          <w:sz w:val="19"/>
        </w:rPr>
        <w:t>Bio-IT World</w:t>
      </w:r>
      <w:r>
        <w:rPr>
          <w:rFonts w:ascii="Arial" w:hAnsi="Arial"/>
          <w:b w:val="0"/>
          <w:i w:val="0"/>
          <w:sz w:val="19"/>
        </w:rPr>
        <w:t xml:space="preserve"> / </w:t>
      </w:r>
      <w:r>
        <w:rPr>
          <w:rFonts w:ascii="Arial" w:hAnsi="Arial"/>
          <w:b w:val="0"/>
          <w:i/>
          <w:sz w:val="19"/>
        </w:rPr>
        <w:t>The New Stack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Wccftech</w:t>
      </w:r>
      <w:r>
        <w:rPr>
          <w:rFonts w:ascii="Arial" w:hAnsi="Arial"/>
          <w:b w:val="0"/>
          <w:i w:val="0"/>
          <w:sz w:val="19"/>
        </w:rPr>
        <w:t xml:space="preserve"> / </w:t>
      </w:r>
      <w:r>
        <w:rPr>
          <w:rFonts w:ascii="Arial" w:hAnsi="Arial"/>
          <w:b w:val="0"/>
          <w:i/>
          <w:sz w:val="19"/>
        </w:rPr>
        <w:t>MLex</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(2.–7. September 2026). </w:t>
      </w:r>
      <w:r>
        <w:rPr>
          <w:rFonts w:ascii="Arial" w:hAnsi="Arial"/>
          <w:b w:val="0"/>
          <w:i/>
          <w:sz w:val="19"/>
        </w:rPr>
        <w:t>Nvidia confirms it will buy Hugging Face for $12.9 billion / NVIDIA's $12.93B Hugging Face Acquisition Becomes Definitive / Could NVIDIA's purchase of Hugging Face boost the EU's AI sovereignty? / Nvidia's $12.9B Hugging Face deal has an open-source problem.</w:t>
      </w:r>
      <w:r>
        <w:rPr>
          <w:rFonts w:ascii="Arial" w:hAnsi="Arial"/>
          <w:b w:val="0"/>
          <w:i w:val="0"/>
          <w:sz w:val="19"/>
        </w:rPr>
        <w:t xml:space="preserve"> Am 2. September 2026 geschlossene und am 3. September 2026 bekanntgegebene Vereinbarung über den Erwerb von </w:t>
      </w:r>
      <w:r>
        <w:rPr>
          <w:rFonts w:ascii="Arial" w:hAnsi="Arial"/>
          <w:b w:val="0"/>
          <w:i/>
          <w:sz w:val="19"/>
        </w:rPr>
        <w:t>Hugging Face</w:t>
      </w:r>
      <w:r>
        <w:rPr>
          <w:rFonts w:ascii="Arial" w:hAnsi="Arial"/>
          <w:b w:val="0"/>
          <w:i w:val="0"/>
          <w:sz w:val="19"/>
        </w:rPr>
        <w:t xml:space="preserve"> durch </w:t>
      </w:r>
      <w:r>
        <w:rPr>
          <w:rFonts w:ascii="Arial" w:hAnsi="Arial"/>
          <w:b w:val="0"/>
          <w:i/>
          <w:sz w:val="19"/>
        </w:rPr>
        <w:t>NVIDIA</w:t>
      </w:r>
      <w:r>
        <w:rPr>
          <w:rFonts w:ascii="Arial" w:hAnsi="Arial"/>
          <w:b w:val="0"/>
          <w:i w:val="0"/>
          <w:sz w:val="19"/>
        </w:rPr>
        <w:t xml:space="preserve"> zu einer Gesamtgegenleistung von rund 12,9 Mrd. USD (rund 11,9 Mrd. USD an die Anteilseigner, rund 1,0 Mrd. USD Eigenkapital-Retentionsprogramm), Vollzug im ersten Halbjahr 2027 erwartet, vorbehaltlich regulatorischer Freigaben; Plattformkennzahlen über 18 Mio. Entwickler, über 3 Mio. Modelle, 500.000 Datensätze, 1 Mio. Anwendungen, über 200.000 Unternehmen, annualisierter Umsatz rund 150 Mio. USD (Kaufpreis rund 86-facher Jahresumsatz), abgelehnte Vorjahresofferte über 500 Mio. USD; Offenheitszusage im 8-K (weiterer Upload/Download beliebiger Modelle und Datensätze, weitere Unterstützung anderer Silizium-Anbieter), Huang-Zitat „an open platform for the entire AI ecosystem", Delangue-Zitat „more compute, more support, more collaboration, and more visibility"; kritische Gegenlesart zur vertikalen Integration von Compute- und Distributionsebene, zur möglichen Depriorisierung konkurrierender Backends (AMD ROCm) und zum Präzedenzfall des 2022 gescheiterten Arm-Erwerbs (40 Mrd. USD), förmliche Fusionskontrolle über Hart-Scott-Rodino-Anmeldung und EU-Fusionskontrolle, NVIDIA-Gegenargument „Dekonzentrationsplattform"; europäische Dimension (französischer Ursprung, rund die Hälfte der Beschäftigten in Paris, Souveränitätsdebatte in Paris und Brüssel, Euronews 7. September 2026). Aufnahme in § 8.2 als sechste Fortschreibung der Konzentrationsbeobachtung mit Rückwirkung auf § 5.1, § 8.3, § 8.5, § 9.2 und § 10.2. https://www.sec.gov/Archives/edgar/data/0001045810/000104581026000078/nvda-20260902.htm , https://techcrunch.com/2026/09/03/nvidia-confirms-it-will-buy-hugging-face-for-12-9-billion/ , https://www.euronews.com/next/2026/09/07/could-nvidias-purchase-of-hugging-face-boost-the-eus-ai-sovereignty und https://thenewstack.io/nvidia-hugging-face-acquisition-neutrality/</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i w:val="0"/>
          <w:sz w:val="19"/>
        </w:rPr>
        <w:t>Hinweis zur Aktualität:</w:t>
      </w:r>
      <w:r>
        <w:rPr>
          <w:rFonts w:ascii="Arial" w:hAnsi="Arial"/>
          <w:b w:val="0"/>
          <w:i w:val="0"/>
          <w:sz w:val="19"/>
        </w:rPr>
        <w:t xml:space="preserve"> Dieses Arbeitspapier gibt den Stand Anfang September 2026 (Schnitt am 9. September 2026 — Lauf 001 vom 9. September 2026, Version 89.0)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89.0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