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32.0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Am 6. Juli 2026 hat Microsoft die eigentliche Layoff-Runde konkret angekündigt: rund 4.800 unmittelbare Streichungen (2,1 % der weltweiten Belegschaft von rund 220.000), darunter etwa 1.600 in der Xbox-Sparte und rund 600 im US-Bundesstaat Washington; nach Konzernangaben summieren sich die Xbox-Reduktionen im laufenden Fiskaljahr auf rund 3.200 Stellen (etwa 20 % der globalen Xbox-Belegschaft), und vier Gaming-Studios werden aus dem Microsoft-Verbund ausgegliedert (CNBC, GeekWire, NBC News, Thurrott). Die Konzernkommunikation ordnet den Schritt in einen breiteren strukturellen Umbau ein („AI is changing how work gets done"), betont aber, die betroffenen Rollen würden „not being replaced by AI" — eine Formulierung, die die in § 9.1 diskutierte Kausalattributionsproblematik der Typ-5-Ersatzabgabe erneut illustriert. Zugleich bestätigt Microsoft die tatsächliche Annahmequote des VRSAR-Programms mit rund 30 % der etwa 8.750 angebotsberechtigten US-Beschäftigten und damit die zuvor als „rund ein Drittel" referierte Vorwegnahme.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und dokumentiert zum 9. Juli 2026 erstmals eine explizite Aggregat-Kausalzuschreibung: 150 der 267 Layoff-Ereignisse (56 %) mit rund 156.270 betroffenen Beschäftigten (etwa 84 % der Tracker-Gesamtsumme) werden vom Tracker als KI- oder Automatisierungs­getrieben klassifiziert — die erstmals im Verlauf der Trackerbeobachtung veröffentlichte KI-Kausalquote reduziert das in § 9.1 dokumentierte Attributions­problem auf der Aggregat-Ebene teilweise, bleibt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 Der am 7. Juli 2026 durch OECD-Generalsekretär Mathias Cormann und Acting Director Mark Pearson vorgelegte </w:t>
      </w:r>
      <w:r>
        <w:rPr>
          <w:rFonts w:ascii="Arial" w:hAnsi="Arial"/>
          <w:b w:val="0"/>
          <w:i/>
          <w:sz w:val="19"/>
        </w:rPr>
        <w:t>Employment Outlook 2026 — Geographic Disparities in Jobs and Incomes</w:t>
      </w:r>
      <w:r>
        <w:rPr>
          <w:rFonts w:ascii="Arial" w:hAnsi="Arial"/>
          <w:b w:val="0"/>
          <w:i w:val="0"/>
          <w:sz w:val="19"/>
        </w:rPr>
        <w:t xml:space="preserve"> fügt der Debatte eine regionalökonomische Perspektive hinzu: Nach OECD-Ausweis dokumentiert der 392-seitige Bericht große und beharrliche Beschäftigungs-, Arbeitslosigkeits- und Einkommensunterschiede innerhalb einzelner Mitgliedsländer und führt aus, dass lokale Arbeitsmärkte durch Handels- und Technologieschocks — einschließlich Künstlicher Intelligenz — asymmetrisch umgebaut würden, wobei manche Regionen Industrie-Arbeitsplätze verlören, während andere im nicht-routinisierten Dienstleistungssegment aufbauten; die Anpassung erfolge dabei überwiegend nicht über sektorale Wechsel bestehender Beschäftigter, sondern über den Weg in vorübergehende Arbeitslosigkeit und über neue Einstiegskohorten, sodass verdrängte Beschäftigte dauerhafte Einkommensnachteile („lasting scars") tragen könnten. Für den Sozialstaat sei nach den Kernbotschaften des Berichts eine ortsbezogene, integrierte Politik erforderlich, die Regionalpolitik, Industriepolitik und aktive Arbeitsmarktpolitik verknüpft. Cormann verweist ergänzend darauf, dass die OECD-weite erwerbsfähige Bevölkerung bis 2060 um rund 8 % schrumpfe und Qualifikationspolitik dringend erforderlich sei, damit Beschäftigte von KI-Werkzeugen profitieren könnten. Der Bericht behandelt darüber hinaus die Ausbreitung nicht-Konkurrenz-Klauseln (Non-Compete Clauses) — nach OECD-Beobachtung inzwischen bis zu ein Viertel der Beschäftigten in einigen Mitgliedsländern und zunehmend auch in niedrig vergüteten Tätigkeiten — und ordnet sie als hemmend für Arbeitsmobilität, Innovation, Löhne und Produktivität ein. Die am selben Tag (7. Juli 2026) publizierte OECD-Länderdatei zu Non-Compete-Klauseln quantifiziert diese Ausbreitung präziser: In 15 OECD-Ländern seien im Mittel rund 30 % der Beschäftigten durch entsprechende Klauseln oder verwandte Nach-Vertragsbindungen (Kundenschutzabreden, Non-Solicitation-Vereinbarungen) gebunden, was die Verhandlungsposition der Beschäftigten schwäche und Lohnwachstum bremse. Ergänzend liegt der 6-seitige OECD-Länderbericht </w:t>
      </w:r>
      <w:r>
        <w:rPr>
          <w:rFonts w:ascii="Arial" w:hAnsi="Arial"/>
          <w:b w:val="0"/>
          <w:i/>
          <w:sz w:val="19"/>
        </w:rPr>
        <w:t>Employment Outlook 2026 — Deutschland</w:t>
      </w:r>
      <w:r>
        <w:rPr>
          <w:rFonts w:ascii="Arial" w:hAnsi="Arial"/>
          <w:b w:val="0"/>
          <w:i w:val="0"/>
          <w:sz w:val="19"/>
        </w:rPr>
        <w:t xml:space="preserve"> (7. Juli 2026) vor, der die aggregierte OECD-Diagnose auf die deutsche Arbeitsmarktstruktur bezieht (regional asymmetrische Anpassungslasten bei ausgeprägter Süd-Nord-Beschäftigungsspreizung; demografische Kontraktion des Erwerbspersonenpotenzials — vgl. IAB-Frühjahrsprognose in § 1.1 — als zusätzlicher struktureller Faktor). Für die hier geführte Steuerdebatte ist der Bericht in dreifacher Hinsicht relevant: Erstens untermauert er die szenariorobuste Auslegung des steuerpolitischen Instrumentariums, weil regionalspezifische Verwerfungen bei aggregiert moderater Arbeitsmarktdynamik empirisch dokumentiert sind (§ 8.4). Zweitens verweist er auf die Grenzen einer rein arbeitsmarktbezogenen Steuerung, wenn Anpassung faktisch über Ausscheiden und Neueintritt statt über innerbetriebliche Umschichtung stattfindet — ein Muster, das die Kausalattribution einer zielgerichteten Ersatzabgabe (Typ 5 nach § 2.1, § 9.1) weiter erschwert. Drittens verstärkt die dokumentierte Verbreitung von Non-Compete-Klauseln — insbesondere im niedrig vergüteten Segment — das ordnungspolitische Argument für eine Verbreiterung der Sozialstaats-Finanzierungsbasis (§ 5.1), weil die klassische Lohn-Bemessungsgrundlage in einer Ökonomie, in der Beschäftigte Nachvertragsbindungen unterliegen und Anpassung überwiegend über Neueinstellungen erfolgt, tendenziell schmaler wird.</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In seiner 1067. Sitzung am 10. Juli 2026 hat der Bundesrat das KI-MIG passieren lassen; der Antrag, den </w:t>
      </w:r>
      <w:r>
        <w:rPr>
          <w:rFonts w:ascii="Arial" w:hAnsi="Arial"/>
          <w:b w:val="0"/>
          <w:i/>
          <w:sz w:val="19"/>
        </w:rPr>
        <w:t>Vermittlungsausschuss</w:t>
      </w:r>
      <w:r>
        <w:rPr>
          <w:rFonts w:ascii="Arial" w:hAnsi="Arial"/>
          <w:b w:val="0"/>
          <w:i w:val="0"/>
          <w:sz w:val="19"/>
        </w:rPr>
        <w:t xml:space="preserve"> anzurufen, den der </w:t>
      </w:r>
      <w:r>
        <w:rPr>
          <w:rFonts w:ascii="Arial" w:hAnsi="Arial"/>
          <w:b w:val="0"/>
          <w:i/>
          <w:sz w:val="19"/>
        </w:rPr>
        <w:t>Ausschuss für Digitalisierung und Staatsmodernisierung</w:t>
      </w:r>
      <w:r>
        <w:rPr>
          <w:rFonts w:ascii="Arial" w:hAnsi="Arial"/>
          <w:b w:val="0"/>
          <w:i w:val="0"/>
          <w:sz w:val="19"/>
        </w:rPr>
        <w:t xml:space="preserve"> am 30. Juni 2026 empfohlen hatte („grundlegende Überarbeitung" zur Beseitigung einer aus Ausschusssicht drohenden </w:t>
      </w:r>
      <w:r>
        <w:rPr>
          <w:rFonts w:ascii="Arial" w:hAnsi="Arial"/>
          <w:b w:val="0"/>
          <w:i/>
          <w:sz w:val="19"/>
        </w:rPr>
        <w:t>Zersplitterung der Marktüberwachung</w:t>
      </w:r>
      <w:r>
        <w:rPr>
          <w:rFonts w:ascii="Arial" w:hAnsi="Arial"/>
          <w:b w:val="0"/>
          <w:i w:val="0"/>
          <w:sz w:val="19"/>
        </w:rPr>
        <w:t xml:space="preserve"> zwischen Bundesnetzagentur und Ländern), fand im Plenum keine Mehrheit. Das Gesetz kann damit ohne weiteres parlamentarisches Verfahren in Kraft treten. Nach der beschlossenen Fassung übernimmt die Bundesnetzagentur die Rolle einer zentralen Marktüberwachungs- und Anlaufstelle mit Koordinierungs- und Kompetenzzentrum, gebündelter KI-Expertise gegenüber anderen Behörden, zentraler Beschwerdestelle für Bürgerinnen und Bürger und dem Auftrag, mindestens ein KI-</w:t>
      </w:r>
      <w:r>
        <w:rPr>
          <w:rFonts w:ascii="Arial" w:hAnsi="Arial"/>
          <w:b w:val="0"/>
          <w:i/>
          <w:sz w:val="19"/>
        </w:rPr>
        <w:t>Reallabor</w:t>
      </w:r>
      <w:r>
        <w:rPr>
          <w:rFonts w:ascii="Arial" w:hAnsi="Arial"/>
          <w:b w:val="0"/>
          <w:i w:val="0"/>
          <w:sz w:val="19"/>
        </w:rPr>
        <w:t xml:space="preserve"> für die beaufsichtigte Erprobung neuer Anwendungen (insbesondere für kleine und mittlere Unternehmen) einzurichten; ausdrücklich ausgenommen von ihrer Marktüberwachungsbefugnis bleibt der KI-Einsatz in öffentlichen Institutionen der Länder und Kommunen.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die im Ausschussvotum kritisierte Zersplitterung zwischen Bundes- und Länderebene bleibt damit ein für spätere steuerliche Anknüpfungen offener Reibungspunkt.</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OpenAI-Gegenvorschlag — freiwillige 5-%-Equity-Dotierung an einen US-Souveränen KI-Fonds (Anfang Juli 2026):</w:t>
      </w:r>
      <w:r>
        <w:rPr>
          <w:rFonts w:ascii="Arial" w:hAnsi="Arial"/>
          <w:b w:val="0"/>
          <w:i w:val="0"/>
          <w:sz w:val="19"/>
        </w:rPr>
        <w:t xml:space="preserve"> Als direkte Reaktion auf den Sanders-Entwurf hat OpenAI-CEO Sam Altman Anfang Juli 2026 einen eigenen Vorschlag in die Debatte gebracht: OpenAI würde freiwillig 5 % der eigenen Unternehmensanteile an einen zu errichtenden US-Souveränen KI-Beteiligungsfonds abtreten und andere führende US-Anbieter (Anthropic, Alphabet/Google, Meta, xAI) einladen, jeweils spiegelbildliche 5-%-Anteile beizusteuern. Bezogen auf die im März 2026 in der letzten OpenAI-Finanzierungsrunde ermittelte Bewertung von rund 852 Milliarden US-Dollar entspräche der eigene Beitrag rechnerisch etwa 42,6 Milliarden US-Dollar; das Fondsdesign folgt nach OpenAI-Angaben dem </w:t>
      </w:r>
      <w:r>
        <w:rPr>
          <w:rFonts w:ascii="Arial" w:hAnsi="Arial"/>
          <w:b w:val="0"/>
          <w:i/>
          <w:sz w:val="19"/>
        </w:rPr>
        <w:t>Alaska Permanent Fund</w:t>
      </w:r>
      <w:r>
        <w:rPr>
          <w:rFonts w:ascii="Arial" w:hAnsi="Arial"/>
          <w:b w:val="0"/>
          <w:i w:val="0"/>
          <w:sz w:val="19"/>
        </w:rPr>
        <w:t xml:space="preserve"> — einem Modell, in dem Rohstoffrenten (dort: Öleinnahmen) zu jährlichen Dividenden an alle Einwohnerinnen und Einwohner ausgeschüttet werden. Berichterstattet wurde der Vorschlag zunächst von der </w:t>
      </w:r>
      <w:r>
        <w:rPr>
          <w:rFonts w:ascii="Arial" w:hAnsi="Arial"/>
          <w:b w:val="0"/>
          <w:i/>
          <w:sz w:val="19"/>
        </w:rPr>
        <w:t>Financial Times</w:t>
      </w:r>
      <w:r>
        <w:rPr>
          <w:rFonts w:ascii="Arial" w:hAnsi="Arial"/>
          <w:b w:val="0"/>
          <w:i w:val="0"/>
          <w:sz w:val="19"/>
        </w:rPr>
        <w:t xml:space="preserve"> am 2. Juli 2026 unter Berufung auf zwei mit der Sache vertraute Personen und tags darauf von CNBC, Fortune, Forbes, TechCrunch und Reuters; nach diesen Berichten habe Altman den Entwurf informell gegenüber Präsident Trump, Handelsminister Howard Lutnick und Finanzminister Scott Bessent skizziert. Konzeptionell ist der OpenAI-Vorschlag ein spiegelbildliches Pendant zum Sanders-Entwurf: Beide adressieren die Eigentumsseite der KI-Wertschöpfung über einen US-Souveränen Fonds und dokumentieren damit einen ordnungspolitischen Konsens, dass die KI-Renten institutionell breiter verteilt werden sollen; die Differenz liegt in Dotierung (5 % freiwillig gegenüber 50 % gesetzlich verpflichtend), Trägerlogik (Selbstverpflichtung mit Erwartung an </w:t>
      </w:r>
      <w:r>
        <w:rPr>
          <w:rFonts w:ascii="Arial" w:hAnsi="Arial"/>
          <w:b w:val="0"/>
          <w:i/>
          <w:sz w:val="19"/>
        </w:rPr>
        <w:t>Matching Contributions</w:t>
      </w:r>
      <w:r>
        <w:rPr>
          <w:rFonts w:ascii="Arial" w:hAnsi="Arial"/>
          <w:b w:val="0"/>
          <w:i w:val="0"/>
          <w:sz w:val="19"/>
        </w:rPr>
        <w:t xml:space="preserve"> der Wettbewerber gegenüber einer schwellenbasierten </w:t>
      </w:r>
      <w:r>
        <w:rPr>
          <w:rFonts w:ascii="Arial" w:hAnsi="Arial"/>
          <w:b w:val="0"/>
          <w:i/>
          <w:sz w:val="19"/>
        </w:rPr>
        <w:t>Excise-Abgabe</w:t>
      </w:r>
      <w:r>
        <w:rPr>
          <w:rFonts w:ascii="Arial" w:hAnsi="Arial"/>
          <w:b w:val="0"/>
          <w:i w:val="0"/>
          <w:sz w:val="19"/>
        </w:rPr>
        <w:t xml:space="preserve">), Anwendungsbereich (fünf führende US-Anbieter statt aller Unternehmen mit ≥ 200 Millionen US-Dollar KI-Umsatz) und institutioneller Kontrolle (offen im OpenAI-Entwurf gegenüber der bei Sanders vorgesehenen </w:t>
      </w:r>
      <w:r>
        <w:rPr>
          <w:rFonts w:ascii="Arial" w:hAnsi="Arial"/>
          <w:b w:val="0"/>
          <w:i/>
          <w:sz w:val="19"/>
        </w:rPr>
        <w:t>Independent Commission for Democratic AI</w:t>
      </w:r>
      <w:r>
        <w:rPr>
          <w:rFonts w:ascii="Arial" w:hAnsi="Arial"/>
          <w:b w:val="0"/>
          <w:i w:val="0"/>
          <w:sz w:val="19"/>
        </w:rPr>
        <w:t>). Für die in § 4.5 dokumentierte Auseinandersetzung um die Verteilung KI-basierter Erträge markiert der Vorschlag den Übergang von einer rein exekutiv-lobbyistischen zu einer offen policy-formativen Rolle der Frontier-Anbieter; er fügt sich zugleich in die im OpenAI-Strategiepapier vom April 2026 formulierte Empfehlung eines öffentlichen Wohlstandsfonds nach norwegischem Vorbild ein und konkretisiert diese um eine erstmalige numerische Selbstverpflichtung. Für die Deutschland-These in Kapitel 8 ist der Vorstoß ein weiterer Referenzpunkt: Er zeigt, dass eine bestandsorientierte Fondslogik (§ 8.3) mit einer freiwilligen Eingangsdotierung in Höhe der von OpenAI angebotenen Größenordnung — ohne Zwangsabgabe — bereits in der US-Debatte diskutierbar ist. Ob und in welcher Form der Vorschlag politische Beschlussfähigkeit erreicht, ist offen; eine formelle Umsetzung setzte nach übereinstimmender Einschätzung der Berichterstattung eine Zustimmung des Kongresses voraus, die auch für einen freiwilligen SWF-Beitritt notwendig wäre.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Frontier-Modell-Exportkontrollen — Fable-5-Episode (Juni/Juli 2026):</w:t>
      </w:r>
      <w:r>
        <w:rPr>
          <w:rFonts w:ascii="Arial" w:hAnsi="Arial"/>
          <w:b w:val="0"/>
          <w:i w:val="0"/>
          <w:sz w:val="19"/>
        </w:rPr>
        <w:t xml:space="preserve"> Eine erste operative Anwendung des im Juni 2026 durch Executive Order etablierten US-Vor-Freigabe-Regimes betrifft Anthropic. Am 12. Juni 2026 hat die US-Regierung Ausfuhrkontrollen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verhängt, nachdem Amazon-Sicherheitsforschende ein Umgehungsverfahren dokumentiert hatten, mit dem sich Fable 5 zur Identifikation und in einem Einzelfall zur exemplarischen Ausnutzung einer Software-Schwachstelle bewegen ließ. Weil die Kontrollen ausländischen Staatsangehörigen den Zugriff untersagten und eine Nationalitätsprüfung in Echtzeit nicht praktikabel war, hat Anthropic beide Modelle zunächst weltweit ausgesetzt. Nach Aufhebung der Kontrollen am 30. Juni 2026 wurde </w:t>
      </w:r>
      <w:r>
        <w:rPr>
          <w:rFonts w:ascii="Arial" w:hAnsi="Arial"/>
          <w:b w:val="0"/>
          <w:i/>
          <w:sz w:val="19"/>
        </w:rPr>
        <w:t>Fable 5</w:t>
      </w:r>
      <w:r>
        <w:rPr>
          <w:rFonts w:ascii="Arial" w:hAnsi="Arial"/>
          <w:b w:val="0"/>
          <w:i w:val="0"/>
          <w:sz w:val="19"/>
        </w:rPr>
        <w:t xml:space="preserve"> zum 1. Juli 2026 weltweit erneut ausgerollt — nunmehr mit gemeinsam mit dem US Center for AI Safety Institute (CAISI) trainierten Klassifikatoren, die nach Anbieterangaben die dokumentierte Umgehungsroutine in über 99 % der Fälle blockieren, dabei aber eine erhöhte Fehlalarmquote bei regulären Debugging- und Programmierarbeiten aufweisen; auf den kostenpflichtigen Tarifen (</w:t>
      </w:r>
      <w:r>
        <w:rPr>
          <w:rFonts w:ascii="Arial" w:hAnsi="Arial"/>
          <w:b w:val="0"/>
          <w:i/>
          <w:sz w:val="19"/>
        </w:rPr>
        <w:t>Pro</w:t>
      </w:r>
      <w:r>
        <w:rPr>
          <w:rFonts w:ascii="Arial" w:hAnsi="Arial"/>
          <w:b w:val="0"/>
          <w:i w:val="0"/>
          <w:sz w:val="19"/>
        </w:rPr>
        <w:t xml:space="preserve">, </w:t>
      </w:r>
      <w:r>
        <w:rPr>
          <w:rFonts w:ascii="Arial" w:hAnsi="Arial"/>
          <w:b w:val="0"/>
          <w:i/>
          <w:sz w:val="19"/>
        </w:rPr>
        <w:t>Max</w:t>
      </w:r>
      <w:r>
        <w:rPr>
          <w:rFonts w:ascii="Arial" w:hAnsi="Arial"/>
          <w:b w:val="0"/>
          <w:i w:val="0"/>
          <w:sz w:val="19"/>
        </w:rPr>
        <w:t xml:space="preserve">, </w:t>
      </w:r>
      <w:r>
        <w:rPr>
          <w:rFonts w:ascii="Arial" w:hAnsi="Arial"/>
          <w:b w:val="0"/>
          <w:i/>
          <w:sz w:val="19"/>
        </w:rPr>
        <w:t>Team</w:t>
      </w:r>
      <w:r>
        <w:rPr>
          <w:rFonts w:ascii="Arial" w:hAnsi="Arial"/>
          <w:b w:val="0"/>
          <w:i w:val="0"/>
          <w:sz w:val="19"/>
        </w:rPr>
        <w:t xml:space="preserve">, ausgewählte </w:t>
      </w:r>
      <w:r>
        <w:rPr>
          <w:rFonts w:ascii="Arial" w:hAnsi="Arial"/>
          <w:b w:val="0"/>
          <w:i/>
          <w:sz w:val="19"/>
        </w:rPr>
        <w:t>Enterprise</w:t>
      </w:r>
      <w:r>
        <w:rPr>
          <w:rFonts w:ascii="Arial" w:hAnsi="Arial"/>
          <w:b w:val="0"/>
          <w:i w:val="0"/>
          <w:sz w:val="19"/>
        </w:rPr>
        <w:t xml:space="preserve">) blieb </w:t>
      </w:r>
      <w:r>
        <w:rPr>
          <w:rFonts w:ascii="Arial" w:hAnsi="Arial"/>
          <w:b w:val="0"/>
          <w:i/>
          <w:sz w:val="19"/>
        </w:rPr>
        <w:t>Fable 5</w:t>
      </w:r>
      <w:r>
        <w:rPr>
          <w:rFonts w:ascii="Arial" w:hAnsi="Arial"/>
          <w:b w:val="0"/>
          <w:i w:val="0"/>
          <w:sz w:val="19"/>
        </w:rPr>
        <w:t xml:space="preserve"> zunächst bis zum 7., später bis zum 12. Juli 2026 im vollen Kontingent enthalten und wurde danach über Nutzungsguthaben abgerechnet. Mit Ablauf der verlängerten Kontingent-Frist zum 12. Juli 2026 (23:59:59 Pacific Time) hat Anthropic die Umstellung wie angekündigt vollzogen: </w:t>
      </w:r>
      <w:r>
        <w:rPr>
          <w:rFonts w:ascii="Arial" w:hAnsi="Arial"/>
          <w:b w:val="0"/>
          <w:i/>
          <w:sz w:val="19"/>
        </w:rPr>
        <w:t>Fable 5</w:t>
      </w:r>
      <w:r>
        <w:rPr>
          <w:rFonts w:ascii="Arial" w:hAnsi="Arial"/>
          <w:b w:val="0"/>
          <w:i w:val="0"/>
          <w:sz w:val="19"/>
        </w:rPr>
        <w:t xml:space="preserve"> wird seit dem 13. Juli 2026 in den Abonnementplänen nicht mehr auf das wöchentliche Nutzungskontingent angerechnet, sondern über ein gesondert aufgeladenes Nutzungsguthaben zu einem Standardpreis von 10 US-Dollar pro Million Input- und 50 US-Dollar pro Million Output-Token abgerechnet (Prompt-Caching senkt die Input-Kosten weiterhin um bis zu 90 %). Die Rate liegt damit rund doppelt so hoch wie der Standardpreis von </w:t>
      </w:r>
      <w:r>
        <w:rPr>
          <w:rFonts w:ascii="Arial" w:hAnsi="Arial"/>
          <w:b w:val="0"/>
          <w:i/>
          <w:sz w:val="19"/>
        </w:rPr>
        <w:t>Claude Opus 4.8</w:t>
      </w:r>
      <w:r>
        <w:rPr>
          <w:rFonts w:ascii="Arial" w:hAnsi="Arial"/>
          <w:b w:val="0"/>
          <w:i w:val="0"/>
          <w:sz w:val="19"/>
        </w:rPr>
        <w:t xml:space="preserve"> (5 / 25 US-Dollar) und markiert die höchste je durch Anthropic öffentlich gelistete Kategorie; der Anbieter positioniert die Umstellung als </w:t>
      </w:r>
      <w:r>
        <w:rPr>
          <w:rFonts w:ascii="Arial" w:hAnsi="Arial"/>
          <w:b w:val="0"/>
          <w:i/>
          <w:sz w:val="19"/>
        </w:rPr>
        <w:t>temporäre Kapazitätsrationierung</w:t>
      </w:r>
      <w:r>
        <w:rPr>
          <w:rFonts w:ascii="Arial" w:hAnsi="Arial"/>
          <w:b w:val="0"/>
          <w:i w:val="0"/>
          <w:sz w:val="19"/>
        </w:rPr>
        <w:t xml:space="preserve"> für ein weiterhin nur begrenzt verfügbares Frontier-Modell. Für die in § 8.2 aufgenommene deflationäre Preisdynamik ergibt sich damit ein präziseres Bild als bislang: Der Preisrückgang der letzten Monate betrifft primär die </w:t>
      </w:r>
      <w:r>
        <w:rPr>
          <w:rFonts w:ascii="Arial" w:hAnsi="Arial"/>
          <w:b w:val="0"/>
          <w:i/>
          <w:sz w:val="19"/>
        </w:rPr>
        <w:t>Workhorse</w:t>
      </w:r>
      <w:r>
        <w:rPr>
          <w:rFonts w:ascii="Arial" w:hAnsi="Arial"/>
          <w:b w:val="0"/>
          <w:i w:val="0"/>
          <w:sz w:val="19"/>
        </w:rPr>
        <w:t xml:space="preserve">-Klasse (Anthropic </w:t>
      </w:r>
      <w:r>
        <w:rPr>
          <w:rFonts w:ascii="Arial" w:hAnsi="Arial"/>
          <w:b w:val="0"/>
          <w:i/>
          <w:sz w:val="19"/>
        </w:rPr>
        <w:t>Claude Sonnet 5</w:t>
      </w:r>
      <w:r>
        <w:rPr>
          <w:rFonts w:ascii="Arial" w:hAnsi="Arial"/>
          <w:b w:val="0"/>
          <w:i w:val="0"/>
          <w:sz w:val="19"/>
        </w:rPr>
        <w:t xml:space="preserve"> 2 / 10 US-Dollar bis 31. August 2026, Meta </w:t>
      </w:r>
      <w:r>
        <w:rPr>
          <w:rFonts w:ascii="Arial" w:hAnsi="Arial"/>
          <w:b w:val="0"/>
          <w:i/>
          <w:sz w:val="19"/>
        </w:rPr>
        <w:t>Muse Spark 1.1</w:t>
      </w:r>
      <w:r>
        <w:rPr>
          <w:rFonts w:ascii="Arial" w:hAnsi="Arial"/>
          <w:b w:val="0"/>
          <w:i w:val="0"/>
          <w:sz w:val="19"/>
        </w:rPr>
        <w:t xml:space="preserve"> 1,25 / 4,25 US-Dollar), während supply-constrained Spitzenmodelle wie </w:t>
      </w:r>
      <w:r>
        <w:rPr>
          <w:rFonts w:ascii="Arial" w:hAnsi="Arial"/>
          <w:b w:val="0"/>
          <w:i/>
          <w:sz w:val="19"/>
        </w:rPr>
        <w:t>Fable 5</w:t>
      </w:r>
      <w:r>
        <w:rPr>
          <w:rFonts w:ascii="Arial" w:hAnsi="Arial"/>
          <w:b w:val="0"/>
          <w:i w:val="0"/>
          <w:sz w:val="19"/>
        </w:rPr>
        <w:t xml:space="preserve"> gegen die Deflation preisen. Die Frontier-Ökonomik teilt sich damit sichtbar in eine Angebots-getriebene Preiskurve für standardisierbare Inferenzen und eine knappheits-getriebene Preiskurve für die jeweils aktuellste Modellklasse — ein Muster, das für Anknüpfungspunkte einer inländischen KI-Nutzungsabgabe (§ 8.3) bedeutet, dass Bemessungsgrundlage und Tarifstruktur modellklassenspezifisch differenziert werden müssten. Für die hier geführte Steuer- und Governance-Debatte ist die Episode relevant, weil sie zeigt, dass die frontier-nahen KI-Anbieter inzwischen in einem Regulierungskontext operieren, in dem US-exekutive Sicherheitsauflagen (Cybersecurity Executive Order, koordinierte Klassifikatoren) den Zugriff auf importierte Modelle unmittelbar einschränken können — mit denselben Rückwirkungen auf europäische Nutzerinnen und Nutzer, wie sie die AI-Act-Konformitätsschritte auf der Angebotsseite auslösen. Der administrative Zugriff auf einen KI-Wertschöpfungsstrang wird damit vorerst stärker exekutiv-sicherheitspolitisch als steuer- oder wettbewerbsrechtlich vermittelt; für die in § 8.3 skizzierten Zugriffspfade heißt das, dass Wertschöpfungsabgabe und Fondslogik zusätzlich robust gegenüber Verfügbarkeitsstörungen der Basismodelle konstruiert werden müssen.</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ist im weiteren Verlauf des Mai/Juni 2026 vorgesehen.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 xml:space="preserve">-Architektur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Am 6. Juli 2026 hat allerdings die Analystenfirma </w:t>
      </w:r>
      <w:r>
        <w:rPr>
          <w:rFonts w:ascii="Arial" w:hAnsi="Arial"/>
          <w:b w:val="0"/>
          <w:i/>
          <w:sz w:val="19"/>
        </w:rPr>
        <w:t>SemiAnalysis</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eine deutliche Verzögerung der nächsten NVIDIA-Systemgeneration bekanntgegeben: Das für die 2027 vorgesehenen </w:t>
      </w:r>
      <w:r>
        <w:rPr>
          <w:rFonts w:ascii="Arial" w:hAnsi="Arial"/>
          <w:b w:val="0"/>
          <w:i/>
          <w:sz w:val="19"/>
        </w:rPr>
        <w:t>Rubin-Ultra</w:t>
      </w:r>
      <w:r>
        <w:rPr>
          <w:rFonts w:ascii="Arial" w:hAnsi="Arial"/>
          <w:b w:val="0"/>
          <w:i w:val="0"/>
          <w:sz w:val="19"/>
        </w:rPr>
        <w:t xml:space="preserve">-Chips geplante Rack-System </w:t>
      </w:r>
      <w:r>
        <w:rPr>
          <w:rFonts w:ascii="Arial" w:hAnsi="Arial"/>
          <w:b w:val="0"/>
          <w:i/>
          <w:sz w:val="19"/>
        </w:rPr>
        <w:t>Kyber</w:t>
      </w:r>
      <w:r>
        <w:rPr>
          <w:rFonts w:ascii="Arial" w:hAnsi="Arial"/>
          <w:b w:val="0"/>
          <w:i w:val="0"/>
          <w:sz w:val="19"/>
        </w:rPr>
        <w:t xml:space="preserve"> (NVL144, für 144 GPUs pro Rack als Scale-Up-Baustein konzipiert) verschiebe sich nach Fertigungsproblemen an der PCB-Midplane um mehr als zwölf Monate auf 2028; ein Notfallplan, zwei Racks der aktuellen Generation zusammenzuschalten, sei nach ablehnender Rückmeldung der Cloud-Kunden ebenfalls gestrichen worden. NVIDIA habe damit vorerst „no proven solution" für die Skalierung von Rubin Ultra über den Rack-Verbund hinaus, wodurch AMD (MI455X mit CDNA-5-Architektur, 2 nm, 432 GB Speicher, 40 PFLOPS NVFP4 im späteren Verlauf von 2026) und Google (TPU-Reihe) am oberen Ende des Marktes eine Öffnung erhielten; die aktuellen </w:t>
      </w:r>
      <w:r>
        <w:rPr>
          <w:rFonts w:ascii="Arial" w:hAnsi="Arial"/>
          <w:b w:val="0"/>
          <w:i/>
          <w:sz w:val="19"/>
        </w:rPr>
        <w:t>Oberon</w:t>
      </w:r>
      <w:r>
        <w:rPr>
          <w:rFonts w:ascii="Arial" w:hAnsi="Arial"/>
          <w:b w:val="0"/>
          <w:i w:val="0"/>
          <w:sz w:val="19"/>
        </w:rPr>
        <w:t xml:space="preserve">- und </w:t>
      </w:r>
      <w:r>
        <w:rPr>
          <w:rFonts w:ascii="Arial" w:hAnsi="Arial"/>
          <w:b w:val="0"/>
          <w:i/>
          <w:sz w:val="19"/>
        </w:rPr>
        <w:t>Rubin</w:t>
      </w:r>
      <w:r>
        <w:rPr>
          <w:rFonts w:ascii="Arial" w:hAnsi="Arial"/>
          <w:b w:val="0"/>
          <w:i w:val="0"/>
          <w:sz w:val="19"/>
        </w:rPr>
        <w:t>-Racks der laufenden Generation blieben davon unberührt und würden ab Herbst 2026 planmäßig an die Cloud-Partner ausgeliefert. Für die hier geführte Steuerdebatte ist die Verzögerung in zweifacher Hinsicht relevant: Sie untermauert einerseits die These der Rohstoff-Konzentration, weil der Engpass in einer einzigen Lieferkette (78-lagige PCB-Midplane mit Toleranzen unter 25 μm) einen ganzen technologischen Sprung um über ein Jahr verschieben kann; andererseits deutet sich mit dem Aufholpotenzial von AMD und Google eine graduelle Diversifizierung der Anbieterseite an, die die Extremposition einer reinen NVIDIA-Rohstoff-Analogie relativiert. Für die in § 1.1 beschriebene Asymmetrie zwischen Personalreduktion und Capex-Ausbau verdichtet sich das Bild weiter: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 xml:space="preserve">Parallel zeigt sich auf der Modell- und Talent-Ebene eine spiegelbildliche Bewegung, die die Marktstruktur der Frontier-Modelle zusätzlich beleuchtet: Nach einer Anfang Juli 2026 aufgegriffenen Berichterstattung (Fortune, BigGo Finance, Bind AI, HackerNoon, The Agent Report) hat Google DeepMind die für Juni 2026 zugesagte Veröffentlichung von </w:t>
      </w:r>
      <w:r>
        <w:rPr>
          <w:rFonts w:ascii="Arial" w:hAnsi="Arial"/>
          <w:b w:val="0"/>
          <w:i/>
          <w:sz w:val="19"/>
        </w:rPr>
        <w:t>Gemini 3.5 Pro</w:t>
      </w:r>
      <w:r>
        <w:rPr>
          <w:rFonts w:ascii="Arial" w:hAnsi="Arial"/>
          <w:b w:val="0"/>
          <w:i w:val="0"/>
          <w:sz w:val="19"/>
        </w:rPr>
        <w:t xml:space="preserve"> auf den 17. Juli 2026 verschoben und die bisherige 2.5-Pro-Basisarchitektur zugunsten eines Vollumbaus verworfen; Alphabet verzeichnete unmittelbar nach Bekanntgabe einen Rückgang der Marktkapitalisierung in Größenordnung von 225 bis 270 Milliarden US-Dollar. Zeitgleich wechselten binnen einer Woche vier zentrale DeepMind-Forscher zu direkten Wettbewerbern — Noam Shazeer, der 2024 mit der Character.ai-Übernahme für rund 2,7 Milliarden US-Dollar zu Google zurückgeholt worden war, zu OpenAI, der Nobelpreisträger John Jumper (AlphaFold) sowie Jonas Adler und Alexander Pritzel zu Anthropic. Für die hier geführte Steuerdebatte ergänzt dieser Vorgang die Rohstoff-Analogie um eine wichtige Nuance: Anders als klassische Rohstoffe hängen die Renten der Frontier-Modelle nicht nur an Compute-, sondern in erheblichem Maße an </w:t>
      </w:r>
      <w:r>
        <w:rPr>
          <w:rFonts w:ascii="Arial" w:hAnsi="Arial"/>
          <w:b w:val="0"/>
          <w:i/>
          <w:sz w:val="19"/>
        </w:rPr>
        <w:t>humanen Talent-Beständen</w:t>
      </w:r>
      <w:r>
        <w:rPr>
          <w:rFonts w:ascii="Arial" w:hAnsi="Arial"/>
          <w:b w:val="0"/>
          <w:i w:val="0"/>
          <w:sz w:val="19"/>
        </w:rPr>
        <w:t xml:space="preserve">, deren Mobilität die geografische Konzentration innerhalb der USA und die Marktbewertung einzelner Anbieter binnen Tagen deutlich verschieben kann; für eine bestandsorientierte Umverteilungslogik nach § 8.3 folgt daraus, dass eine Anknüpfung an aktuelle Marktkapitalisierungen einzelner Frontier-Anbieter (wie sie die Sanders-Vorschläge zum </w:t>
      </w:r>
      <w:r>
        <w:rPr>
          <w:rFonts w:ascii="Arial" w:hAnsi="Arial"/>
          <w:b w:val="0"/>
          <w:i/>
          <w:sz w:val="19"/>
        </w:rPr>
        <w:t>American A.I. Sovereign Wealth Fund Act</w:t>
      </w:r>
      <w:r>
        <w:rPr>
          <w:rFonts w:ascii="Arial" w:hAnsi="Arial"/>
          <w:b w:val="0"/>
          <w:i w:val="0"/>
          <w:sz w:val="19"/>
        </w:rPr>
        <w:t xml:space="preserve"> nahelegen) eine hohe fiskalische Volatilität in Kauf nimmt — ein Argument, das die stabileren wertschöpfungsbezogenen Zugriffe der Deutschland-These (§ 8.3) zusätzlich stützt. Für Deutschland und die Europäische Union unterstreicht der Vorgang zugleich, dass die Talent-Basis der Frontier-Modelle weiterhin nahezu ausschließlich transatlantisch zirkuliert; das Aufholpotenzial europäischer Anbieter (Mistral, Aleph Alpha) bleibt in dieser Metrik strukturell unter dem Niveau der US-amerikanischen Kernanbieter.</w:t>
      </w:r>
    </w:p>
    <w:p>
      <w:pPr>
        <w:jc w:val="both"/>
      </w:pPr>
      <w:r>
        <w:rPr>
          <w:rFonts w:ascii="Arial" w:hAnsi="Arial"/>
          <w:b w:val="0"/>
          <w:i w:val="0"/>
          <w:sz w:val="19"/>
        </w:rPr>
        <w:t xml:space="preserve">Zeitgleich zum DeepMind-Vorgang verdichtet sich ein weiteres Signal an der Modell- und Deployment-Front: Am 9. Juli 2026 hat OpenAI seine im Juni angekündigte </w:t>
      </w:r>
      <w:r>
        <w:rPr>
          <w:rFonts w:ascii="Arial" w:hAnsi="Arial"/>
          <w:b w:val="0"/>
          <w:i/>
          <w:sz w:val="19"/>
        </w:rPr>
        <w:t>GPT-5.6</w:t>
      </w:r>
      <w:r>
        <w:rPr>
          <w:rFonts w:ascii="Arial" w:hAnsi="Arial"/>
          <w:b w:val="0"/>
          <w:i w:val="0"/>
          <w:sz w:val="19"/>
        </w:rPr>
        <w:t xml:space="preserve">-Reihe mit den drei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und </w:t>
      </w:r>
      <w:r>
        <w:rPr>
          <w:rFonts w:ascii="Arial" w:hAnsi="Arial"/>
          <w:b w:val="0"/>
          <w:i/>
          <w:sz w:val="19"/>
        </w:rPr>
        <w:t>Luna</w:t>
      </w:r>
      <w:r>
        <w:rPr>
          <w:rFonts w:ascii="Arial" w:hAnsi="Arial"/>
          <w:b w:val="0"/>
          <w:i w:val="0"/>
          <w:sz w:val="19"/>
        </w:rPr>
        <w:t xml:space="preserve"> für die Öffentlichkeit freigegeben, nachdem eine erste Preview-Kohorte am 26. Juni 2026 angelaufen war. Die Spitzenstufe </w:t>
      </w:r>
      <w:r>
        <w:rPr>
          <w:rFonts w:ascii="Arial" w:hAnsi="Arial"/>
          <w:b w:val="0"/>
          <w:i/>
          <w:sz w:val="19"/>
        </w:rPr>
        <w:t>Sol</w:t>
      </w:r>
      <w:r>
        <w:rPr>
          <w:rFonts w:ascii="Arial" w:hAnsi="Arial"/>
          <w:b w:val="0"/>
          <w:i w:val="0"/>
          <w:sz w:val="19"/>
        </w:rPr>
        <w:t xml:space="preserve"> wird nach Herstellerangaben und übereinstimmender Fachberichterstattung (Nextgov, Engadget, BigGo Finance, Value Add Pulse, techjacksolutions) im Juli 2026 zusätzlich auf Cerebras-Wafer-Scale-Hardware ausgerollt und erreicht dort Inferenzgeschwindigkeiten von bis zu 750 Token pro Sekunde — etwa das Zehnfache typischer NVIDIA-GPU-Deployments produktiver Frontier-Modelle. Die Standard-API-Preise (Sol 5 US-Dollar pro Million Input-Token, 30 US-Dollar pro Million Output-Token; Cache-Reads 0,50 US-Dollar; </w:t>
      </w:r>
      <w:r>
        <w:rPr>
          <w:rFonts w:ascii="Arial" w:hAnsi="Arial"/>
          <w:b w:val="0"/>
          <w:i/>
          <w:sz w:val="19"/>
        </w:rPr>
        <w:t>Terra</w:t>
      </w:r>
      <w:r>
        <w:rPr>
          <w:rFonts w:ascii="Arial" w:hAnsi="Arial"/>
          <w:b w:val="0"/>
          <w:i w:val="0"/>
          <w:sz w:val="19"/>
        </w:rPr>
        <w:t xml:space="preserve"> mit annähernder GPT-5.5-Leistung zum halben Sol-Satz; </w:t>
      </w:r>
      <w:r>
        <w:rPr>
          <w:rFonts w:ascii="Arial" w:hAnsi="Arial"/>
          <w:b w:val="0"/>
          <w:i/>
          <w:sz w:val="19"/>
        </w:rPr>
        <w:t>Luna</w:t>
      </w:r>
      <w:r>
        <w:rPr>
          <w:rFonts w:ascii="Arial" w:hAnsi="Arial"/>
          <w:b w:val="0"/>
          <w:i w:val="0"/>
          <w:sz w:val="19"/>
        </w:rPr>
        <w:t xml:space="preserve"> als preisgünstigste Stufe) untermauern die in diesem Kapitel referierte Preis­deflation an der Inferenzfront, ohne die geografische Konzentration der Modellproduktion aufzuheben. Institutionell ist der Vorgang bemerkenswert, weil OpenAI die Modelle Ende Juni 2026 zunächst einem „kleinen Kreis vertrauenswürdiger Partner" zugänglich gemacht und die öffentliche Freigabe von einer Zustimmung der US-Bundesregierung abhängig gemacht hätte: Eine im Juni 2026 unterzeichnete AI-Cybersecurity-Executive-Order fordert die Anbieter der leistungsfähigsten Modelle auf, diese der Bundesregierung mindestens dreißig Tage vor der öffentlichen Freigabe zur sicherheitsbezogenen Überprüfung vorzulegen. Für die in § 4.5 verortete Governance-Debatte folgt daraus, dass sich neben der europäischen AI-Act-Regulierung eine informelle </w:t>
      </w:r>
      <w:r>
        <w:rPr>
          <w:rFonts w:ascii="Arial" w:hAnsi="Arial"/>
          <w:b w:val="0"/>
          <w:i/>
          <w:sz w:val="19"/>
        </w:rPr>
        <w:t>US-Vor-Freigabe-Praxis</w:t>
      </w:r>
      <w:r>
        <w:rPr>
          <w:rFonts w:ascii="Arial" w:hAnsi="Arial"/>
          <w:b w:val="0"/>
          <w:i w:val="0"/>
          <w:sz w:val="19"/>
        </w:rPr>
        <w:t xml:space="preserve"> etabliert, in der Frontier-Anbieter und US-Regierung einen sicherheitsbezogenen Vorlauf koordinieren — mit unmittelbarer Rückwirkung auf die Verfügbarkeit importierter KI-Modelle in europäischen Anwendungen und damit auf die von der Deutschland-These (§ 8.3) unterstellten stabilen Zugriffspfade auf inländische KI-Wertschöpfung.</w:t>
      </w:r>
    </w:p>
    <w:p>
      <w:pPr>
        <w:jc w:val="both"/>
      </w:pPr>
      <w:r>
        <w:rPr>
          <w:rFonts w:ascii="Arial" w:hAnsi="Arial"/>
          <w:b w:val="0"/>
          <w:i w:val="0"/>
          <w:sz w:val="19"/>
        </w:rPr>
        <w:t xml:space="preserve">Am selben Tag (9. Juli 2026) hat Meta über </w:t>
      </w:r>
      <w:r>
        <w:rPr>
          <w:rFonts w:ascii="Arial" w:hAnsi="Arial"/>
          <w:b w:val="0"/>
          <w:i/>
          <w:sz w:val="19"/>
        </w:rPr>
        <w:t>Meta Superintelligence Labs</w:t>
      </w:r>
      <w:r>
        <w:rPr>
          <w:rFonts w:ascii="Arial" w:hAnsi="Arial"/>
          <w:b w:val="0"/>
          <w:i w:val="0"/>
          <w:sz w:val="19"/>
        </w:rPr>
        <w:t xml:space="preserve"> das agentische Multimodalmodell </w:t>
      </w:r>
      <w:r>
        <w:rPr>
          <w:rFonts w:ascii="Arial" w:hAnsi="Arial"/>
          <w:b w:val="0"/>
          <w:i/>
          <w:sz w:val="19"/>
        </w:rPr>
        <w:t>Muse Spark 1.1</w:t>
      </w:r>
      <w:r>
        <w:rPr>
          <w:rFonts w:ascii="Arial" w:hAnsi="Arial"/>
          <w:b w:val="0"/>
          <w:i w:val="0"/>
          <w:sz w:val="19"/>
        </w:rPr>
        <w:t xml:space="preserve"> über eine kostenpflichtige </w:t>
      </w:r>
      <w:r>
        <w:rPr>
          <w:rFonts w:ascii="Arial" w:hAnsi="Arial"/>
          <w:b w:val="0"/>
          <w:i/>
          <w:sz w:val="19"/>
        </w:rPr>
        <w:t>Meta Model API</w:t>
      </w:r>
      <w:r>
        <w:rPr>
          <w:rFonts w:ascii="Arial" w:hAnsi="Arial"/>
          <w:b w:val="0"/>
          <w:i w:val="0"/>
          <w:sz w:val="19"/>
        </w:rPr>
        <w:t xml:space="preserve"> freigegeben (Fortune, CNBC, TechCrunch, Datacamp, AI Weekly, Storyboard18): Kontextfenster 1 Million Token, aktives Kontextmanagement, spezifische Fortschritte in Werkzeug- und Rechnerbedienung, Programmieren und multimodalem Verständnis. Der Einstiegspreis liegt bei 1,25 US-Dollar pro Million Input-Token und 4,25 US-Dollar pro Million Output-Token — nach Berichterstattung von TechTimes und Quartz rund ein Viertel bis ein Drittel des vergleichbaren Anthropic-/OpenAI-Preisniveaus (Anthropic </w:t>
      </w:r>
      <w:r>
        <w:rPr>
          <w:rFonts w:ascii="Arial" w:hAnsi="Arial"/>
          <w:b w:val="0"/>
          <w:i/>
          <w:sz w:val="19"/>
        </w:rPr>
        <w:t>Claude Sonnet 5</w:t>
      </w:r>
      <w:r>
        <w:rPr>
          <w:rFonts w:ascii="Arial" w:hAnsi="Arial"/>
          <w:b w:val="0"/>
          <w:i w:val="0"/>
          <w:sz w:val="19"/>
        </w:rPr>
        <w:t xml:space="preserve"> 2/10 US-Dollar Einführungspreis, OpenAI </w:t>
      </w:r>
      <w:r>
        <w:rPr>
          <w:rFonts w:ascii="Arial" w:hAnsi="Arial"/>
          <w:b w:val="0"/>
          <w:i/>
          <w:sz w:val="19"/>
        </w:rPr>
        <w:t>GPT-5.6 Sol</w:t>
      </w:r>
      <w:r>
        <w:rPr>
          <w:rFonts w:ascii="Arial" w:hAnsi="Arial"/>
          <w:b w:val="0"/>
          <w:i w:val="0"/>
          <w:sz w:val="19"/>
        </w:rPr>
        <w:t xml:space="preserve"> 5/30 US-Dollar). Fortune ordnet den Vorstoß in eine breitere KI-Beschleunigung unter Alexandr Wang ein, TechCrunch verweist auf die Positionierung als Herausforderer im agentischen Programmier-Segment. Für die in diesem Kapitel geführte Diskussion ist der Vorgang in doppelter Hinsicht relevant: Er bestätigt die Preis­deflation an der Inferenzfront auf einer weiteren Modellstufe und verdichtet die Angebotsseite an der US-Frontier — mit zusätzlicher struktureller Symmetrie zwischen Personalabbau (Meta-Streichungen 20. Mai 2026, § 1.1) und paralleler Modell- und Compute-Offensive (Chip-Produktion September 2026, § 8.2) —, ohne die geografische Konzentration der Basismodellproduktion aufzuheben. Für die in § 8.3 skizzierten Zugriffspfade auf inländische KI-Wertschöpfung schreibt sich damit das Muster fort, dass die im Inland realisierte Wertschöpfung an die Verfügbarkeit dieser Modelle gekoppelt bleibt und dieselben Robustheits­anforderungen (Fable-5-Episode, § 4.5) auch für die neu hinzutretenden Anbieter greifen.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Gesetz zur Durchführung der KI-Verordnung (KI-MIG) passiert den Bundesrat.</w:t>
      </w:r>
      <w:r>
        <w:rPr>
          <w:rFonts w:ascii="Arial" w:hAnsi="Arial"/>
          <w:b w:val="0"/>
          <w:i w:val="0"/>
          <w:sz w:val="19"/>
        </w:rPr>
        <w:t xml:space="preserve"> Bundesratsbeschluss vom 10. Juli 2026: Antrag auf Anrufung des Vermittlungsausschusses (Empfehlung des Ausschusses für Digitalisierung und Staatsmodernisierung vom 30. Juni 2026) fand keine Mehrheit; das Gesetz kann ohne weiteres parlamentarisches Verfahren in Kraft treten. Bundesnetzagentur als zentrale Marktüberwachungs- und Anlaufstelle (Koordinierungs- und Kompetenzzentrum, gebündelte KI-Expertise, zentrale Beschwerdestelle,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Ergänzend berichten </w:t>
      </w:r>
      <w:r>
        <w:rPr>
          <w:rFonts w:ascii="Arial" w:hAnsi="Arial"/>
          <w:b w:val="0"/>
          <w:i/>
          <w:sz w:val="19"/>
        </w:rPr>
        <w:t>DATEV magazin</w:t>
      </w:r>
      <w:r>
        <w:rPr>
          <w:rFonts w:ascii="Arial" w:hAnsi="Arial"/>
          <w:b w:val="0"/>
          <w:i w:val="0"/>
          <w:sz w:val="19"/>
        </w:rPr>
        <w:t xml:space="preserve"> (10. Juli 2026, „Länder billigen Gesetz zur KI-Aufsicht in Deutschland"), </w:t>
      </w:r>
      <w:r>
        <w:rPr>
          <w:rFonts w:ascii="Arial" w:hAnsi="Arial"/>
          <w:b w:val="0"/>
          <w:i/>
          <w:sz w:val="19"/>
        </w:rPr>
        <w:t>Rechtsanwalt Ferner</w:t>
      </w:r>
      <w:r>
        <w:rPr>
          <w:rFonts w:ascii="Arial" w:hAnsi="Arial"/>
          <w:b w:val="0"/>
          <w:i w:val="0"/>
          <w:sz w:val="19"/>
        </w:rPr>
        <w:t xml:space="preserve"> („Deutschland bekommt ein KI-Gesetz: Bündelung der nationalen KI-Aufsicht bei der Bundesnetzagentur"), </w:t>
      </w:r>
      <w:r>
        <w:rPr>
          <w:rFonts w:ascii="Arial" w:hAnsi="Arial"/>
          <w:b w:val="0"/>
          <w:i/>
          <w:sz w:val="19"/>
        </w:rPr>
        <w:t>ADVISORI</w:t>
      </w:r>
      <w:r>
        <w:rPr>
          <w:rFonts w:ascii="Arial" w:hAnsi="Arial"/>
          <w:b w:val="0"/>
          <w:i w:val="0"/>
          <w:sz w:val="19"/>
        </w:rPr>
        <w:t xml:space="preserve"> („KI-MIG beschlossen: Was das AI-Act-Durchführungsgesetz für Unternehmen bedeutet"), </w:t>
      </w:r>
      <w:r>
        <w:rPr>
          <w:rFonts w:ascii="Arial" w:hAnsi="Arial"/>
          <w:b w:val="0"/>
          <w:i/>
          <w:sz w:val="19"/>
        </w:rPr>
        <w:t>Bundesregierung</w:t>
      </w:r>
      <w:r>
        <w:rPr>
          <w:rFonts w:ascii="Arial" w:hAnsi="Arial"/>
          <w:b w:val="0"/>
          <w:i w:val="0"/>
          <w:sz w:val="19"/>
        </w:rPr>
        <w:t xml:space="preserve"> („KI-Verordnung beschlossen") und </w:t>
      </w:r>
      <w:r>
        <w:rPr>
          <w:rFonts w:ascii="Arial" w:hAnsi="Arial"/>
          <w:b w:val="0"/>
          <w:i/>
          <w:sz w:val="19"/>
        </w:rPr>
        <w:t>TÜV-Verband</w:t>
      </w:r>
      <w:r>
        <w:rPr>
          <w:rFonts w:ascii="Arial" w:hAnsi="Arial"/>
          <w:b w:val="0"/>
          <w:i w:val="0"/>
          <w:sz w:val="19"/>
        </w:rPr>
        <w:t xml:space="preserve"> („Begrüßt gebündelte KI-Aufsicht"). https://www.bundesrat.de/DE/plenum/bundesrat-kompakt/26/1067/1067-node.html | https://www.bundesrat.de/DE/plenum/bundesrat-kompakt/26/1067/1067-pk.html | https://www.datev-magazin.de/nachrichten-steuern-recht/recht/laender-billigen-gesetz-zur-ki-aufsicht-in-deutschland-147779 | https://www.ferner-alsdorf.de/deutschland-bekommt-ein-ki-gesetz-buendelung-der-nationalen-ki-aufsicht-bei-der-bundesnetzagentur/ | https://www.advisori.de/blog/ki-mig-ai-act-durchfuehrungsgesetz-unternehmen | https://www.bundesregierung.de/breg-de/aktuelles/umsetzung-ki-verordnung-2406638 | https://www.mittelstandcafe.de/ki-mig-t-v-verband-begr-t-geb-ndelte-ki-aufsicht-2261610.html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OECD. (7. Juli 2026). </w:t>
      </w:r>
      <w:r>
        <w:rPr>
          <w:rFonts w:ascii="Arial" w:hAnsi="Arial"/>
          <w:b w:val="0"/>
          <w:i/>
          <w:sz w:val="19"/>
        </w:rPr>
        <w:t>OECD Employment Outlook 2026 — Geographic Disparities in Jobs and Incomes.</w:t>
      </w:r>
      <w:r>
        <w:rPr>
          <w:rFonts w:ascii="Arial" w:hAnsi="Arial"/>
          <w:b w:val="0"/>
          <w:i w:val="0"/>
          <w:sz w:val="19"/>
        </w:rPr>
        <w:t xml:space="preserve"> 392 Seiten. Publikation und begleitende Medienunterlage; Country Notes für Australien, Kanada, Frankreich, Deutschland, Italien, Japan, Korea, Mexiko, Spanien, Vereinigtes Königreich und Vereinigte Staaten. https://www.oecd.org/en/publications/oecd-employment-outlook-2026_7e710f54-en.html | https://www.oecd.org/en/about/news/media-advisories/2026/07/launch-of-the-oecd-employment-outlook-2026-tuesday-7-july.html | https://www.oecd.org/en/events/2026/07/launch-of-oecd-employment-outlook-2026.html</w:t>
      </w:r>
    </w:p>
    <w:p>
      <w:pPr>
        <w:jc w:val="both"/>
      </w:pPr>
      <w:r>
        <w:rPr>
          <w:rFonts w:ascii="Arial" w:hAnsi="Arial"/>
          <w:b w:val="0"/>
          <w:i w:val="0"/>
          <w:sz w:val="19"/>
        </w:rPr>
        <w:t xml:space="preserve">OECD. (7. Juli 2026). </w:t>
      </w:r>
      <w:r>
        <w:rPr>
          <w:rFonts w:ascii="Arial" w:hAnsi="Arial"/>
          <w:b w:val="0"/>
          <w:i/>
          <w:sz w:val="19"/>
        </w:rPr>
        <w:t>OECD Employment Outlook 2026 — Country Note Germany.</w:t>
      </w:r>
      <w:r>
        <w:rPr>
          <w:rFonts w:ascii="Arial" w:hAnsi="Arial"/>
          <w:b w:val="0"/>
          <w:i w:val="0"/>
          <w:sz w:val="19"/>
        </w:rPr>
        <w:t xml:space="preserve"> 6 Seiten. Ländernotiz mit deutschlandbezogener Diagnose zu regionaler Beschäftigungs- und Einkommensspreizung, demografischer Kontraktion und Qualifikationsbedarf. https://www.oecd.org/en/publications/oecd-employment-outlook-2026_7e710f54-en.html</w:t>
      </w:r>
    </w:p>
    <w:p>
      <w:pPr>
        <w:jc w:val="both"/>
      </w:pPr>
      <w:r>
        <w:rPr>
          <w:rFonts w:ascii="Arial" w:hAnsi="Arial"/>
          <w:b w:val="0"/>
          <w:i w:val="0"/>
          <w:sz w:val="19"/>
        </w:rPr>
        <w:t xml:space="preserve">OECD. (7. Juli 2026). </w:t>
      </w:r>
      <w:r>
        <w:rPr>
          <w:rFonts w:ascii="Arial" w:hAnsi="Arial"/>
          <w:b w:val="0"/>
          <w:i/>
          <w:sz w:val="19"/>
        </w:rPr>
        <w:t>Non-compete and related agreements: Germany.</w:t>
      </w:r>
      <w:r>
        <w:rPr>
          <w:rFonts w:ascii="Arial" w:hAnsi="Arial"/>
          <w:b w:val="0"/>
          <w:i w:val="0"/>
          <w:sz w:val="19"/>
        </w:rPr>
        <w:t xml:space="preserve"> 8-seitige begleitende Länderdatei zum </w:t>
      </w:r>
      <w:r>
        <w:rPr>
          <w:rFonts w:ascii="Arial" w:hAnsi="Arial"/>
          <w:b w:val="0"/>
          <w:i/>
          <w:sz w:val="19"/>
        </w:rPr>
        <w:t>Employment Outlook 2026</w:t>
      </w:r>
      <w:r>
        <w:rPr>
          <w:rFonts w:ascii="Arial" w:hAnsi="Arial"/>
          <w:b w:val="0"/>
          <w:i w:val="0"/>
          <w:sz w:val="19"/>
        </w:rPr>
        <w:t>; empirische Verbreitung von Non-Compete- und verwandten Nachvertragsbindungen (rund 30 % der Beschäftigten im 15-Länder-Mittel) und Auswirkungen auf Arbeitsmobilität, Innovation, Löhne und Produktivität. https://www.oecd.org/en/publications/oecd-employment-outlook-2026_7e710f54-en.html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CNBC / GeekWire / NBC News / Thurrott / Republic World / TechCrunch. (6. Juli 2026). </w:t>
      </w:r>
      <w:r>
        <w:rPr>
          <w:rFonts w:ascii="Arial" w:hAnsi="Arial"/>
          <w:b w:val="0"/>
          <w:i/>
          <w:sz w:val="19"/>
        </w:rPr>
        <w:t>Microsoft cuts 4,800 jobs, as Xbox unit downsizes and plans to spin off four gaming studios / Microsoft cuts 4,800 jobs, about 2 % globally, revamps Salesforce and launches massive Xbox overhaul / Microsoft to cut 4,800 jobs, joining the wave of AI-driven tech layoffs / Microsoft Announces 4,800 Job Cuts, Including 3,200 at its Xbox Division / Microsoft Cuts 4,800 Jobs to Prioritise AI Growth, Xbox Hit Hardest / Every major tech layoff in 2026 that has name-checked AI.</w:t>
      </w:r>
      <w:r>
        <w:rPr>
          <w:rFonts w:ascii="Arial" w:hAnsi="Arial"/>
          <w:b w:val="0"/>
          <w:i w:val="0"/>
          <w:sz w:val="19"/>
        </w:rPr>
        <w:t xml:space="preserve"> Konkrete Layoff-Größen der am 6. Juli 2026 angekündigten Runde: rund 4.800 unmittelbare Streichungen (2,1 % einer weltweiten Belegschaft von rund 220.000), davon rund 1.600 in der Xbox-Sparte und rund 600 im US-Bundesstaat Washington; Xbox-Reduktionen im Fiskaljahr 2026 insgesamt rund 3.200 (etwa 20 % der globalen Xbox-Belegschaft); Ausgliederung von vier Gaming-Studios; Bestätigung der VRSAR-Annahmequote bei rund 30 % von rund 8.750 angebotsberechtigten US-Beschäftigten; Konzernbegründung „AI is changing how work gets done" bei zugleich Statement, die betroffenen Rollen würden nicht durch KI ersetzt — Illustration der Kausalattributionsproblematik nach § 9.1. https://www.cnbc.com/2026/07/06/microsoft-cuts-2point1percent-of-employees-as-xbox-unit-plans-to-spin-studios.html | https://www.geekwire.com/2026/microsoft-cuts-4800-jobs-about-2-globally-revamps-salesforce-and-launches-massive-xbox-overhaul/ | https://www.nbcnews.com/business/consumer/microsoft-layoffs-xbox-gaming-rcna353019 | https://www.thurrott.com/microsoft/338449/microsoft-announces-4800-job-cuts-including-3200-at-its-xbox-division | https://www.republicworld.com/tech/microsoft-cuts-4800-jobs-to-prioritise-ai-growth-xbox-hit-hardest-2026-07-06-131442 | https://techcrunch.com/2026/07/06/the-running-list-major-tech-layoffs-in-2026-where-employers-cited-ai/</w:t>
      </w:r>
    </w:p>
    <w:p>
      <w:pPr>
        <w:jc w:val="both"/>
      </w:pPr>
      <w:r>
        <w:rPr>
          <w:rFonts w:ascii="Arial" w:hAnsi="Arial"/>
          <w:b w:val="0"/>
          <w:i w:val="0"/>
          <w:sz w:val="19"/>
        </w:rPr>
        <w:t xml:space="preserve">CNBC / Tom's Hardware / The Next Web / Seeking Alpha. (6. Juli 2026). </w:t>
      </w:r>
      <w:r>
        <w:rPr>
          <w:rFonts w:ascii="Arial" w:hAnsi="Arial"/>
          <w:b w:val="0"/>
          <w:i/>
          <w:sz w:val="19"/>
        </w:rPr>
        <w:t>Nvidia's next-gen AI rack system delayed to 2028 on manufacturing snags, SemiAnalysis says / Nvidia's Kyber rack for Rubin Ultra reportedly delayed to 2028, stopgap solution also axed due to customer pushback / Nvidia's Kyber AI rack is delayed to 2028 / Nvidia next-gen 'Kyber' AI rack delayed to 2028 on manufacturing snags: report.</w:t>
      </w:r>
      <w:r>
        <w:rPr>
          <w:rFonts w:ascii="Arial" w:hAnsi="Arial"/>
          <w:b w:val="0"/>
          <w:i w:val="0"/>
          <w:sz w:val="19"/>
        </w:rPr>
        <w:t xml:space="preserve"> Analystenbericht </w:t>
      </w:r>
      <w:r>
        <w:rPr>
          <w:rFonts w:ascii="Arial" w:hAnsi="Arial"/>
          <w:b w:val="0"/>
          <w:i/>
          <w:sz w:val="19"/>
        </w:rPr>
        <w:t>SemiAnalysis</w:t>
      </w:r>
      <w:r>
        <w:rPr>
          <w:rFonts w:ascii="Arial" w:hAnsi="Arial"/>
          <w:b w:val="0"/>
          <w:i w:val="0"/>
          <w:sz w:val="19"/>
        </w:rPr>
        <w:t xml:space="preserve"> zur Verzögerung des NVIDIA-</w:t>
      </w:r>
      <w:r>
        <w:rPr>
          <w:rFonts w:ascii="Arial" w:hAnsi="Arial"/>
          <w:b w:val="0"/>
          <w:i/>
          <w:sz w:val="19"/>
        </w:rPr>
        <w:t>Kyber</w:t>
      </w:r>
      <w:r>
        <w:rPr>
          <w:rFonts w:ascii="Arial" w:hAnsi="Arial"/>
          <w:b w:val="0"/>
          <w:i w:val="0"/>
          <w:sz w:val="19"/>
        </w:rPr>
        <w:t>-Rack-Systems (NVL144 für 144 GPUs pro Rack) für die Rubin-Ultra-Chip-Generation um über zwölf Monate auf 2028 wegen PCB-Midplane-Fertigungsproblemen (78 Lagen, Toleranzen unter 25 μm, Impedanz-Toleranz 5 % für 448-Gb/s-Signalisierung); ablehnende Rückmeldung der Cloud-Kunden zur Notfall-Doppel-Rack-Lösung; laufende Oberon- und Rubin-Racks der aktuellen Generation unverändert für Herbst-Auslieferung an AWS, Microsoft Azure und Google Cloud vorgesehen; Wettbewerbsöffnung für AMD (MI455X, CDNA-5, 2 nm, 432 GB, 40 PFLOPS NVFP4) und Google TPU-Reihe am oberen Marktende. https://www.cnbc.com/2026/07/06/nvidia-kyber-rack-system-delays-manufacturing-taiwan-rubin-chips-.html | https://www.tomshardware.com/pc-components/gpus/nvidias-kyber-rack-for-rubin-ultra-slips-to-2028 | https://thenextweb.com/news/nvidia-kyber-rack-delay-2028 | https://seekingalpha.com/news/4611538-nvidia-next-gen-kyber-ai-rack-delayed-to-2028-on-manufacturing-snags</w:t>
      </w:r>
    </w:p>
    <w:p>
      <w:pPr>
        <w:jc w:val="both"/>
      </w:pPr>
      <w:r>
        <w:rPr>
          <w:rFonts w:ascii="Arial" w:hAnsi="Arial"/>
          <w:b w:val="0"/>
          <w:i w:val="0"/>
          <w:sz w:val="19"/>
        </w:rPr>
        <w:t xml:space="preserve">Fortune / BigGo Finance / HackerNoon / Bind AI / The Agent Report. (23. Juni – 8. Juli 2026). </w:t>
      </w:r>
      <w:r>
        <w:rPr>
          <w:rFonts w:ascii="Arial" w:hAnsi="Arial"/>
          <w:b w:val="0"/>
          <w:i/>
          <w:sz w:val="19"/>
        </w:rPr>
        <w:t>As top talent leaves Google DeepMind, some question if the lab can remain at the forefront of AI development / Google Delays Gemini 3.5 Pro Launch to July 17 for Full Architectural Rebuild / Google Delays Gemini 3.5 Pro to July 17: The Strategic Play Behind the Scrapped Base Model / Gemini 3.5 Pro Delayed to July 2026: What Developers Should Know / Google Gemini 3.5 Pro Delayed to July 2026: $225B Wiped Off Alphabet as DeepMind Talent Exodus Deepens.</w:t>
      </w:r>
      <w:r>
        <w:rPr>
          <w:rFonts w:ascii="Arial" w:hAnsi="Arial"/>
          <w:b w:val="0"/>
          <w:i w:val="0"/>
          <w:sz w:val="19"/>
        </w:rPr>
        <w:t xml:space="preserve"> Anfang Juli 2026 aufgegriffene Konsolidierung der DeepMind-Talent-Bewegungen (Noam Shazeer zu OpenAI, John Jumper / Jonas Adler / Alexander Pritzel zu Anthropic) mit einer Marktkapitalisierungs­einbuße von rund 225 bis 270 Mrd. USD und der Verschiebung von </w:t>
      </w:r>
      <w:r>
        <w:rPr>
          <w:rFonts w:ascii="Arial" w:hAnsi="Arial"/>
          <w:b w:val="0"/>
          <w:i/>
          <w:sz w:val="19"/>
        </w:rPr>
        <w:t>Gemini 3.5 Pro</w:t>
      </w:r>
      <w:r>
        <w:rPr>
          <w:rFonts w:ascii="Arial" w:hAnsi="Arial"/>
          <w:b w:val="0"/>
          <w:i w:val="0"/>
          <w:sz w:val="19"/>
        </w:rPr>
        <w:t xml:space="preserve"> zunächst auf den 17. Juli 2026 nach Vollumbau der bisherigen 2.5-Pro-Basisarchitektur (Ziel: Verbesserungen in mathematischem Reasoning, SVG-Generierung, Bildqualität). https://fortune.com/2026/06/23/google-deepmind-ai-researcher-departures-raise-doubts-about-ability-to-win-the-ai-race-shazeer-jumper-eye-on-ai/ | https://finance.biggo.com/news/6f0c6bb2-795f-4c57-9d09-6db691d7638a | https://hackernoon.com/google-delays-gemini-35-pro-to-july-17-the-strategic-play-behind-the-scrapped-base-model | https://blog.getbind.co/gemini-3-5-pro-slips-to-july-and-four-senior-google-researchers-just-left-for-anthropic/ | https://the-agent-report.com/2026/07/google-gemini-3-5-pro-delayed-july-2026/</w:t>
      </w:r>
    </w:p>
    <w:p>
      <w:pPr>
        <w:jc w:val="both"/>
      </w:pPr>
      <w:r>
        <w:rPr>
          <w:rFonts w:ascii="Arial" w:hAnsi="Arial"/>
          <w:b w:val="0"/>
          <w:i w:val="0"/>
          <w:sz w:val="19"/>
        </w:rPr>
        <w:t xml:space="preserve">SkillSyncer. (Stand 9. Juli 2026). </w:t>
      </w:r>
      <w:r>
        <w:rPr>
          <w:rFonts w:ascii="Arial" w:hAnsi="Arial"/>
          <w:b w:val="0"/>
          <w:i/>
          <w:sz w:val="19"/>
        </w:rPr>
        <w:t>2026 Tech Layoffs Tracker — 267 Events, 185.894 Workers, 56 % AI-attributed.</w:t>
      </w:r>
      <w:r>
        <w:rPr>
          <w:rFonts w:ascii="Arial" w:hAnsi="Arial"/>
          <w:b w:val="0"/>
          <w:i w:val="0"/>
          <w:sz w:val="19"/>
        </w:rPr>
        <w:t xml:space="preserve"> Aktualisierter Trackerstand mit erstmalig explizit ausgewiesener Aggregat-Kausalzuschreibung: 150 der 267 Layoff-Ereignisse (56 %) mit rund 156.270 betroffenen Beschäftigten (etwa 84 % der Tracker-Gesamtsumme) als KI-/Automatisierungs­getrieben klassifiziert; Durchschnitt rund 978 Stellen pro Tag. https://skillsyncer.com/layoffs-tracker</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val="0"/>
          <w:i w:val="0"/>
          <w:sz w:val="19"/>
        </w:rPr>
        <w:t xml:space="preserve">OpenAI / Nextgov / Engadget / BigGo Finance / Value Add Pulse / techjacksolutions / Coursiv. (9. Juli 2026 und Folgeberichterstattung). </w:t>
      </w:r>
      <w:r>
        <w:rPr>
          <w:rFonts w:ascii="Arial" w:hAnsi="Arial"/>
          <w:b w:val="0"/>
          <w:i/>
          <w:sz w:val="19"/>
        </w:rPr>
        <w:t>Previewing GPT-5.6 Sol: a next-generation model / OpenAI's advanced GPT-5.6 models to be publicly released / OpenAI gets permission to roll out GPT-5.6 to the public on July 9 / GPT-5.6 Sol Debuts Tomorrow: Inference Speed Hits 750 Tokens/s as Cerebras Pours Billions into European Expansion / Cerebras Runs OpenAI GPT-5.6 Sol at 750 Tokens per Second, Setting a New Frontier-Model Speed Record / GPT-5.6 Pricing (2026): Sol, Terra &amp; Luna API Costs / OpenAI GPT-5.6 Sol: ChatGPT Release Date, Price &amp; Review.</w:t>
      </w:r>
      <w:r>
        <w:rPr>
          <w:rFonts w:ascii="Arial" w:hAnsi="Arial"/>
          <w:b w:val="0"/>
          <w:i w:val="0"/>
          <w:sz w:val="19"/>
        </w:rPr>
        <w:t xml:space="preserve"> Public Release der GPT-5.6-Reihe zum 9. Juli 2026 mit drei Modellstufen (Sol, Terra, Luna) nach vorheriger Preview-Kohorte ab 26. Juni 2026; Cerebras-Wafer-Scale-Deployment der Spitzenstufe Sol mit bis zu 750 Token pro Sekunde (rund zehnfach gegenüber typischer NVIDIA-GPU-Inferenz); Standard-API-Preise Sol 5 USD / 30 USD pro Million Input/Output-Token, Cache-Read 0,50 USD; Freigabe an einen 30-Tage-Sicherheitsvorlauf durch das White House gebunden (AI-Cybersecurity-Executive-Order, Juni 2026). https://openai.com/index/previewing-gpt-5-6-sol/ | https://www.nextgov.com/artificial-intelligence/2026/07/openais-advanced-gpt-56-models-be-available-public/414651/ | https://www.engadget.com/2210308/openai-rolls-out-gpt5-6-july-9/ | https://finance.biggo.com/news/8891f78a-c330-4652-bf49-ee1c3204e108 | https://valueaddvc.com/pulse/cerebras-openai-gpt-5-6-sol-750-tokens-2026 | https://techjacksolutions.com/ai-tools/chatgpt/gpt-5-6-pricing/ | https://coursiv.io/blog/chatgpt-5-6-sol</w:t>
      </w:r>
    </w:p>
    <w:p>
      <w:pPr>
        <w:jc w:val="both"/>
      </w:pPr>
      <w:r>
        <w:rPr>
          <w:rFonts w:ascii="Arial" w:hAnsi="Arial"/>
          <w:b w:val="0"/>
          <w:i w:val="0"/>
          <w:sz w:val="19"/>
        </w:rPr>
        <w:t xml:space="preserve">Anthropic / The New Stack / Gizmodo / Forbes / ExplainX. (30. Juni – 12. Juli 2026). </w:t>
      </w:r>
      <w:r>
        <w:rPr>
          <w:rFonts w:ascii="Arial" w:hAnsi="Arial"/>
          <w:b w:val="0"/>
          <w:i/>
          <w:sz w:val="19"/>
        </w:rPr>
        <w:t>Redeploying Claude Fable 5 / How Anthropic is bringing Fable 5 back — and when it'll cost you / Claude Fable 5 Will Be Back Online Wednesday, Anthropic Says / Claude Fable 5 Extends By Five More Days. 10 Moves To Make Now / Fable 5 Is Available Again — Ban Lifted July 1, 2026.</w:t>
      </w:r>
      <w:r>
        <w:rPr>
          <w:rFonts w:ascii="Arial" w:hAnsi="Arial"/>
          <w:b w:val="0"/>
          <w:i w:val="0"/>
          <w:sz w:val="19"/>
        </w:rPr>
        <w:t xml:space="preserve"> Ausfuhrkontrollen der US-Regierung auf Claude Fable 5 und Claude Mythos 5 vom 12. Juni 2026 nach Amazon-Sicherheitsbericht zur Umgehung eines Fable-5-Safeguards; weltweite Aussetzung durch Anthropic bis 30. Juni 2026; Redeployment ab 1. Juli 2026 mit gemeinsam mit CAISI trainierten Klassifikatoren (&gt;99 % Blockade der dokumentierten Umgehung, erhöhte Fehlalarmquote auf regulären Debugging-/Programmier-Prompts); Kontingent-Verlängerung auf kostenpflichtigen Tarifen bis 12. Juli 2026. Beleg für die exekutiv-sicherheitspolitische Vermittlung des Zugriffs auf importierte Frontier-Modelle (§ 4.5). https://www.anthropic.com/news/redeploying-fable-5 | https://thenewstack.io/how-anthropic-is-bringing-fable-5-back/ | https://gizmodo.com/claude-fable-5-will-be-back-online-wednesday-anthropic-says-2000779882 | https://www.forbes.com/sites/sandycarter/2026/07/07/claude-fable-5-extends-by-five-more-days-10-moves-to-make-now/ | https://explainx.ai/blog/is-fable-5-back-2026</w:t>
      </w:r>
    </w:p>
    <w:p>
      <w:pPr>
        <w:jc w:val="both"/>
      </w:pPr>
      <w:r>
        <w:rPr>
          <w:rFonts w:ascii="Arial" w:hAnsi="Arial"/>
          <w:b w:val="0"/>
          <w:i w:val="0"/>
          <w:sz w:val="19"/>
        </w:rPr>
        <w:t xml:space="preserve">Anthropic (Support) / DigitalApplied / TechTimes / Codersera / AndroidHeadlines / Webvise. (7.–13. Juli 2026). </w:t>
      </w:r>
      <w:r>
        <w:rPr>
          <w:rFonts w:ascii="Arial" w:hAnsi="Arial"/>
          <w:b w:val="0"/>
          <w:i/>
          <w:sz w:val="19"/>
        </w:rPr>
        <w:t>Claude Fable 5 Promotional Access — Extended to July 12 / Claude Fable 5 Pricing: The July 7 Usage-Credits Switch / Fable 5 Subscription Ends Tomorrow: Per-Token Costs and Who Gets Hit Hardest / Claude Fable 5 Usage Credits: What Changes After July 7, 2026 / Anthropic's Claude Fable 5 Now Requires Pay-Per-Use — Even for Pro Subscribers / Fable 5 Leaves Claude Subscriptions After July 12: What Usage Credits Cost and How to Adapt.</w:t>
      </w:r>
      <w:r>
        <w:rPr>
          <w:rFonts w:ascii="Arial" w:hAnsi="Arial"/>
          <w:b w:val="0"/>
          <w:i w:val="0"/>
          <w:sz w:val="19"/>
        </w:rPr>
        <w:t xml:space="preserve"> Umstellung der </w:t>
      </w:r>
      <w:r>
        <w:rPr>
          <w:rFonts w:ascii="Arial" w:hAnsi="Arial"/>
          <w:b w:val="0"/>
          <w:i/>
          <w:sz w:val="19"/>
        </w:rPr>
        <w:t>Claude Fable 5</w:t>
      </w:r>
      <w:r>
        <w:rPr>
          <w:rFonts w:ascii="Arial" w:hAnsi="Arial"/>
          <w:b w:val="0"/>
          <w:i w:val="0"/>
          <w:sz w:val="19"/>
        </w:rPr>
        <w:t xml:space="preserve">-Preisstruktur auf Nutzungsguthaben zum 13. Juli 2026 nach Verlängerung des Kontingents auf 12. Juli 2026 (23:59:59 PT): Standardpreis 10 US-Dollar pro Million Input- und 50 US-Dollar pro Million Output-Token; Prompt-Caching senkt Input-Kosten weiterhin um bis zu 90 %; wöchentlicher 50-%-Nutzungsdeckel auf Abonnementplänen bleibt bestehen; Rate entspricht dem doppelten Standardpreis von </w:t>
      </w:r>
      <w:r>
        <w:rPr>
          <w:rFonts w:ascii="Arial" w:hAnsi="Arial"/>
          <w:b w:val="0"/>
          <w:i/>
          <w:sz w:val="19"/>
        </w:rPr>
        <w:t>Claude Opus 4.8</w:t>
      </w:r>
      <w:r>
        <w:rPr>
          <w:rFonts w:ascii="Arial" w:hAnsi="Arial"/>
          <w:b w:val="0"/>
          <w:i w:val="0"/>
          <w:sz w:val="19"/>
        </w:rPr>
        <w:t xml:space="preserve"> (5 / 25 US-Dollar) und ist die höchste je durch Anthropic öffentlich gelistete Kategorie. Ergänzung zur Fable-5-Episode (§ 4.5): Präzisierung der differenzierten Preisdynamik zwischen supply-constrained Frontier-Klasse (aufwärts) und Workhorse-Klasse (abwärts) für § 8.2. https://www.digitalapplied.com/blog/anthropic-fable-5-access-extended-july-12-2026 | https://www.digitalapplied.com/blog/claude-fable-5-usage-credits-july-7-pricing-guide-2026 | https://www.techtimes.com/articles/319767/20260706/fable-5-subscription-ends-tomorrow-per-token-costs-who-gets-hit-hardest.htm | https://codersera.com/blog/claude-fable-5-usage-credits-july-2026/ | https://www.androidheadlines.com/2026/07/claude-fable-5-drops-subscriptions-pay-per-use-credits.html | https://www.webvise.io/blog/fable-5-leaves-subscriptions-usage-credits</w:t>
      </w:r>
    </w:p>
    <w:p>
      <w:pPr>
        <w:jc w:val="both"/>
      </w:pPr>
      <w:r>
        <w:rPr>
          <w:rFonts w:ascii="Arial" w:hAnsi="Arial"/>
          <w:b w:val="0"/>
          <w:i w:val="0"/>
          <w:sz w:val="19"/>
        </w:rPr>
        <w:t xml:space="preserve">Financial Times / CNBC / Fortune / Forbes / TechCrunch / Technology.org / TheAIInsider. (2./3. Juli 2026). </w:t>
      </w:r>
      <w:r>
        <w:rPr>
          <w:rFonts w:ascii="Arial" w:hAnsi="Arial"/>
          <w:b w:val="0"/>
          <w:i/>
          <w:sz w:val="19"/>
        </w:rPr>
        <w:t>OpenAI proposes handing 5 % of its equity to a US sovereign wealth fund / OpenAI proposes 5 % stake to Trump administration to ease Washington pressure / OpenAI Proposes Handing 5 % of Its Equity to a U.S. Sovereign Wealth Fund / OpenAI Reportedly Pitches Granting U.S. Government 5 % Stake / OpenAI proposed donating 5 % of its equity to a US sovereign wealth fund / OpenAI's Altman Proposes 5 % Equity Stake in U.S. Sovereign Wealth Fund Amid Broader AI Ownership Debate.</w:t>
      </w:r>
      <w:r>
        <w:rPr>
          <w:rFonts w:ascii="Arial" w:hAnsi="Arial"/>
          <w:b w:val="0"/>
          <w:i w:val="0"/>
          <w:sz w:val="19"/>
        </w:rPr>
        <w:t xml:space="preserve"> Berichterstattung zu Sam Altmans Vorschlag, 5 % der OpenAI-Anteile (~42,6 Mrd. USD bei $852 Mrd. Bewertung März 2026) an einen US-Souveränen KI-Beteiligungsfonds nach dem Modell </w:t>
      </w:r>
      <w:r>
        <w:rPr>
          <w:rFonts w:ascii="Arial" w:hAnsi="Arial"/>
          <w:b w:val="0"/>
          <w:i/>
          <w:sz w:val="19"/>
        </w:rPr>
        <w:t>Alaska Permanent Fund</w:t>
      </w:r>
      <w:r>
        <w:rPr>
          <w:rFonts w:ascii="Arial" w:hAnsi="Arial"/>
          <w:b w:val="0"/>
          <w:i w:val="0"/>
          <w:sz w:val="19"/>
        </w:rPr>
        <w:t xml:space="preserve"> abzutreten und andere führende US-Anbieter (Anthropic, Alphabet/Google, Meta, xAI) zu einer spiegelbildlichen 5-%-Beteiligung einzuladen; informelle Gespräche mit Präsident Trump, Handelsminister Howard Lutnick und Finanzminister Scott Bessent; direkter Bezugspunkt zum am 18. Juni 2026 eingebrachten </w:t>
      </w:r>
      <w:r>
        <w:rPr>
          <w:rFonts w:ascii="Arial" w:hAnsi="Arial"/>
          <w:b w:val="0"/>
          <w:i/>
          <w:sz w:val="19"/>
        </w:rPr>
        <w:t>American A.I. Sovereign Wealth Fund Act</w:t>
      </w:r>
      <w:r>
        <w:rPr>
          <w:rFonts w:ascii="Arial" w:hAnsi="Arial"/>
          <w:b w:val="0"/>
          <w:i w:val="0"/>
          <w:sz w:val="19"/>
        </w:rPr>
        <w:t xml:space="preserve"> (S. 4825, 50 % Zwangsabgabe). Konzeptioneller Konter- und Ergänzungsvorschlag für § 4.5. https://techcrunch.com/2026/07/02/openai-proposed-donating-5-of-its-equity-to-a-us-sovereign-wealth-fund/ | https://www.cnbc.com/2026/07/02/openai-proposes-us-government-own-5percent-stake-to-address-political-blowback.html | https://www.forbes.com/sites/siladityaray/2026/07/02/openai-reportedly-pitches-granting-us-government-5-stake/ | https://www.technology.org/2026/07/03/openai-5-percent-us-sovereign-wealth-fund/ | https://theaiinsider.tech/2026/07/03/openais-altman-proposes-5-equity-stake-in-u-s-sovereign-wealth-fund-amid-broader-ai-ownership-debate/</w:t>
      </w:r>
    </w:p>
    <w:p>
      <w:pPr>
        <w:jc w:val="both"/>
      </w:pPr>
      <w:r>
        <w:rPr>
          <w:rFonts w:ascii="Arial" w:hAnsi="Arial"/>
          <w:b w:val="0"/>
          <w:i w:val="0"/>
          <w:sz w:val="19"/>
        </w:rPr>
        <w:t xml:space="preserve">Meta / Fortune / CNBC / TechCrunch / TechTimes / Quartz / DataCamp / AI Weekly / Storyboard18 / cxotoday. (9. Juli 2026). </w:t>
      </w:r>
      <w:r>
        <w:rPr>
          <w:rFonts w:ascii="Arial" w:hAnsi="Arial"/>
          <w:b w:val="0"/>
          <w:i/>
          <w:sz w:val="19"/>
        </w:rPr>
        <w:t>Introducing Muse Spark 1.1 / Meta releases latest update of AI model Muse Spark as tech giant accelerates AI push under Alexandr Wang / Meta jumps into AI coding market in effort to chase Anthropic and OpenAI / Meta enters the crowded AI coding battle with Muse Spark 1.1 / Meta's Muse Spark 1.1 Opens Paid API at One-Quarter of Anthropic, OpenAI Rates / Meta launches paid Muse Spark 1.1 API to compete with OpenAI, Anthropic / Muse Spark 1.1: Meta's Agentic Model and API / Meta prices Muse Spark 1.1 API at $1.25/$4.25 per M tokens / What is Muse Spark 1.1? Meta's new AI model takes on OpenAI and Anthropic with agentic computing / After SpaceX, Meta Now Launches Muse Spark 1.1 Model, to Begin AI Chip Production in Sept.</w:t>
      </w:r>
      <w:r>
        <w:rPr>
          <w:rFonts w:ascii="Arial" w:hAnsi="Arial"/>
          <w:b w:val="0"/>
          <w:i w:val="0"/>
          <w:sz w:val="19"/>
        </w:rPr>
        <w:t xml:space="preserve"> Öffentliche Freigabe des agentischen Multimodalmodells </w:t>
      </w:r>
      <w:r>
        <w:rPr>
          <w:rFonts w:ascii="Arial" w:hAnsi="Arial"/>
          <w:b w:val="0"/>
          <w:i/>
          <w:sz w:val="19"/>
        </w:rPr>
        <w:t>Muse Spark 1.1</w:t>
      </w:r>
      <w:r>
        <w:rPr>
          <w:rFonts w:ascii="Arial" w:hAnsi="Arial"/>
          <w:b w:val="0"/>
          <w:i w:val="0"/>
          <w:sz w:val="19"/>
        </w:rPr>
        <w:t xml:space="preserve"> über die kostenpflichtige </w:t>
      </w:r>
      <w:r>
        <w:rPr>
          <w:rFonts w:ascii="Arial" w:hAnsi="Arial"/>
          <w:b w:val="0"/>
          <w:i/>
          <w:sz w:val="19"/>
        </w:rPr>
        <w:t>Meta Model API</w:t>
      </w:r>
      <w:r>
        <w:rPr>
          <w:rFonts w:ascii="Arial" w:hAnsi="Arial"/>
          <w:b w:val="0"/>
          <w:i w:val="0"/>
          <w:sz w:val="19"/>
        </w:rPr>
        <w:t xml:space="preserve"> zum 9. Juli 2026 aus dem </w:t>
      </w:r>
      <w:r>
        <w:rPr>
          <w:rFonts w:ascii="Arial" w:hAnsi="Arial"/>
          <w:b w:val="0"/>
          <w:i/>
          <w:sz w:val="19"/>
        </w:rPr>
        <w:t>Meta Superintelligence Labs</w:t>
      </w:r>
      <w:r>
        <w:rPr>
          <w:rFonts w:ascii="Arial" w:hAnsi="Arial"/>
          <w:b w:val="0"/>
          <w:i w:val="0"/>
          <w:sz w:val="19"/>
        </w:rPr>
        <w:t xml:space="preserve"> unter Alexandr Wang (Kontextfenster 1 Million Token mit aktivem Kontextmanagement, Fortschritte in Werkzeug- und Rechnerbedienung, Programmieren und multimodalem Verständnis; Einstiegspreis 1,25 US-Dollar Input / 4,25 US-Dollar Output pro Million Token, 20 US-Dollar Startguthaben — rund ein Viertel bis ein Drittel des Anthropic-/OpenAI-Preisniveaus). Weitere strategische Einordnung: Meta-Chip-Produktion ab September 2026 angekündigt. Beleg für die deflationäre Preisdynamik der Frontier-Inferenz und die Verdichtung der Angebotsseite an der US-Frontier (§ 8.2). https://ai.meta.com/blog/introducing-muse-spark-meta-model-api/ | https://fortune.com/2026/07/09/meta-muse-spark-1-1-release-alexandr-wang-superintelligence-labs-mark-zuckerberg/ | https://www.cnbc.com/2026/07/09/meta-jumps-into-ai-coding-market-to-chase-anthropic-and-openai.html | https://techcrunch.com/2026/07/09/meta-enters-the-crowded-ai-coding-battle-with-muse-spark-1-1/ | https://www.techtimes.com/articles/320088/20260710/metas-muse-spark-11-opens-paid-api-one-quarter-anthropic-openai-rates.htm | https://qz.com/meta-muse-spark-api-developers-paid-anthropic-openai-070926 | https://www.datacamp.com/blog/muse-spark-1-1 | https://aiweekly.co/alerts/meta-prices-muse-spark-11-api-at-125425-per-m-tokens | https://www.storyboard18.com/digital/what-is-muse-spark-1-1-metas-new-ai-model-takes-on-openai-and-anthropic-with-agentic-computing-103831.htm | https://cxotoday.com/big-tech/after-spacex-meta-now-launches-muse-spark-1-1-model-to-begin-ai-chip-production-in-sept/</w:t>
      </w:r>
    </w:p>
    <w:p>
      <w:pPr>
        <w:jc w:val="both"/>
      </w:pPr>
      <w:r>
        <w:rPr>
          <w:rFonts w:ascii="Arial" w:hAnsi="Arial"/>
          <w:b/>
          <w:i w:val="0"/>
          <w:sz w:val="19"/>
        </w:rPr>
        <w:t>Hinweis zur Aktualität:</w:t>
      </w:r>
      <w:r>
        <w:rPr>
          <w:rFonts w:ascii="Arial" w:hAnsi="Arial"/>
          <w:b w:val="0"/>
          <w:i w:val="0"/>
          <w:sz w:val="19"/>
        </w:rPr>
        <w:t xml:space="preserve"> Dieses Arbeitspapier gibt den Stand Anfang Juli 2026 (Schnitt am 12. Juli 2026 — Lauf 001 vom 12. Juli 2026)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Lauf 001 vom 7. Juli 2026 ergänzt zwei weitere Fortschreibungen: die Konkretisierung der am 6. Juli 2026 angekündigten Microsoft-Layoff-Runde (rund 4.800 unmittelbare Streichungen = 2,1 % einer weltweiten Belegschaft von ~220.000, davon ~1.600 Xbox und ~600 in Washington State; Xbox-FY-2026-Gesamtreduktion ~3.200 = ~20 % der globalen Xbox-Belegschaft; Ausgliederung von vier Gaming-Studios; bestätigte VRSAR-Annahmequote rund 30 % von ~8.750 US-Angebotsberechtigten — § 1.1) sowie den am 7. Juli 2026 durch OECD-Generalsekretär Mathias Cormann und Acting Director Mark Pearson vorgelegten </w:t>
      </w:r>
      <w:r>
        <w:rPr>
          <w:rFonts w:ascii="Arial" w:hAnsi="Arial"/>
          <w:b w:val="0"/>
          <w:i/>
          <w:sz w:val="19"/>
        </w:rPr>
        <w:t>OECD Employment Outlook 2026 — Geographic Disparities in Jobs and Incomes</w:t>
      </w:r>
      <w:r>
        <w:rPr>
          <w:rFonts w:ascii="Arial" w:hAnsi="Arial"/>
          <w:b w:val="0"/>
          <w:i w:val="0"/>
          <w:sz w:val="19"/>
        </w:rPr>
        <w:t xml:space="preserve"> mit Fokus auf regional asymmetrische Anpassungen an KI-/Technologie- und Handelsschocks (Anpassung überwiegend über den Weg in vorübergehende Arbeitslosigkeit und neue Einstiegskohorten; dauerhafte Einkommensnachteile für Verdrängte; Ausbreitung von Non-Compete-Klauseln auf bis zu ein Viertel der Beschäftigten in einigen OECD-Mitgliedsländern; erwerbsfähige Bevölkerung −8 % bis 2060 als Anlass verstärkter Qualifikationspolitik — § 3.5, § 11.3). Lauf 001 vom 8. Juli 2026 ergänzt zwei weitere Fortschreibungen: die am 6. Juli 2026 durch </w:t>
      </w:r>
      <w:r>
        <w:rPr>
          <w:rFonts w:ascii="Arial" w:hAnsi="Arial"/>
          <w:b w:val="0"/>
          <w:i/>
          <w:sz w:val="19"/>
        </w:rPr>
        <w:t>SemiAnalysis</w:t>
      </w:r>
      <w:r>
        <w:rPr>
          <w:rFonts w:ascii="Arial" w:hAnsi="Arial"/>
          <w:b w:val="0"/>
          <w:i w:val="0"/>
          <w:sz w:val="19"/>
        </w:rPr>
        <w:t xml:space="preserve"> (aufgegriffen von CNBC, Tom's Hardware, The Next Web und Seeking Alpha) berichtete Verzögerung des NVIDIA-</w:t>
      </w:r>
      <w:r>
        <w:rPr>
          <w:rFonts w:ascii="Arial" w:hAnsi="Arial"/>
          <w:b w:val="0"/>
          <w:i/>
          <w:sz w:val="19"/>
        </w:rPr>
        <w:t>Kyber</w:t>
      </w:r>
      <w:r>
        <w:rPr>
          <w:rFonts w:ascii="Arial" w:hAnsi="Arial"/>
          <w:b w:val="0"/>
          <w:i w:val="0"/>
          <w:sz w:val="19"/>
        </w:rPr>
        <w:t xml:space="preserve">-Rack-Systems (NVL144) für die Rubin-Ultra-Generation um über zwölf Monate auf 2028 wegen PCB-Midplane-Fertigungsproblemen samt gestrichenem Notfall-Doppel-Rack-Plan und Öffnung für AMD (MI455X, CDNA-5, 432 GB, 40 PFLOPS NVFP4) und Google TPUs am oberen Marktende (§ 8.2); die am 7. Juli 2026 nachgereichten OECD-Länderdateien </w:t>
      </w:r>
      <w:r>
        <w:rPr>
          <w:rFonts w:ascii="Arial" w:hAnsi="Arial"/>
          <w:b w:val="0"/>
          <w:i/>
          <w:sz w:val="19"/>
        </w:rPr>
        <w:t>Employment Outlook 2026 — Country Note Germany</w:t>
      </w:r>
      <w:r>
        <w:rPr>
          <w:rFonts w:ascii="Arial" w:hAnsi="Arial"/>
          <w:b w:val="0"/>
          <w:i w:val="0"/>
          <w:sz w:val="19"/>
        </w:rPr>
        <w:t xml:space="preserve"> (6 Seiten) und </w:t>
      </w:r>
      <w:r>
        <w:rPr>
          <w:rFonts w:ascii="Arial" w:hAnsi="Arial"/>
          <w:b w:val="0"/>
          <w:i/>
          <w:sz w:val="19"/>
        </w:rPr>
        <w:t>Non-compete and related agreements: Germany</w:t>
      </w:r>
      <w:r>
        <w:rPr>
          <w:rFonts w:ascii="Arial" w:hAnsi="Arial"/>
          <w:b w:val="0"/>
          <w:i w:val="0"/>
          <w:sz w:val="19"/>
        </w:rPr>
        <w:t xml:space="preserve"> (8 Seiten, mit dem Befund, dass im 15-Länder-Mittel rund 30 % der Beschäftigten durch Nach-Vertragsbindungen gebunden sind, mit hemmender Wirkung auf Mobilität, Löhne und Produktivität — § 3.5, § 11.3). Lauf 001 vom 9. Juli 2026 ergänzt zwei weitere Fortschreibungen: die Anfang Juli 2026 konsolidierte Berichterstattung (Fortune, BigGo Finance, Bind AI, HackerNoon, The Agent Report) zur DeepMind-Talent-Abwanderung binnen einer Woche — Noam Shazeer zu OpenAI, John Jumper (AlphaFold-Nobelpreis 2024), Jonas Adler und Alexander Pritzel zu Anthropic — und zur zeitgleichen Verschiebung von </w:t>
      </w:r>
      <w:r>
        <w:rPr>
          <w:rFonts w:ascii="Arial" w:hAnsi="Arial"/>
          <w:b w:val="0"/>
          <w:i/>
          <w:sz w:val="19"/>
        </w:rPr>
        <w:t>Gemini 3.5 Pro</w:t>
      </w:r>
      <w:r>
        <w:rPr>
          <w:rFonts w:ascii="Arial" w:hAnsi="Arial"/>
          <w:b w:val="0"/>
          <w:i w:val="0"/>
          <w:sz w:val="19"/>
        </w:rPr>
        <w:t xml:space="preserve"> auf den 17. Juli 2026 nach Vollumbau der 2.5-Pro-Basisarchitektur bei einer Marktkapitalisierungs­einbuße Alphabets von rund 225 bis 270 Milliarden US-Dollar (§ 8.2 als Ergänzung der Rohstoff-Analogie um die </w:t>
      </w:r>
      <w:r>
        <w:rPr>
          <w:rFonts w:ascii="Arial" w:hAnsi="Arial"/>
          <w:b w:val="0"/>
          <w:i/>
          <w:sz w:val="19"/>
        </w:rPr>
        <w:t>humane Talent-Bestands­dimension</w:t>
      </w:r>
      <w:r>
        <w:rPr>
          <w:rFonts w:ascii="Arial" w:hAnsi="Arial"/>
          <w:b w:val="0"/>
          <w:i w:val="0"/>
          <w:sz w:val="19"/>
        </w:rPr>
        <w:t xml:space="preserve"> und als Volatilitätsargument gegen bestandsorientierte Umverteilungs­ansätze, die an aktuellen Marktkapitalisierungen einzelner Frontier-Anbieter anknüpfen — vgl. § 8.3); sowie die zum 9. Juli 2026 vom Layoff-Tracker </w:t>
      </w:r>
      <w:r>
        <w:rPr>
          <w:rFonts w:ascii="Arial" w:hAnsi="Arial"/>
          <w:b w:val="0"/>
          <w:i/>
          <w:sz w:val="19"/>
        </w:rPr>
        <w:t>SkillSyncer</w:t>
      </w:r>
      <w:r>
        <w:rPr>
          <w:rFonts w:ascii="Arial" w:hAnsi="Arial"/>
          <w:b w:val="0"/>
          <w:i w:val="0"/>
          <w:sz w:val="19"/>
        </w:rPr>
        <w:t xml:space="preserve"> erstmals ausgewiesene explizite Aggregat-Kausalzuschreibung von 150 der 267 Layoff-Ereignisse (56 %) mit rund 156.270 betroffenen Beschäftigten (rund 84 % der Tracker-Gesamtsumme) als KI-/Automatisierungs­getrieben — eine Aggregat-Kausalquote, die das in § 9.1 dokumentierte Attributions­problem auf der Aggregat-Ebene teilweise reduziert,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bleibt (§ 1.1, § 11.5). Lauf 001 vom 10. Juli 2026 ergänzt zwei weitere Fortschreibungen: die öffentliche Freigabe der </w:t>
      </w:r>
      <w:r>
        <w:rPr>
          <w:rFonts w:ascii="Arial" w:hAnsi="Arial"/>
          <w:b w:val="0"/>
          <w:i/>
          <w:sz w:val="19"/>
        </w:rPr>
        <w:t>OpenAI-GPT-5.6</w:t>
      </w:r>
      <w:r>
        <w:rPr>
          <w:rFonts w:ascii="Arial" w:hAnsi="Arial"/>
          <w:b w:val="0"/>
          <w:i w:val="0"/>
          <w:sz w:val="19"/>
        </w:rPr>
        <w:t xml:space="preserve">-Reihe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w:t>
      </w:r>
      <w:r>
        <w:rPr>
          <w:rFonts w:ascii="Arial" w:hAnsi="Arial"/>
          <w:b w:val="0"/>
          <w:i/>
          <w:sz w:val="19"/>
        </w:rPr>
        <w:t>Luna</w:t>
      </w:r>
      <w:r>
        <w:rPr>
          <w:rFonts w:ascii="Arial" w:hAnsi="Arial"/>
          <w:b w:val="0"/>
          <w:i w:val="0"/>
          <w:sz w:val="19"/>
        </w:rPr>
        <w:t xml:space="preserve">) am 9. Juli 2026 nach vorheriger Preview-Kohorte ab 26. Juni 2026 und einer 30-tägigen Sicherheitsvor­prüfung durch die US-Bundesregierung (AI-Cybersecurity-Executive-Order Juni 2026); Cerebras-Wafer-Scale-Deployment der Spitzenstufe </w:t>
      </w:r>
      <w:r>
        <w:rPr>
          <w:rFonts w:ascii="Arial" w:hAnsi="Arial"/>
          <w:b w:val="0"/>
          <w:i/>
          <w:sz w:val="19"/>
        </w:rPr>
        <w:t>Sol</w:t>
      </w:r>
      <w:r>
        <w:rPr>
          <w:rFonts w:ascii="Arial" w:hAnsi="Arial"/>
          <w:b w:val="0"/>
          <w:i w:val="0"/>
          <w:sz w:val="19"/>
        </w:rPr>
        <w:t xml:space="preserve"> mit bis zu 750 Token pro Sekunde (rund zehnfach gegenüber typischer NVIDIA-GPU-Inferenz produktiver Frontier-Modelle) und Standard-API-Preise Sol 5/30 US-Dollar pro Million Input-/Output-Token; für § 8.2 als Fortschreibung der deflationären Preisdynamik und für § 4.5 als Beleg einer sich etablierenden </w:t>
      </w:r>
      <w:r>
        <w:rPr>
          <w:rFonts w:ascii="Arial" w:hAnsi="Arial"/>
          <w:b w:val="0"/>
          <w:i/>
          <w:sz w:val="19"/>
        </w:rPr>
        <w:t>US-Vor-Freigabe-Praxis</w:t>
      </w:r>
      <w:r>
        <w:rPr>
          <w:rFonts w:ascii="Arial" w:hAnsi="Arial"/>
          <w:b w:val="0"/>
          <w:i w:val="0"/>
          <w:sz w:val="19"/>
        </w:rPr>
        <w:t xml:space="preserve"> aufgenommen; sowie die Fable-5-Episode (Anthropic): Ausfuhrkontrollen der US-Regierung vom 12. Juni 2026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nach dokumentiertem Amazon-Umgehungsverfahren, weltweite Aussetzung durch Anthropic, Redeployment ab 1. Juli 2026 mit gemeinsam mit dem US Center for AI Safety Institute (CAISI) trainierten Klassifikatoren (&gt;99 % Blockade der Umgehungsroutine, erhöhte Fehlalarmquote auf regulären Debugging-/Programmier-Prompts); Kontingent-Verlängerung auf kostenpflichtigen Tarifen bis 12. Juli 2026 — Aufnahme in § 4.5 (US-Vor-Freigabe-Regime, exekutiv-sicherheitspolitische Vermittlung des Zugriffs auf Frontier-Modelle) und Rückwirkung auf § 8.3 (Robustheits­anforderungen an Wertschöpfungsabgabe und Fondslogik gegenüber Verfügbarkeits­störungen der Basismodelle). Lauf 001 vom 11. Juli 2026 ergänzt zwei weitere Fortschreibungen: die Verabschiedung des </w:t>
      </w:r>
      <w:r>
        <w:rPr>
          <w:rFonts w:ascii="Arial" w:hAnsi="Arial"/>
          <w:b w:val="0"/>
          <w:i/>
          <w:sz w:val="19"/>
        </w:rPr>
        <w:t>KI-MIG</w:t>
      </w:r>
      <w:r>
        <w:rPr>
          <w:rFonts w:ascii="Arial" w:hAnsi="Arial"/>
          <w:b w:val="0"/>
          <w:i w:val="0"/>
          <w:sz w:val="19"/>
        </w:rPr>
        <w:t xml:space="preserve"> durch den Bundesrat am 10. Juli 2026 in seiner 1067. Sitzung (Ausschussempfehlung des </w:t>
      </w:r>
      <w:r>
        <w:rPr>
          <w:rFonts w:ascii="Arial" w:hAnsi="Arial"/>
          <w:b w:val="0"/>
          <w:i/>
          <w:sz w:val="19"/>
        </w:rPr>
        <w:t>Ausschusses für Digitalisierung und Staatsmodernisierung</w:t>
      </w:r>
      <w:r>
        <w:rPr>
          <w:rFonts w:ascii="Arial" w:hAnsi="Arial"/>
          <w:b w:val="0"/>
          <w:i w:val="0"/>
          <w:sz w:val="19"/>
        </w:rPr>
        <w:t xml:space="preserve"> vom 30. Juni 2026 zur Anrufung des Vermittlungsausschusses fand im Plenum keine Mehrheit; das Gesetz kann ohne weiteres parlamentarisches Verfahren in Kraft treten — Bundesnetzagentur als zentrale Marktüberwachungs- und Anlaufstelle mit Koordinierungs- und Kompetenzzentrum, gebündelter KI-Expertise, zentraler Beschwerdestelle für Bürgerinnen und Bürger und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 § 4.4); sowie die am 9. Juli 2026 durch </w:t>
      </w:r>
      <w:r>
        <w:rPr>
          <w:rFonts w:ascii="Arial" w:hAnsi="Arial"/>
          <w:b w:val="0"/>
          <w:i/>
          <w:sz w:val="19"/>
        </w:rPr>
        <w:t>Meta Superintelligence Labs</w:t>
      </w:r>
      <w:r>
        <w:rPr>
          <w:rFonts w:ascii="Arial" w:hAnsi="Arial"/>
          <w:b w:val="0"/>
          <w:i w:val="0"/>
          <w:sz w:val="19"/>
        </w:rPr>
        <w:t xml:space="preserve"> freigegebene kostenpflichtige </w:t>
      </w:r>
      <w:r>
        <w:rPr>
          <w:rFonts w:ascii="Arial" w:hAnsi="Arial"/>
          <w:b w:val="0"/>
          <w:i/>
          <w:sz w:val="19"/>
        </w:rPr>
        <w:t>Meta Model API</w:t>
      </w:r>
      <w:r>
        <w:rPr>
          <w:rFonts w:ascii="Arial" w:hAnsi="Arial"/>
          <w:b w:val="0"/>
          <w:i w:val="0"/>
          <w:sz w:val="19"/>
        </w:rPr>
        <w:t xml:space="preserve"> für das agentische Multimodalmodell </w:t>
      </w:r>
      <w:r>
        <w:rPr>
          <w:rFonts w:ascii="Arial" w:hAnsi="Arial"/>
          <w:b w:val="0"/>
          <w:i/>
          <w:sz w:val="19"/>
        </w:rPr>
        <w:t>Muse Spark 1.1</w:t>
      </w:r>
      <w:r>
        <w:rPr>
          <w:rFonts w:ascii="Arial" w:hAnsi="Arial"/>
          <w:b w:val="0"/>
          <w:i w:val="0"/>
          <w:sz w:val="19"/>
        </w:rPr>
        <w:t xml:space="preserve"> (Kontextfenster 1 Million Token mit aktivem Kontextmanagement; Einstiegspreis 1,25 US-Dollar Input / 4,25 US-Dollar Output pro Million Token, 20 US-Dollar Startguthaben — rund ein Viertel bis ein Drittel des Anthropic-/OpenAI-Preisniveaus; angekündigte Meta-Chip-Produktion ab September 2026) als weiterer Beleg der Preisdeflation an der Inferenzfront und der Verdichtung der Angebotsseite an der US-Frontier — Aufnahme in § 8.2 mit Rückwirkung auf § 8.3 (Zugriffspfade und Robustheits­anforderungen gegenüber Verfügbarkeits­störungen). Lauf 001 vom 12. Juli 2026 ergänzt zwei weitere Fortschreibungen: den Vollzug der Anthropic-</w:t>
      </w:r>
      <w:r>
        <w:rPr>
          <w:rFonts w:ascii="Arial" w:hAnsi="Arial"/>
          <w:b w:val="0"/>
          <w:i/>
          <w:sz w:val="19"/>
        </w:rPr>
        <w:t>Fable 5</w:t>
      </w:r>
      <w:r>
        <w:rPr>
          <w:rFonts w:ascii="Arial" w:hAnsi="Arial"/>
          <w:b w:val="0"/>
          <w:i w:val="0"/>
          <w:sz w:val="19"/>
        </w:rPr>
        <w:t xml:space="preserve">-Umstellung auf Nutzungsguthaben zum 13. Juli 2026 (Kontingent auf Abonnementplänen abgelaufen zum 12. Juli 2026 23:59:59 PT; Standardpreis 10 US-Dollar pro Million Input- und 50 US-Dollar pro Million Output-Token — doppelter </w:t>
      </w:r>
      <w:r>
        <w:rPr>
          <w:rFonts w:ascii="Arial" w:hAnsi="Arial"/>
          <w:b w:val="0"/>
          <w:i/>
          <w:sz w:val="19"/>
        </w:rPr>
        <w:t>Claude-Opus-4.8</w:t>
      </w:r>
      <w:r>
        <w:rPr>
          <w:rFonts w:ascii="Arial" w:hAnsi="Arial"/>
          <w:b w:val="0"/>
          <w:i w:val="0"/>
          <w:sz w:val="19"/>
        </w:rPr>
        <w:t xml:space="preserve">-Standardpreis und höchste je durch Anthropic öffentlich gelistete Kategorie; 90-%-Prompt-Caching-Rabatt bleibt bestehen; wöchentlicher 50-%-Nutzungsdeckel weiter unverändert) mit differenzierender Fortschreibung der § 8.2-Preisdynamik zwischen supply-constrained Frontier-Klasse (aufwärts, hier </w:t>
      </w:r>
      <w:r>
        <w:rPr>
          <w:rFonts w:ascii="Arial" w:hAnsi="Arial"/>
          <w:b w:val="0"/>
          <w:i/>
          <w:sz w:val="19"/>
        </w:rPr>
        <w:t>Fable 5</w:t>
      </w:r>
      <w:r>
        <w:rPr>
          <w:rFonts w:ascii="Arial" w:hAnsi="Arial"/>
          <w:b w:val="0"/>
          <w:i w:val="0"/>
          <w:sz w:val="19"/>
        </w:rPr>
        <w:t xml:space="preserve">) und Workhorse-Klasse (abwärts, </w:t>
      </w:r>
      <w:r>
        <w:rPr>
          <w:rFonts w:ascii="Arial" w:hAnsi="Arial"/>
          <w:b w:val="0"/>
          <w:i/>
          <w:sz w:val="19"/>
        </w:rPr>
        <w:t>Claude Sonnet 5</w:t>
      </w:r>
      <w:r>
        <w:rPr>
          <w:rFonts w:ascii="Arial" w:hAnsi="Arial"/>
          <w:b w:val="0"/>
          <w:i w:val="0"/>
          <w:sz w:val="19"/>
        </w:rPr>
        <w:t xml:space="preserve">, Meta </w:t>
      </w:r>
      <w:r>
        <w:rPr>
          <w:rFonts w:ascii="Arial" w:hAnsi="Arial"/>
          <w:b w:val="0"/>
          <w:i/>
          <w:sz w:val="19"/>
        </w:rPr>
        <w:t>Muse Spark 1.1</w:t>
      </w:r>
      <w:r>
        <w:rPr>
          <w:rFonts w:ascii="Arial" w:hAnsi="Arial"/>
          <w:b w:val="0"/>
          <w:i w:val="0"/>
          <w:sz w:val="19"/>
        </w:rPr>
        <w:t xml:space="preserve">); sowie den Anfang Juli 2026 (Financial Times 2. Juli 2026, aufgegriffen von CNBC, Fortune, Forbes, TechCrunch, Reuters, Technology.org und </w:t>
      </w:r>
      <w:r>
        <w:rPr>
          <w:rFonts w:ascii="Arial" w:hAnsi="Arial"/>
          <w:b w:val="0"/>
          <w:i/>
          <w:sz w:val="19"/>
        </w:rPr>
        <w:t>TheAIInsider</w:t>
      </w:r>
      <w:r>
        <w:rPr>
          <w:rFonts w:ascii="Arial" w:hAnsi="Arial"/>
          <w:b w:val="0"/>
          <w:i w:val="0"/>
          <w:sz w:val="19"/>
        </w:rPr>
        <w:t xml:space="preserve"> am 2./3. Juli 2026) berichteten Gegenvorschlag von OpenAI-CEO Sam Altman zum am 18. Juni 2026 eingebrachten Sanders-</w:t>
      </w:r>
      <w:r>
        <w:rPr>
          <w:rFonts w:ascii="Arial" w:hAnsi="Arial"/>
          <w:b w:val="0"/>
          <w:i/>
          <w:sz w:val="19"/>
        </w:rPr>
        <w:t>American A.I. Sovereign Wealth Fund Act</w:t>
      </w:r>
      <w:r>
        <w:rPr>
          <w:rFonts w:ascii="Arial" w:hAnsi="Arial"/>
          <w:b w:val="0"/>
          <w:i w:val="0"/>
          <w:sz w:val="19"/>
        </w:rPr>
        <w:t xml:space="preserve"> (S. 4825): freiwillige 5-%-Equity-Dotierung (~42,6 Mrd. USD bei 852 Mrd. USD Bewertung nach der März-2026-Finanzierungsrunde) an einen US-Souveränen KI-Beteiligungsfonds nach dem </w:t>
      </w:r>
      <w:r>
        <w:rPr>
          <w:rFonts w:ascii="Arial" w:hAnsi="Arial"/>
          <w:b w:val="0"/>
          <w:i/>
          <w:sz w:val="19"/>
        </w:rPr>
        <w:t>Alaska-Permanent-Fund</w:t>
      </w:r>
      <w:r>
        <w:rPr>
          <w:rFonts w:ascii="Arial" w:hAnsi="Arial"/>
          <w:b w:val="0"/>
          <w:i w:val="0"/>
          <w:sz w:val="19"/>
        </w:rPr>
        <w:t>-Modell mit Aufforderung an Anthropic, Alphabet/Google, Meta und xAI zu einer spiegelbildlichen 5-%-Beteiligung; informelle Gespräche mit Präsident Trump, Handelsminister Lutnick und Finanzminister Bessent — Aufnahme in § 4.5 (Fenstererweiterung wegen § 4.5-Kohärenz mit dem bereits eingearbeiteten Sanders-SWF-Act) als konzeptioneller Konter- und Ergänzungsvorschlag mit deutlich reduzierter Dotierung, freiwilliger Trägerlogik und offener institutioneller Kontrolle.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32.0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