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64.0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Zuteilungsquote rund 0,018 Prozent, Gesamtemissionsvolumen rund 900 Millionen US-Dollar; Konjunktivpflicht nach § 4.2 Claude.md, Angaben anbieter-/emittentenseitig).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64.0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