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16.0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deren Summe aus Lebensalter und Betriebszugehörigkeit mindestens 70 erreicht; die Benachrichtigung läuft am 7. Mai 2026 mit einer 30-Tage-Annahmefrist.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der parallele Lauf der Branchen-AI-Capex-Programme (Q1-2026-Investitionen der Hyperscaler von rund 130,65 Milliarden US-Dollar; Konsens-Schätzung für 2026 zwischen 660 und 700 Milliarden US-Dollar;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xml:space="preserve">),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i w:val="0"/>
          <w:sz w:val="19"/>
        </w:rPr>
        <w:t>Hinweis zur Aktualität:</w:t>
      </w:r>
      <w:r>
        <w:rPr>
          <w:rFonts w:ascii="Arial" w:hAnsi="Arial"/>
          <w:b w:val="0"/>
          <w:i w:val="0"/>
          <w:sz w:val="19"/>
        </w:rPr>
        <w:t xml:space="preserve"> Dieses Arbeitspapier gibt den Stand Anfang Mai 2026 (Schnitt am 6.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 Mai 2026 (TrueUp 119.721 Personen aus 265 Layoff-Meldungen, SkillSyncer 113.863 Personen aus 179 Ereignissen) sowie des Big-Tech-AI-Capex-Programms 2026 mit einem Q1-Volumen von rund 130,65 Milliarden US-Dollar und einer Konsens-Schätzung von 660–700 Milliarden US-Dollar für das Gesamtjahr.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16.0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