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Die Challenger-Serie beziffert die für Januar bis Juni 2026 explizit auf AI zurückgeführten US-Stellenstreichungen mit rund 101.700 (fast das Doppelte des Gesamtjahreswerts 2025) und weist damit den vierten Monat in Folge (März bis Juni 2026) AI als führenden Layoff-Grund aus.</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-Ebene, weil die Kapitalmarkt­schicht des humanoiden Segments zum Emissionsdatum bereits fast ausschließlich außerhalb der Europäischen Union realisiert wird.</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