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13.0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erwartet das IAB in seiner Prognose für 2025/2026 (Fassung vom 24. März 2026) bei einem Wachstum des Bruttoinlandsprodukts von 0,8 % einen leichten Rückgang der Erwerbstätigkeit um etwa 20.000 Personen und in dreizehn der sechzehn Bundesländer einen weiteren Anstieg der Arbeitslosigkeit.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deren Summe aus Lebensalter und Betriebszugehörigkeit mindestens 70 erreicht; die Benachrichtigung läuft am 7. Mai 2026 mit einer 30-Tage-Annahmefrist.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1. Mai 2026 hebt die Marke nach Tracker-Methodik des SkillSyncer auf 100.443 betroffene Beschäftigte aus 155 erfassten Layoff-Ereignissen, während TrueUp parallel 95.878 Personen aus 249 Einzelmeldungen zählt; die Methodikspanne erklärt die unterschiedlichen Größenordnungen, das Niveau einer sechsstelligen Tech-Reduktion innerhalb von vier Monaten ist über alle Tracker hinweg konsistent.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März 2026 publizierte Index-Bericht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Scheitert die Einigung bis dahin,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Für KI-spezifische steuerliche Anknüpfungspunkte (etwa Nutzungs- oder Standortsabgaben auf Rechenzentren) bleibt der Vorstoß ein Präzedenzraum, weil er das politische Vokabular (Strom­schwellen, Coordination Council, Carve-outs)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21./24. April 2026 mit dem umfassenderen </w:t>
      </w:r>
      <w:r>
        <w:rPr>
          <w:rFonts w:ascii="Arial" w:hAnsi="Arial"/>
          <w:b w:val="0"/>
          <w:i/>
          <w:sz w:val="19"/>
        </w:rPr>
        <w:t>SB 2</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der im Mai 2026 in Washington, D.C. eröffnet und den OpenAI nach eigenen Angaben als ständigen Konvent für Regierungen, Unternehmen und Zivilgesellschaft anlegt — neben dem im April 2026 angekündigten neuen OpenAI-Büro in Washington.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liegt am 2. Mai 2026 dem Bundesrat im ersten Durchgang vor,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Die Arraignment-Verhandlung ist auf den 5. Mai 2026 terminiert; die Pflichtverteidigung führt Autismus und eine akute psychische Ausnahmesituation an.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(März 2026). </w:t>
      </w:r>
      <w:r>
        <w:rPr>
          <w:rFonts w:ascii="Arial" w:hAnsi="Arial"/>
          <w:b w:val="0"/>
          <w:i/>
          <w:sz w:val="19"/>
        </w:rPr>
        <w:t>Anthropic Economic Index Report — Economic Primitives and Observed Exposure.</w:t>
      </w:r>
      <w:r>
        <w:rPr>
          <w:rFonts w:ascii="Arial" w:hAnsi="Arial"/>
          <w:b w:val="0"/>
          <w:i w:val="0"/>
          <w:sz w:val="19"/>
        </w:rPr>
        <w:t xml:space="preserve"> Report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(März 2026).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Presseinformation und Kurzbericht (Fassung vom 24. März 2026; BIP-Wachstum +0,8 %, Erwerbspersonenpotenzial sinkt um 40.000 auf 48,62 Mio.). https://iab.de/presseinfo/iab-prognose-fuer-2025-2026-arbeitsmarkt-profitiert-von-fiskalpaketen-wird-aber-durch-den-demografischen-wandel-gebremst/</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(24. April 2026). </w:t>
      </w:r>
      <w:r>
        <w:rPr>
          <w:rFonts w:ascii="Arial" w:hAnsi="Arial"/>
          <w:b w:val="0"/>
          <w:i/>
          <w:sz w:val="19"/>
        </w:rPr>
        <w:t>Senate Bill 2 — An Act Concerning Artificial Intelligence (Frontier Models, AI Sandbox, Advisory Council).</w:t>
      </w:r>
      <w:r>
        <w:rPr>
          <w:rFonts w:ascii="Arial" w:hAnsi="Arial"/>
          <w:b w:val="0"/>
          <w:i w:val="0"/>
          <w:sz w:val="19"/>
        </w:rPr>
        <w:t xml:space="preserve"> Senatsabstimmung 32 zu 4. https://legiscan.com/CT/bill/SB00002/2025</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2. https://ctmirror.org/2026/04/21/artificial-intelligence-regulation-senate-ct/</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 Mai 2026). </w:t>
      </w:r>
      <w:r>
        <w:rPr>
          <w:rFonts w:ascii="Arial" w:hAnsi="Arial"/>
          <w:b w:val="0"/>
          <w:i/>
          <w:sz w:val="19"/>
        </w:rPr>
        <w:t>Tech Layoffs Tracker — kumulierte Tech-Stellenstreichungen 2026: SkillSyncer 100.443 Personen aus 155 Layoff-Ereignissen;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i w:val="0"/>
          <w:sz w:val="19"/>
        </w:rPr>
        <w:t>Hinweis zur Aktualität:</w:t>
      </w:r>
      <w:r>
        <w:rPr>
          <w:rFonts w:ascii="Arial" w:hAnsi="Arial"/>
          <w:b w:val="0"/>
          <w:i w:val="0"/>
          <w:sz w:val="19"/>
        </w:rPr>
        <w:t xml:space="preserve"> Dieses Arbeitspapier gibt den Stand Anfang Mai 2026 (Schnitt am 2. Mai 2026) wieder. Die Debatte entwickelt sich dynamisch, insbesondere im Zuge der OpenAI-Strategiepapiere und der Eröffnung des OpenAI Workshop in Washington, D.C. im Mai 2026, des GKV-Beitragssatzstabilisierungsgesetzes (Kabinettsbeschluss 29. April 2026, parlamentarische Behandlung vor der Sommerpause 2026 angekündigt), der laufenden Trilog-Verhandlungen zum Digital Omnibus on AI (zweite Runde 28. April 2026 ohne Einigung; nächste Runde 13. Mai 2026), der für den 5. Mai 2026 angesetzten Arraignment-Verhandlung im Altman-Verfahren, der bis zum 6. Mai 2026 laufenden regulären Sitzungsperiode der Connecticut General Assembly (Schicksal von Raised Bill 515) sowie der Tech-Layoff-Trackerstände vom 1. Mai 2026 (SkillSyncer ≥ 100.443 Beschäftigte, TrueUp 95.878).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13.0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