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April 2026</w:t>
      </w:r>
    </w:p>
    <w:p>
      <w:pPr>
        <w:jc w:val="center"/>
      </w:pPr>
      <w:r>
        <w:rPr>
          <w:rFonts w:ascii="Arial" w:hAnsi="Arial"/>
          <w:b w:val="0"/>
          <w:i w:val="0"/>
          <w:color w:val="666666"/>
          <w:sz w:val="18"/>
        </w:rPr>
        <w:t>Version 7.0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erwartet das IAB in seiner Prognose für 2025/2026 einen leichten Rückgang der Erwerbstätigkeit um etwa 20.000 Personen und in dreizehn der sechzehn Bundesländer einen weiteren Anstieg der Arbeitslosigkeit. Parallel dazu dokumentiert eine Branchenauswertung für das erste Quartal 2026 rund 78.500 Stellenstreichungen in der weltweiten Tech-Industrie, davon etwa 48 % explizit als KI- oder Automatisierungsmaßnahmen begründet; zugleich stiegen KI-bezogene Stellenausschreibungen im selben Zeitraum deutlich an, was auf einen strukturellen Umbau der Beschäftigungszusammensetzung hindeutet.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Nachtrag April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16. April 2026 hat Sanders die Linie mit einem Namensbeitrag („Artificial intelligence is coming for the working class. We must fight back.") erneuert und parallel zur HELP-Anhörung ein ergänzendes Gesetzespaket angekündigt, das neben der Robotersteuer ein bundesweites Moratorium für neue KI-Rechenzentren vorsieht, bis Schutzmaßnahmen für Beschäftigte in Kraft sind. Der Bericht und seine Folgeinitiativen sind der bislang konkreteste politische Vorstoß auf US-Bundesebene.</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Workshop im Mai 2026 und ein neues OpenAI-Büro in Washington, D.C.</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weil es großzügig klinge, aber keine konkreten Selbstverpflichtungen des Absenders enthalte —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Die Arraignment-Verhandlung ist auf den 5. Mai 2026 terminiert; die Pflichtverteidigung führt Autismus und eine akute psychische Ausnahmesituation an.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(März 2026).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Presseinformation und Kurzbericht. https://iab.de/presseinfo/iab-prognose-fuer-2025-2026-arbeitsmarkt-profitiert-von-fiskalpaketen-wird-aber-durch-den-demografischen-wandel-gebremst/</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i w:val="0"/>
          <w:sz w:val="19"/>
        </w:rPr>
        <w:t>Hinweis zur Aktualität:</w:t>
      </w:r>
      <w:r>
        <w:rPr>
          <w:rFonts w:ascii="Arial" w:hAnsi="Arial"/>
          <w:b w:val="0"/>
          <w:i w:val="0"/>
          <w:sz w:val="19"/>
        </w:rPr>
        <w:t xml:space="preserve"> Dieses Arbeitspapier gibt den Stand April 2026 wieder. Die Debatte entwickelt sich dynamisch, insbesondere im Zuge der OpenAI-Strategiepapiere und der laufenden EU-Regulierungsarbeit zum AI Act.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7.0 — April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