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Eine Tagesfortschreibung der TrueUp-Methodik auf den 11./12. Mai 2026 hebt die Marke auf 128.270 betroffene Personen aus 286 Layoff-Meldungen (durchschnittlich rund 1.002 Personen pro Tag), wobei die Zusatzmeldungen primär aus den am 7./8. Mai 2026 angekündigten Streichungen bei </w:t>
      </w:r>
      <w:r>
        <w:rPr>
          <w:rFonts w:ascii="Arial" w:hAnsi="Arial"/>
          <w:b w:val="0"/>
          <w:i/>
          <w:sz w:val="19"/>
        </w:rPr>
        <w:t>BILL Holdings</w:t>
      </w:r>
      <w:r>
        <w:rPr>
          <w:rFonts w:ascii="Arial" w:hAnsi="Arial"/>
          <w:b w:val="0"/>
          <w:i w:val="0"/>
          <w:sz w:val="19"/>
        </w:rPr>
        <w:t xml:space="preserve"> (rund 700 Stellen — bis zu 30 % der Belegschaft, parallel zu einem Aktienrückkaufprogramm über bis zu eine Milliarde US-Dollar) und </w:t>
      </w:r>
      <w:r>
        <w:rPr>
          <w:rFonts w:ascii="Arial" w:hAnsi="Arial"/>
          <w:b w:val="0"/>
          <w:i/>
          <w:sz w:val="19"/>
        </w:rPr>
        <w:t>Upwork</w:t>
      </w:r>
      <w:r>
        <w:rPr>
          <w:rFonts w:ascii="Arial" w:hAnsi="Arial"/>
          <w:b w:val="0"/>
          <w:i w:val="0"/>
          <w:sz w:val="19"/>
        </w:rPr>
        <w:t xml:space="preserve"> (rund 145 Stellen — rund 24 % der Belegschaft, mit einem CEO-Memo der „Function-by-Function"-Neukonzeption und einem Aktienkursrückgang um rund 19 % im Anschluss an die Q1-2026-Quartalszahlen) gespeist sind; </w:t>
      </w:r>
      <w:r>
        <w:rPr>
          <w:rFonts w:ascii="Arial" w:hAnsi="Arial"/>
          <w:b w:val="0"/>
          <w:i/>
          <w:sz w:val="19"/>
        </w:rPr>
        <w:t>American Bazaar</w:t>
      </w:r>
      <w:r>
        <w:rPr>
          <w:rFonts w:ascii="Arial" w:hAnsi="Arial"/>
          <w:b w:val="0"/>
          <w:i w:val="0"/>
          <w:sz w:val="19"/>
        </w:rPr>
        <w:t xml:space="preserve"> berichtet zudem, dass die ersten zehn Maitage 2026 in den USA rund 38.000 angekündigte Stellenstreichungen umfassten. Auf der Anbieterseite der KI-Wertschöpfung hat </w:t>
      </w:r>
      <w:r>
        <w:rPr>
          <w:rFonts w:ascii="Arial" w:hAnsi="Arial"/>
          <w:b w:val="0"/>
          <w:i/>
          <w:sz w:val="19"/>
        </w:rPr>
        <w:t>Anthropic</w:t>
      </w:r>
      <w:r>
        <w:rPr>
          <w:rFonts w:ascii="Arial" w:hAnsi="Arial"/>
          <w:b w:val="0"/>
          <w:i w:val="0"/>
          <w:sz w:val="19"/>
        </w:rPr>
        <w:t xml:space="preserve"> am 6. Mai 2026 eine Compute-Partnerschaft mit </w:t>
      </w:r>
      <w:r>
        <w:rPr>
          <w:rFonts w:ascii="Arial" w:hAnsi="Arial"/>
          <w:b w:val="0"/>
          <w:i/>
          <w:sz w:val="19"/>
        </w:rPr>
        <w:t>SpaceX</w:t>
      </w:r>
      <w:r>
        <w:rPr>
          <w:rFonts w:ascii="Arial" w:hAnsi="Arial"/>
          <w:b w:val="0"/>
          <w:i w:val="0"/>
          <w:sz w:val="19"/>
        </w:rPr>
        <w:t xml:space="preserve"> angekündigt, die den vollständigen Zugriff auf das Memphis-Rechenzentrum </w:t>
      </w:r>
      <w:r>
        <w:rPr>
          <w:rFonts w:ascii="Arial" w:hAnsi="Arial"/>
          <w:b w:val="0"/>
          <w:i/>
          <w:sz w:val="19"/>
        </w:rPr>
        <w:t>Colossus 1</w:t>
      </w:r>
      <w:r>
        <w:rPr>
          <w:rFonts w:ascii="Arial" w:hAnsi="Arial"/>
          <w:b w:val="0"/>
          <w:i w:val="0"/>
          <w:sz w:val="19"/>
        </w:rPr>
        <w:t xml:space="preserve"> mit über 222.000 Nvidia-GPUs (H100, H200, GB200) und mehr als 300 Megawatt Rechenleistung umfasst und ein Interesse an mehreren Gigawatt orbitalem Compute signalisiert; flankierend hat Elon Musk am selben Tag erklärt, dass </w:t>
      </w:r>
      <w:r>
        <w:rPr>
          <w:rFonts w:ascii="Arial" w:hAnsi="Arial"/>
          <w:b w:val="0"/>
          <w:i/>
          <w:sz w:val="19"/>
        </w:rPr>
        <w:t>xAI</w:t>
      </w:r>
      <w:r>
        <w:rPr>
          <w:rFonts w:ascii="Arial" w:hAnsi="Arial"/>
          <w:b w:val="0"/>
          <w:i w:val="0"/>
          <w:sz w:val="19"/>
        </w:rPr>
        <w:t xml:space="preserve"> als eigenständiges Unternehmen aufgelöst und unter dem Namen </w:t>
      </w:r>
      <w:r>
        <w:rPr>
          <w:rFonts w:ascii="Arial" w:hAnsi="Arial"/>
          <w:b w:val="0"/>
          <w:i/>
          <w:sz w:val="19"/>
        </w:rPr>
        <w:t>SpaceXAI</w:t>
      </w:r>
      <w:r>
        <w:rPr>
          <w:rFonts w:ascii="Arial" w:hAnsi="Arial"/>
          <w:b w:val="0"/>
          <w:i w:val="0"/>
          <w:sz w:val="19"/>
        </w:rPr>
        <w:t xml:space="preserve"> in die SpaceX-Gruppe überführt wird, während das Schwester-Rechenzentrum </w:t>
      </w:r>
      <w:r>
        <w:rPr>
          <w:rFonts w:ascii="Arial" w:hAnsi="Arial"/>
          <w:b w:val="0"/>
          <w:i/>
          <w:sz w:val="19"/>
        </w:rPr>
        <w:t>Colossus 2</w:t>
      </w:r>
      <w:r>
        <w:rPr>
          <w:rFonts w:ascii="Arial" w:hAnsi="Arial"/>
          <w:b w:val="0"/>
          <w:i w:val="0"/>
          <w:sz w:val="19"/>
        </w:rPr>
        <w:t xml:space="preserve"> bei der neu firmierten Einheit verbleibt — </w:t>
      </w:r>
      <w:r>
        <w:rPr>
          <w:rFonts w:ascii="Arial" w:hAnsi="Arial"/>
          <w:b w:val="0"/>
          <w:i/>
          <w:sz w:val="19"/>
        </w:rPr>
        <w:t>Fortune</w:t>
      </w:r>
      <w:r>
        <w:rPr>
          <w:rFonts w:ascii="Arial" w:hAnsi="Arial"/>
          <w:b w:val="0"/>
          <w:i w:val="0"/>
          <w:sz w:val="19"/>
        </w:rPr>
        <w:t xml:space="preserve"> berichtet parallel von einer rund 80-fachen Umsatz-Steigerung Anthropics in einem Quartal. Für die Steuerdebatte verstärkt diese Konsolidierung die in § 8.2 entwickelte Rohstoff-Analogie um eine zusätzliche Marktstruktur-Dimension: Frontier-Compute wandert in Hand weniger Anbieter mit zugleich vertieftem Verflechtungsgrad zwischen Modellanbieter und Infrastrukturkonzern. Für den deutschen Diskussionsstand belegt der am 5. Mai 2026 veröffentlichte </w:t>
      </w:r>
      <w:r>
        <w:rPr>
          <w:rFonts w:ascii="Arial" w:hAnsi="Arial"/>
          <w:b w:val="0"/>
          <w:i/>
          <w:sz w:val="19"/>
        </w:rPr>
        <w:t>IAB-Kurzbericht 8/2026 — Jeder vierte Betrieb in Deutschland nutzt generative KI</w:t>
      </w:r>
      <w:r>
        <w:rPr>
          <w:rFonts w:ascii="Arial" w:hAnsi="Arial"/>
          <w:b w:val="0"/>
          <w:i w:val="0"/>
          <w:sz w:val="19"/>
        </w:rPr>
        <w:t xml:space="preserve"> (Basis: IAB-Betriebspanel, rund 15.000 Betriebe) den parallelen Adoptionssprung: Der Anteil der Betriebe mit generativer KI in der Praxis ist von rund 5 % im Jahr 2023 auf rund 25 % im Jahr 2025 gestiegen, weitere 9 % planen eine Einführung; nach Betriebsgröße reicht die Spanne von 48 % bei Betrieben mit 200 und mehr Beschäftigten bis zu 21 % bei Kleinbetrieben unter zehn Beschäftigten; sektoral führen Information und Kommunikation (59 %) vor Finanz- und Versicherungsdienstleistern (50 %), unternehmensbezogenen Diensten (37 %) und Bildungseinrichtungen (34 %), während Bau, Rohstoff und Logistik unter 15 % bleiben; 90 % der nutzenden Betriebe greifen auf frei zugängliche Anwendungen zurück, 16 % auf erworbene und mit eigenen Daten trainierte Modelle, 6 % auf Eigenentwicklungen; mehr als ein Viertel der nutzenden Betriebe bietet Schulungen an, junge Betriebe unter fünf Jahren liegen bei 30 % Adoption, lang bestehende Betriebe ab 25 Jahren bei 21 %.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Stand März 2026 konvergierten beide Institutionen lediglich auf Stichtage 2. Dezember 2027 (Anhang III) und 2. August 2028 (Anhang I) für die Hochrisiko-Pflichten; aktualisiert im Mai 2026 haben Parlament und Rat in der Nacht zum 7. Mai 2026 (4:39 Uhr) — und damit deutlich vor dem ursprünglich für den 13. Mai 2026 angesetzten dritten Trilogtermin — unter zypriotischer Ratspräsidentschaft eine vorläufige politische Einigung über den </w:t>
      </w:r>
      <w:r>
        <w:rPr>
          <w:rFonts w:ascii="Arial" w:hAnsi="Arial"/>
          <w:b w:val="0"/>
          <w:i/>
          <w:sz w:val="19"/>
        </w:rPr>
        <w:t>Digital Omnibus on AI</w:t>
      </w:r>
      <w:r>
        <w:rPr>
          <w:rFonts w:ascii="Arial" w:hAnsi="Arial"/>
          <w:b w:val="0"/>
          <w:i w:val="0"/>
          <w:sz w:val="19"/>
        </w:rPr>
        <w:t xml:space="preserve"> erzielt (Pressemitteilung des Rates vom 7. Mai 2026; Berichterstattung Bird &amp; Bird, Hogan Lovells, IAPP, Table.Media, BVDW). Die Einigung bestätigt die verschobenen Stichtage 2. Dezember 2027 (Anhang III) und 2. August 2028 (Anhang I); KI-Komponenten in Produkten, die unter die Maschinenverordnung fallen, gelten nicht mehr automatisch als Hochrisikosystem (Auflösung des Anhang-I-Konformitäts­bewertungs-Streits); ergänzend wird in einem neuen Artikel 5 die Generierung von Darstellungen sexuellen Kindesmissbrauchs (CSAM) und nicht-einvernehmlicher intimer Inhalte (NCII, „Nudifier-Apps") verboten; die Kennzeichnungspflichten für KI-generierte Inhalte (Art. 50 Abs. 2) bleiben für den 2. August 2026 vorgesehen, mit einer Übergangsfrist bis zum 2. Dezember 2026 für vor diesem Datum am Markt befindliche Systeme. Die formelle Annahme durch Rat und Europäisches Parlament soll laut Pressemitteilung „in den kommenden Wochen" erfolgen (voraussichtlich im Juni 2026); die Veröffentlichung im Amtsblatt und das Inkrafttreten drei Tage später werden Ende Juli 2026 erwartet — also vor dem ursprünglichen 2.-August-2026-Stichtag.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(DOI 10.3386/w34873), inhaltlich identisch und mit konferenzgebundener Diskussionspapier-Veröffentlichung im NBER-System. Brookings-Landingpage: https://www.brookings.edu/articles/future-tax-policy-a-public-finance-framework-for-the-age-of-ai/ | Arbeitspapier-PDF (Brookings): https://www.brookings.edu/wp-content/uploads/2026/01/Korinek-Lockwood-FINAL-for-website.pdf | NBER-Eintrag: https://www.nber.org/papers/w34873 | NBER-Konferenz-PDF: https://www.nber.org/system/files/chapters/c15323/c15323.pdf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IAB. (5. Mai 2026). </w:t>
      </w:r>
      <w:r>
        <w:rPr>
          <w:rFonts w:ascii="Arial" w:hAnsi="Arial"/>
          <w:b w:val="0"/>
          <w:i/>
          <w:sz w:val="19"/>
        </w:rPr>
        <w:t>Jeder vierte Betrieb in Deutschland nutzt generative KI</w:t>
      </w:r>
      <w:r>
        <w:rPr>
          <w:rFonts w:ascii="Arial" w:hAnsi="Arial"/>
          <w:b w:val="0"/>
          <w:i w:val="0"/>
          <w:sz w:val="19"/>
        </w:rPr>
        <w:t xml:space="preserve"> (IAB-Kurzbericht 8/2026). Datenbasis IAB-Betriebspanel mit rund 15.000 Betrieben: Verbreitungsgrad generativer KI in deutschen Betrieben von 5 % (2023) auf 25 % (2025); weitere 9 % mit Einführungsplänen; nach Betriebsgröße 48 % bei ≥ 200 Beschäftigten gegenüber 21 % bei &lt; 10 Beschäftigten; sektoral IKT 59 %, Finanz/Versicherung 50 %, Unternehmensdienste 37 %, Bildung 34 %; 90 % der nutzenden Betriebe verwenden frei zugängliche Anwendungen, 16 % erworbene mit eigenen Daten trainierte Modelle, 6 % Eigenentwicklungen; &gt; 25 % der nutzenden Betriebe mit Schulungsangeboten; junge Betriebe (&lt; 5 Jahre) bei 30 %, lang bestehende (≥ 25 Jahre) bei 21 %. https://iab.de/presseinfo/jeder-vierte-betrieb-in-deutschland-nutzt-generative-ki/ | https://doku.iab.de/kurzber/2026/kb2026-08.pdf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vorläufige politische Einigung in der Nacht zum 7. Mai 2026 (4:39 Uhr) unter zypriotischer Ratspräsidentschaft; bestätigte Stichtage 2. Dezember 2027 (Anhang III) und 2. August 2028 (Anhang I); KI-Komponenten in Produkten unter der Maschinenverordnung nicht mehr automatisch im Hochrisikobereich; neue Art.-5-Verbote für CSAM-/NCII-Erzeugung; Watermarking nach Art. 50 Abs. 2 ab 2. August 2026 mit Übergangsfrist bis 2. Dezember 2026; formelle Annahme durch Rat und Parlament „in den kommenden Wochen" (voraussichtlich Juni 2026), Veröffentlichung im Amtsblatt voraussichtlich Ende Juli 2026.</w:t>
      </w:r>
      <w:r>
        <w:rPr>
          <w:rFonts w:ascii="Arial" w:hAnsi="Arial"/>
          <w:b w:val="0"/>
          <w:i w:val="0"/>
          <w:sz w:val="19"/>
        </w:rPr>
        <w:t xml:space="preserve"> Pressemitteilung des Rates der EU, 7. Mai 2026; Legislative Train Schedule; Berichterstattung Bird &amp; Bird, Hogan Lovells, IAPP, Table.Media, BVDW, TechPolicy.Press, Modulos. https://www.consilium.europa.eu/en/press/press-releases/2026/05/07/artificial-intelligence-council-and-parliament-agree-to-simplify-and-streamline-rules/ | https://www.europarl.europa.eu/legislative-train/package-digital-package/file-digital-omnibus-on-ai | https://www.twobirds.com/en/insights/2026/digital-omnibus-on-ai-provisional-agreement-reached-at-the-may-trilogue | https://www.hoganlovells.com/en/publications/eu-legislators-agree-to-delay-for-highrisk-ai-rules | https://iapp.org/news/a/eu-agrees-to-amend-ai-act-clarifies-overlap-with-machinery-rules | https://table.media/europe/news/ki-omnibus-einigung-im-trilog | https://www.bvdw.org/news-und-publikationen/bvdw-ersteinschaetzung-zu-trilog-einigung/ | https://www.techpolicy.press/what-the-eu-ai-omnibus-deal-changes-for-the-ai-act-and-what-lies-ahead/</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American Bazaar. (Stand 11./12. Mai 2026). </w:t>
      </w:r>
      <w:r>
        <w:rPr>
          <w:rFonts w:ascii="Arial" w:hAnsi="Arial"/>
          <w:b w:val="0"/>
          <w:i/>
          <w:sz w:val="19"/>
        </w:rPr>
        <w:t>Tech Layoffs Tracker — Tagesfortschreibung: 128.270 Personen aus 286 Layoff-Meldungen (rund 1.002 Personen pro Tag); US-Layoff-Total der ersten zehn Maitage 2026 rund 38.000 Stellen.</w:t>
      </w:r>
      <w:r>
        <w:rPr>
          <w:rFonts w:ascii="Arial" w:hAnsi="Arial"/>
          <w:b w:val="0"/>
          <w:i w:val="0"/>
          <w:sz w:val="19"/>
        </w:rPr>
        <w:t xml:space="preserve"> https://www.trueup.io/layoffs | https://americanbazaaronline.com/2026/05/10/us-layoffs-in-first-10-days-of-may-2026-nearly-38000-jobs-cut-480502/</w:t>
      </w:r>
    </w:p>
    <w:p>
      <w:pPr>
        <w:jc w:val="both"/>
      </w:pPr>
      <w:r>
        <w:rPr>
          <w:rFonts w:ascii="Arial" w:hAnsi="Arial"/>
          <w:b w:val="0"/>
          <w:i w:val="0"/>
          <w:sz w:val="19"/>
        </w:rPr>
        <w:t xml:space="preserve">Yahoo Finance / GuruFocus / LayoffHedge. (7./8. Mai 2026). </w:t>
      </w:r>
      <w:r>
        <w:rPr>
          <w:rFonts w:ascii="Arial" w:hAnsi="Arial"/>
          <w:b w:val="0"/>
          <w:i/>
          <w:sz w:val="19"/>
        </w:rPr>
        <w:t>Layoffs Accelerate in May 2026 as Firms Restructure Around AI / BILL Holdings Layoffs 2026 — Up to 30 % of Workforce Cut Same Day as $1B Buyback / Upwork Layoffs 2026 — 145 Jobs Cut, ~24 % of Workforce as Stock Falls 19 %.</w:t>
      </w:r>
      <w:r>
        <w:rPr>
          <w:rFonts w:ascii="Arial" w:hAnsi="Arial"/>
          <w:b w:val="0"/>
          <w:i w:val="0"/>
          <w:sz w:val="19"/>
        </w:rPr>
        <w:t xml:space="preserve"> Berichterstattung zu BILL Holdings (bis zu 30 % der Belegschaft, parallel zu Aktienrückkaufprogramm 1 Mrd. USD) und Upwork (rund 145 Stellen, 24 %, Aktienkurs −19,3 % nach Q1-2026-Quartalszahlen). https://finance.yahoo.com/sectors/technology/articles/layoffs-accelerate-may-2026-firms-040430218.html | https://www.gurufocus.com/news/8844404/aidriven-layoffs-companies-like-upwork-and-cloudflare-restructure-workforce | https://layoffhedge.com/company/bill-holdings | https://layoffhedge.com/company/upwork</w:t>
      </w:r>
    </w:p>
    <w:p>
      <w:pPr>
        <w:jc w:val="both"/>
      </w:pPr>
      <w:r>
        <w:rPr>
          <w:rFonts w:ascii="Arial" w:hAnsi="Arial"/>
          <w:b w:val="0"/>
          <w:i w:val="0"/>
          <w:sz w:val="19"/>
        </w:rPr>
        <w:t xml:space="preserve">Anthropic / xAI / CNBC / Axios / Tom's Hardware / Al Jazeera / Fortune. (6./7. Mai 2026). </w:t>
      </w:r>
      <w:r>
        <w:rPr>
          <w:rFonts w:ascii="Arial" w:hAnsi="Arial"/>
          <w:b w:val="0"/>
          <w:i/>
          <w:sz w:val="19"/>
        </w:rPr>
        <w:t>Anthropic-SpaceX Compute Partnership / Anthropic announces deal with Elon Musk's SpaceX / xAI new compute partnership with Anthropic / Musk's SpaceX has rented out access to its supercomputer's 220,000 Nvidia GPUs and 300 megawatts of AI compute power to rival Anthropic / Anthropic grew 80-fold in a single quarter.</w:t>
      </w:r>
      <w:r>
        <w:rPr>
          <w:rFonts w:ascii="Arial" w:hAnsi="Arial"/>
          <w:b w:val="0"/>
          <w:i w:val="0"/>
          <w:sz w:val="19"/>
        </w:rPr>
        <w:t xml:space="preserve"> Anthropic erhält vollen Zugriff auf das Memphis-Rechenzentrum </w:t>
      </w:r>
      <w:r>
        <w:rPr>
          <w:rFonts w:ascii="Arial" w:hAnsi="Arial"/>
          <w:b w:val="0"/>
          <w:i/>
          <w:sz w:val="19"/>
        </w:rPr>
        <w:t>Colossus 1</w:t>
      </w:r>
      <w:r>
        <w:rPr>
          <w:rFonts w:ascii="Arial" w:hAnsi="Arial"/>
          <w:b w:val="0"/>
          <w:i w:val="0"/>
          <w:sz w:val="19"/>
        </w:rPr>
        <w:t xml:space="preserve"> mit über 222.000 Nvidia-GPUs (H100, H200, GB200) und mehr als 300 Megawatt; geäußertes Interesse an mehreren Gigawatt orbitalem Compute; xAI wird als eigenständiges Unternehmen aufgelöst und in SpaceX als </w:t>
      </w:r>
      <w:r>
        <w:rPr>
          <w:rFonts w:ascii="Arial" w:hAnsi="Arial"/>
          <w:b w:val="0"/>
          <w:i/>
          <w:sz w:val="19"/>
        </w:rPr>
        <w:t>SpaceXAI</w:t>
      </w:r>
      <w:r>
        <w:rPr>
          <w:rFonts w:ascii="Arial" w:hAnsi="Arial"/>
          <w:b w:val="0"/>
          <w:i w:val="0"/>
          <w:sz w:val="19"/>
        </w:rPr>
        <w:t xml:space="preserve"> überführt (</w:t>
      </w:r>
      <w:r>
        <w:rPr>
          <w:rFonts w:ascii="Arial" w:hAnsi="Arial"/>
          <w:b w:val="0"/>
          <w:i/>
          <w:sz w:val="19"/>
        </w:rPr>
        <w:t>Colossus 2</w:t>
      </w:r>
      <w:r>
        <w:rPr>
          <w:rFonts w:ascii="Arial" w:hAnsi="Arial"/>
          <w:b w:val="0"/>
          <w:i w:val="0"/>
          <w:sz w:val="19"/>
        </w:rPr>
        <w:t xml:space="preserve"> verbleibt dort); Marktstruktur-Implikation für die Konzentration Frontier-Compute. https://www.cnbc.com/2026/05/06/anthropic-spacex-data-center-capacity.html | https://www.axios.com/2026/05/06/anthropic-spacex-elon-musk-compute | https://x.ai/news/anthropic-compute-partnership | https://www.tomshardware.com/tech-industry/artificial-intelligence/musks-spacex-has-rented-out-access-to-its-supercomputers-220-000-nvidia-gpus-and-300-megawatts-of-ai-compute-power-to-rival-anthropic-musk-says-no-one-set-off-my-evil-detector-antrhropic-also-interested-in-orbital-data-centers | https://www.aljazeera.com/economy/2026/5/6/spacex-backs-anthropic-with-data-centre-deal-amidst-musks-openai-lawsuit | https://fortune.com/2026/05/08/anthropic-80fold-growth-quarter-renting-elon-musk-data-center/</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12. Mai 2026 — Lauf 001 vom 12. Mai 2026) wieder. Die Debatte entwickelt sich dynamisch, insbesondere im Zuge der OpenAI-Strategiepapiere und der Eröffnung des OpenAI Workshop in Washington, D.C. im Mai 2026, der laufenden Vorbereitung des GKV-Beitragssatzstabilisierungsgesetzes (Kabinettsbeschluss 29. April 2026, parlamentarische Behandlung vor der Sommerpause 2026 angekündigt; in der 1065. Bundesratssitzung am 8. Mai 2026 mit ihren über 80 Tagesordnungspunkten war das Gesetz nicht aufgesetzt), der am 7. Mai 2026 (4:39 Uhr) — vor dem ursprünglich für den 13. Mai 2026 angesetzten dritten Trilogtermin — unter zypriotischer Ratspräsidentschaft erzielten vorläufigen politischen Trilog-Einigung über den </w:t>
      </w:r>
      <w:r>
        <w:rPr>
          <w:rFonts w:ascii="Arial" w:hAnsi="Arial"/>
          <w:b w:val="0"/>
          <w:i/>
          <w:sz w:val="19"/>
        </w:rPr>
        <w:t>Digital Omnibus on AI</w:t>
      </w:r>
      <w:r>
        <w:rPr>
          <w:rFonts w:ascii="Arial" w:hAnsi="Arial"/>
          <w:b w:val="0"/>
          <w:i w:val="0"/>
          <w:sz w:val="19"/>
        </w:rPr>
        <w:t xml:space="preserve"> (Bestätigung der verschobenen Stichtage 2. Dezember 2027 für Anhang III und 2. August 2028 für Anhang I; KI-Komponenten unter der Maschinenverordnung nicht mehr automatisch im Hochrisikobereich; neue Art.-5-Verbote für CSAM-/NCII-Erzeugung; Watermarking-Pflichten nach Art. 50 Abs. 2 ab 2. August 2026 mit Übergangsfrist bis 2. Dezember 2026; formelle Annahme durch Rat und Parlament voraussichtlich Juni 2026, Veröffentlichung im Amtsblatt voraussichtlich Ende Juli 2026),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5. Mai 2026 veröffentlichten </w:t>
      </w:r>
      <w:r>
        <w:rPr>
          <w:rFonts w:ascii="Arial" w:hAnsi="Arial"/>
          <w:b w:val="0"/>
          <w:i/>
          <w:sz w:val="19"/>
        </w:rPr>
        <w:t>IAB-Kurzberichts 8/2026</w:t>
      </w:r>
      <w:r>
        <w:rPr>
          <w:rFonts w:ascii="Arial" w:hAnsi="Arial"/>
          <w:b w:val="0"/>
          <w:i w:val="0"/>
          <w:sz w:val="19"/>
        </w:rPr>
        <w:t xml:space="preserve"> („Jeder vierte Betrieb in Deutschland nutzt generative KI" — 25 % der Betriebe gegenüber 5 % im Jahr 2023, 48 % bei Betrieben ≥ 200 Beschäftigten gegenüber 21 % bei Kleinbetrieben, sektoraler Spitzenwert IKT 59 %, Datenbasis IAB-Betriebspanel mit rund 15.000 Betrieben), der am 7./8. Mai 2026 angekündigten KI-getriebenen Stellenstreichungen bei </w:t>
      </w:r>
      <w:r>
        <w:rPr>
          <w:rFonts w:ascii="Arial" w:hAnsi="Arial"/>
          <w:b w:val="0"/>
          <w:i/>
          <w:sz w:val="19"/>
        </w:rPr>
        <w:t>BILL Holdings</w:t>
      </w:r>
      <w:r>
        <w:rPr>
          <w:rFonts w:ascii="Arial" w:hAnsi="Arial"/>
          <w:b w:val="0"/>
          <w:i w:val="0"/>
          <w:sz w:val="19"/>
        </w:rPr>
        <w:t xml:space="preserve"> (rund 700 Stellen, bis zu 30 % der Belegschaft, parallel zu einem Aktienrückkaufprogramm über bis zu 1 Mrd. USD) und </w:t>
      </w:r>
      <w:r>
        <w:rPr>
          <w:rFonts w:ascii="Arial" w:hAnsi="Arial"/>
          <w:b w:val="0"/>
          <w:i/>
          <w:sz w:val="19"/>
        </w:rPr>
        <w:t>Upwork</w:t>
      </w:r>
      <w:r>
        <w:rPr>
          <w:rFonts w:ascii="Arial" w:hAnsi="Arial"/>
          <w:b w:val="0"/>
          <w:i w:val="0"/>
          <w:sz w:val="19"/>
        </w:rPr>
        <w:t xml:space="preserve"> (rund 145 Stellen, rund 24 %, Aktienkurs −19,3 %), der aktualisierten TrueUp-Tagesfortschreibung zum 11./12. Mai 2026 (128.270 Personen aus 286 Layoff-Meldungen — rund 1.002 Personen pro Tag; US-Layoff-Total der ersten zehn Maitage 2026 rund 38.000 Stellen), der am 6. Mai 2026 angekündigten </w:t>
      </w:r>
      <w:r>
        <w:rPr>
          <w:rFonts w:ascii="Arial" w:hAnsi="Arial"/>
          <w:b w:val="0"/>
          <w:i/>
          <w:sz w:val="19"/>
        </w:rPr>
        <w:t>Anthropic-SpaceX-Compute-Partnerschaft</w:t>
      </w:r>
      <w:r>
        <w:rPr>
          <w:rFonts w:ascii="Arial" w:hAnsi="Arial"/>
          <w:b w:val="0"/>
          <w:i w:val="0"/>
          <w:sz w:val="19"/>
        </w:rPr>
        <w:t xml:space="preserve"> (vollständiger Zugriff auf das Memphis-Rechenzentrum </w:t>
      </w:r>
      <w:r>
        <w:rPr>
          <w:rFonts w:ascii="Arial" w:hAnsi="Arial"/>
          <w:b w:val="0"/>
          <w:i/>
          <w:sz w:val="19"/>
        </w:rPr>
        <w:t>Colossus 1</w:t>
      </w:r>
      <w:r>
        <w:rPr>
          <w:rFonts w:ascii="Arial" w:hAnsi="Arial"/>
          <w:b w:val="0"/>
          <w:i w:val="0"/>
          <w:sz w:val="19"/>
        </w:rPr>
        <w:t xml:space="preserve"> mit über 222.000 Nvidia-GPUs — H100, H200, GB200 — und mehr als 300 Megawatt sowie geäußertes Interesse an mehreren Gigawatt orbitalem Compute) und der parallelen Auflösung von </w:t>
      </w:r>
      <w:r>
        <w:rPr>
          <w:rFonts w:ascii="Arial" w:hAnsi="Arial"/>
          <w:b w:val="0"/>
          <w:i/>
          <w:sz w:val="19"/>
        </w:rPr>
        <w:t>xAI</w:t>
      </w:r>
      <w:r>
        <w:rPr>
          <w:rFonts w:ascii="Arial" w:hAnsi="Arial"/>
          <w:b w:val="0"/>
          <w:i w:val="0"/>
          <w:sz w:val="19"/>
        </w:rPr>
        <w:t xml:space="preserve"> als eigenständigem Unternehmen mit Überführung in SpaceX als </w:t>
      </w:r>
      <w:r>
        <w:rPr>
          <w:rFonts w:ascii="Arial" w:hAnsi="Arial"/>
          <w:b w:val="0"/>
          <w:i/>
          <w:sz w:val="19"/>
        </w:rPr>
        <w:t>SpaceXAI</w:t>
      </w:r>
      <w:r>
        <w:rPr>
          <w:rFonts w:ascii="Arial" w:hAnsi="Arial"/>
          <w:b w:val="0"/>
          <w:i w:val="0"/>
          <w:sz w:val="19"/>
        </w:rPr>
        <w:t xml:space="preserve"> (Anthropic-Umsatz nach </w:t>
      </w:r>
      <w:r>
        <w:rPr>
          <w:rFonts w:ascii="Arial" w:hAnsi="Arial"/>
          <w:b w:val="0"/>
          <w:i/>
          <w:sz w:val="19"/>
        </w:rPr>
        <w:t>Fortune</w:t>
      </w:r>
      <w:r>
        <w:rPr>
          <w:rFonts w:ascii="Arial" w:hAnsi="Arial"/>
          <w:b w:val="0"/>
          <w:i w:val="0"/>
          <w:sz w:val="19"/>
        </w:rPr>
        <w:t xml:space="preserve">-Berichterstattung im selben Quartal rund 80-fach gestiegen) sowie der Konkretisierung des Korinek-Lockwood-Papiers </w:t>
      </w:r>
      <w:r>
        <w:rPr>
          <w:rFonts w:ascii="Arial" w:hAnsi="Arial"/>
          <w:b w:val="0"/>
          <w:i/>
          <w:sz w:val="19"/>
        </w:rPr>
        <w:t>„Public Finance in the Age of AI: A Primer"</w:t>
      </w:r>
      <w:r>
        <w:rPr>
          <w:rFonts w:ascii="Arial" w:hAnsi="Arial"/>
          <w:b w:val="0"/>
          <w:i w:val="0"/>
          <w:sz w:val="19"/>
        </w:rPr>
        <w:t xml:space="preserve"> als formelles NBER Working Paper 34873 (DOI 10.3386/w34873) mit konferenzgebundener Diskussionspapier-Veröffentlichung im NBER-System (zusätzlich zur Brookings-Erstpublikation vom 8. Januar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