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21./24. April 2026 mit dem umfassenderen </w:t>
      </w:r>
      <w:r>
        <w:rPr>
          <w:rFonts w:ascii="Arial" w:hAnsi="Arial"/>
          <w:b w:val="0"/>
          <w:i/>
          <w:sz w:val="19"/>
        </w:rPr>
        <w:t>SB 2</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(24. April 2026). </w:t>
      </w:r>
      <w:r>
        <w:rPr>
          <w:rFonts w:ascii="Arial" w:hAnsi="Arial"/>
          <w:b w:val="0"/>
          <w:i/>
          <w:sz w:val="19"/>
        </w:rPr>
        <w:t>Senate Bill 2 — An Act Concerning Artificial Intelligence (Frontier Models, AI Sandbox, Advisory Council).</w:t>
      </w:r>
      <w:r>
        <w:rPr>
          <w:rFonts w:ascii="Arial" w:hAnsi="Arial"/>
          <w:b w:val="0"/>
          <w:i w:val="0"/>
          <w:sz w:val="19"/>
        </w:rPr>
        <w:t xml:space="preserve"> Senatsabstimmung 32 zu 4. https://legiscan.com/CT/bill/SB00002/2025</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2. https://ctmirror.org/2026/04/21/artificial-intelligence-regulation-senate-ct/</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3. Mai 2026) wieder. Die Debatte entwickelt sich dynamisch, insbesondere im Zuge der OpenAI-Strategiepapiere und der Eröffnung des OpenAI Workshop in Washington, D.C. im Mai 2026, der ersten Bundesratslesung des GKV-Beitragssatzstabilisierungsgesetzes am 8. Mai 2026 (Kabinettsbeschluss 29. April 2026, parlamentarische Behandlung vor der Sommerpause 2026 angekündigt), der laufenden Trilog-Verhandlungen zum Digital Omnibus on AI (zweite Runde 28. April 2026 ohne Einigung; nächste Runde 13. Mai 2026), der für den 5. Mai 2026 angesetzten Arraignment-Verhandlung im Altman-Verfahren,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sowie der Tech-Layoff-Trackerstände vom 2. Mai 2026 (SkillSyncer 113.863 Beschäftigte aus 179 Layoff-Ereignissen, TrueUp 95.878 Personen aus 249 Meldungen).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