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ein zweiter Trilogtermin ist für den 28. April 2026 vorgesehen, mit dem Ziel, einen förmlichen Rechtsakt noch vor dem ursprünglichen Stichtag am 2. August 2026 zu verabschieden.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(April 2026) berichtete Weimer über eine „breite parlamentarische Mehrheit" für die Abgabe.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 die Legislative in Maine Anfang April 2026 ein landesweites Moratorium für große KI-Rechenzentren (Last ≥ 20 Megawatt) bis zum 1. November 2027 beschlossen und ein „Maine Data Center Coordination Council" zur Vorbereitung einer Dauerregulierung eingesetzt. Gouverneurin Janet Mills signalisierte Prüfungsbedarf — insbesondere im Hinblick auf eine Ausnahme für einen industriepolitisch motivierten Standort in Jay — und hat bis 25. April 2026 Zeit, zu unterzeichnen, ihr Veto einzulegen oder das Gesetz ohne Unterschrift in Kraft treten zu lassen. Der Vorgang illustriert, dass parallel zur ausstehenden Bundesgesetzgebung eine staatliche Ebene bereits beginnt, regulatorische Fakten zu schaffen — ein Muster, das aus der Digitalsteuer- und Datenschutzgesetzgebung bekannt ist und für KI-spezifische steuerliche Anknüpfungspunkte (etwa Nutzungs- oder Standortsabgaben auf Rechenzentren) einen Präzedenzraum öffnet.</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Gesetzentwurf; Anschreiben an die Gouverneurin zum 15. April 2026.</w:t>
      </w:r>
    </w:p>
    <w:p>
      <w:pPr>
        <w:jc w:val="both"/>
      </w:pPr>
      <w:r>
        <w:rPr>
          <w:rFonts w:ascii="Arial" w:hAnsi="Arial"/>
          <w:b w:val="0"/>
          <w:i w:val="0"/>
          <w:sz w:val="19"/>
        </w:rPr>
        <w:t xml:space="preserve">Europäisches Parlament / Rat der EU. (April 2026). </w:t>
      </w:r>
      <w:r>
        <w:rPr>
          <w:rFonts w:ascii="Arial" w:hAnsi="Arial"/>
          <w:b w:val="0"/>
          <w:i/>
          <w:sz w:val="19"/>
        </w:rPr>
        <w:t>Trilog zu Digital Omnibus on AI — Verhandlungsstand.</w:t>
      </w:r>
      <w:r>
        <w:rPr>
          <w:rFonts w:ascii="Arial" w:hAnsi="Arial"/>
          <w:b w:val="0"/>
          <w:i w:val="0"/>
          <w:sz w:val="19"/>
        </w:rPr>
        <w:t xml:space="preserve"> Legislative Train Schedule.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