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 xml:space="preserve">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ergänzend hat die OECD am 30. April 2026 einen </w:t>
      </w:r>
      <w:r>
        <w:rPr>
          <w:rFonts w:ascii="Arial" w:hAnsi="Arial"/>
          <w:b w:val="0"/>
          <w:i/>
          <w:sz w:val="19"/>
        </w:rPr>
        <w:t>Global Minimum Tax Implementation Toolkit</w:t>
      </w:r>
      <w:r>
        <w:rPr>
          <w:rFonts w:ascii="Arial" w:hAnsi="Arial"/>
          <w:b w:val="0"/>
          <w:i w:val="0"/>
          <w:sz w:val="19"/>
        </w:rPr>
        <w:t xml:space="preserve"> als Hilfsinstrument für Steuerverwaltungen und Politik veröffentlicht, das die GloBE-Modellregeln nicht ändert, sondern bestehende Leitlinien zusammenführt.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i w:val="0"/>
          <w:sz w:val="19"/>
        </w:rPr>
        <w:t>EU Digital Omnibus on AI — Trilog-Einigung vom 7. Mai 2026:</w:t>
      </w:r>
      <w:r>
        <w:rPr>
          <w:rFonts w:ascii="Arial" w:hAnsi="Arial"/>
          <w:b w:val="0"/>
          <w:i w:val="0"/>
          <w:sz w:val="19"/>
        </w:rPr>
        <w:t xml:space="preserve"> In der Nacht zum 7. Mai 2026 erzielten Rat und Parlament im dritten politischen Trilog eine vorläufige Einigung über den </w:t>
      </w:r>
      <w:r>
        <w:rPr>
          <w:rFonts w:ascii="Arial" w:hAnsi="Arial"/>
          <w:b w:val="0"/>
          <w:i/>
          <w:sz w:val="19"/>
        </w:rPr>
        <w:t>Digital Omnibus on AI</w:t>
      </w:r>
      <w:r>
        <w:rPr>
          <w:rFonts w:ascii="Arial" w:hAnsi="Arial"/>
          <w:b w:val="0"/>
          <w:i w:val="0"/>
          <w:sz w:val="19"/>
        </w:rPr>
        <w:t xml:space="preserve"> — und damit zwei Wochen vor dem zuvor terminierten Folgetrilog am 13. Mai 2026, dessen Notwendigkeit durch die rechtzeitige Einigung entfiel. Kernpunkt ist die Verschiebung der Anwendbarkeit der Hochrisiko-Pflichten des AI Act: Die Vorgaben für Annex-III-Anwendungen (u. a. KI in Beschäftigungsentscheidungen, Bonität, Bildung) gelten nun ab 2. Dezember 2027 statt 2. August 2026, die für in sektoraler Sicherheitsregulierung eingebettete Annex-I-Systeme ab 2. August 2028. Inhaltlich ergänzt der Kompromiss eine neue Verbotsvorschrift in Art. 5 (Generierung kindesmissbräuchlichen Materials und nicht einvernehmlicher intimer Bilder; Compliance-Frist 2. Dezember 2026), führt die Pflicht zur Eintragung von Hochrisiko-Systemen in die EU-Datenbank zurück und löst den Streit aus dem zweiten Trilog vom 28. April 2026 über die Konformitätsbewertungs-Architektur in Annex I. Das Wasserzeichengebot nach Art. 50 Abs. 2 für synthetische Audio-, Bild-, Video- oder Textinhalte bleibt zum 2. August 2026 anwendbar; Bestandssysteme erhalten eine Übergangsfrist bis 2. Dezember 2026. Einzelne Erleichterungen für KMU werden auf </w:t>
      </w:r>
      <w:r>
        <w:rPr>
          <w:rFonts w:ascii="Arial" w:hAnsi="Arial"/>
          <w:b w:val="0"/>
          <w:i/>
          <w:sz w:val="19"/>
        </w:rPr>
        <w:t>small mid-cap</w:t>
      </w:r>
      <w:r>
        <w:rPr>
          <w:rFonts w:ascii="Arial" w:hAnsi="Arial"/>
          <w:b w:val="0"/>
          <w:i w:val="0"/>
          <w:sz w:val="19"/>
        </w:rPr>
        <w:t xml:space="preserve">-Unternehmen ausgeweitet. Der formale Beschluss durch beide Co-Gesetzgeber soll vor dem 2. August 2026 erfolgen. Für die hier geführte Steuerdebatte ist der Kompromiss in zweifacher Hinsicht relevant: Erstens verschiebt der Aufschub den regulatorischen Ankerpunkt für die Hochrisiko-Klassifizierung beschäftigungsbezogener KI — die Dichte an dokumentationspflichtigen KI-Einsatzfällen, die einen </w:t>
      </w:r>
      <w:r>
        <w:rPr>
          <w:rFonts w:ascii="Arial" w:hAnsi="Arial"/>
          <w:b w:val="0"/>
          <w:i/>
          <w:sz w:val="19"/>
        </w:rPr>
        <w:t>Disclosure</w:t>
      </w:r>
      <w:r>
        <w:rPr>
          <w:rFonts w:ascii="Arial" w:hAnsi="Arial"/>
          <w:b w:val="0"/>
          <w:i w:val="0"/>
          <w:sz w:val="19"/>
        </w:rPr>
        <w:t>-basierten Anknüpfungspunkt für eine zielgerichtete Ersatzabgabe (Typ 5 nach § 2.1, vgl. § 9.1) liefern könnten, entsteht damit europarechtlich erst ab Ende 2027. Zweitens schließt der Aufschub die zeitliche Lücke zur in § 4.5 dokumentierten US-bundesstaatlichen Connecticut-Regelung (</w:t>
      </w:r>
      <w:r>
        <w:rPr>
          <w:rFonts w:ascii="Arial" w:hAnsi="Arial"/>
          <w:b w:val="0"/>
          <w:i/>
          <w:sz w:val="19"/>
        </w:rPr>
        <w:t>SB 5</w:t>
      </w:r>
      <w:r>
        <w:rPr>
          <w:rFonts w:ascii="Arial" w:hAnsi="Arial"/>
          <w:b w:val="0"/>
          <w:i w:val="0"/>
          <w:sz w:val="19"/>
        </w:rPr>
        <w:t xml:space="preserve">; </w:t>
      </w:r>
      <w:r>
        <w:rPr>
          <w:rFonts w:ascii="Arial" w:hAnsi="Arial"/>
          <w:b w:val="0"/>
          <w:i/>
          <w:sz w:val="19"/>
        </w:rPr>
        <w:t>AI/Technology-Change-Disclosure</w:t>
      </w:r>
      <w:r>
        <w:rPr>
          <w:rFonts w:ascii="Arial" w:hAnsi="Arial"/>
          <w:b w:val="0"/>
          <w:i w:val="0"/>
          <w:sz w:val="19"/>
        </w:rPr>
        <w:t xml:space="preserve"> in WARN-Mitteilungen ab 1. Oktober 2026): Während Connecticut die Aggregat-Datenquelle für KI-bezogenen Stellenabbau ein gutes Jahr früher etablieren würde, wird die EU-weite Anbieterpflicht für Hochrisiko-KI in Beschäftigungsentscheidungen erst kurz danach wirksam — eine zeitlich gestaffelte, transatlantisch komplementäre Mess-Infrastruktur, deren steuerpolitische Nutzbarmachung jedoch in beiden Räumen weiterhin offen ist.</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Bundesrat-Beschluss Altersvorsorgedepot (8. Mai 2026):</w:t>
      </w:r>
      <w:r>
        <w:rPr>
          <w:rFonts w:ascii="Arial" w:hAnsi="Arial"/>
          <w:b w:val="0"/>
          <w:i w:val="0"/>
          <w:sz w:val="19"/>
        </w:rPr>
        <w:t xml:space="preserve"> Der Bundesrat hat in seiner 1065. Sitzung am 8. Mai 2026 die </w:t>
      </w:r>
      <w:r>
        <w:rPr>
          <w:rFonts w:ascii="Arial" w:hAnsi="Arial"/>
          <w:b w:val="0"/>
          <w:i/>
          <w:sz w:val="19"/>
        </w:rPr>
        <w:t>Reform der privaten Altersvorsorge</w:t>
      </w:r>
      <w:r>
        <w:rPr>
          <w:rFonts w:ascii="Arial" w:hAnsi="Arial"/>
          <w:b w:val="0"/>
          <w:i w:val="0"/>
          <w:sz w:val="19"/>
        </w:rPr>
        <w:t xml:space="preserve"> gebilligt, die der Bundestag am 27. März 2026 verabschiedet hatte; sie ersetzt die Riester-Rente ab dem 1. Januar 2027 durch ein staatlich gefördertes </w:t>
      </w:r>
      <w:r>
        <w:rPr>
          <w:rFonts w:ascii="Arial" w:hAnsi="Arial"/>
          <w:b w:val="0"/>
          <w:i/>
          <w:sz w:val="19"/>
        </w:rPr>
        <w:t>Altersvorsorgedepot</w:t>
      </w:r>
      <w:r>
        <w:rPr>
          <w:rFonts w:ascii="Arial" w:hAnsi="Arial"/>
          <w:b w:val="0"/>
          <w:i w:val="0"/>
          <w:sz w:val="19"/>
        </w:rPr>
        <w:t xml:space="preserve">, in dem auch Aktien, Investmentfonds und ETFs (Exchange Traded Funds) ohne starre 100-Prozent-Garantie als geförderte Anlageform zugelassen werden. Die Förderung ist gestaffelt: 50 Cent je eingezahltem Euro bis 360 Euro Jahresbeitrag und 25 Cent darüber bis maximal 1.800 Euro, was den Grundzulagenrahmen auf rund 540 Euro pro Jahr anhebt. Bestehende Riester-Verträge werden mit Bestandsschutz weitergeführt. Für die Debatte um eine Beteiligung der Bürger an der KI-Wertschöpfung ist die Reform in zweifacher Hinsicht relevant: Sie öffnet erstmals breite, staatlich subventionierte Kapitalmarktbeteiligung als Säule der individuellen Vorsorge, und sie verfestigt zugleich den Pfad einer </w:t>
      </w:r>
      <w:r>
        <w:rPr>
          <w:rFonts w:ascii="Arial" w:hAnsi="Arial"/>
          <w:b w:val="0"/>
          <w:i/>
          <w:sz w:val="19"/>
        </w:rPr>
        <w:t>individuellen</w:t>
      </w:r>
      <w:r>
        <w:rPr>
          <w:rFonts w:ascii="Arial" w:hAnsi="Arial"/>
          <w:b w:val="0"/>
          <w:i w:val="0"/>
          <w:sz w:val="19"/>
        </w:rPr>
        <w:t xml:space="preserve"> Vermögensbildung neben dem 2024 begonnenen </w:t>
      </w:r>
      <w:r>
        <w:rPr>
          <w:rFonts w:ascii="Arial" w:hAnsi="Arial"/>
          <w:b w:val="0"/>
          <w:i/>
          <w:sz w:val="19"/>
        </w:rPr>
        <w:t>kollektiven</w:t>
      </w:r>
      <w:r>
        <w:rPr>
          <w:rFonts w:ascii="Arial" w:hAnsi="Arial"/>
          <w:b w:val="0"/>
          <w:i w:val="0"/>
          <w:sz w:val="19"/>
        </w:rPr>
        <w:t xml:space="preserve"> Generationenkapital. Im OpenAI-Vorschlag eines an Norwegen angelehnten Wohlstandsfonds sind beide Elemente nur kollektiv mitgedacht; die deutsche Architektur folgt mit Generationenkapital plus Altersvorsorgedepot demgegenüber einer zweistufigen Logik, die in § 8.3 weitergeführt wird. Vom Gegenstand her bleibt das Altersvorsorgedepot eine geförderte Privatanlage und damit kein Teilhabefonds an konkreter KI-Wertschöpfung; es liefert aber die finanzielle Infrastruktur — Depotpflichtigkeit, Förderlogik, Bestandsschutz — auf die ein späteres KI-Wertschöpfungs- oder Datenrohstoff-Dividendenmodell prozessual aufsetzen könnte.</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Europäische Kommission / Bird &amp; Bird / TechPolicy.Press / Modulos / NicFab / Timelex / DLA Piper. (7. Mai 2026). </w:t>
      </w:r>
      <w:r>
        <w:rPr>
          <w:rFonts w:ascii="Arial" w:hAnsi="Arial"/>
          <w:b w:val="0"/>
          <w:i/>
          <w:sz w:val="19"/>
        </w:rPr>
        <w:t>Digital Omnibus on AI Provisional Agreement Reached at the May Trilogue / What the EU AI Omnibus Deal Changes for the AI Act and What Lies Ahead / EU AI Act Delayed: The Omnibus Deal Closed on 7 May 2026 / Digital Omnibus on AI: the Provisional Agreement of 7 May 2026 / The AI Omnibus deal: what survived the trilogue?</w:t>
      </w:r>
      <w:r>
        <w:rPr>
          <w:rFonts w:ascii="Arial" w:hAnsi="Arial"/>
          <w:b w:val="0"/>
          <w:i w:val="0"/>
          <w:sz w:val="19"/>
        </w:rPr>
        <w:t xml:space="preserve"> Vorläufige Trilog-Einigung in der Nacht zum 7. Mai 2026: Verschiebung der Hochrisiko-Pflichten auf 2. Dezember 2027 (Annex III) und 2. August 2028 (Annex I); neue Art.-5-Verbote (CSAM und nicht einvernehmliche intime Bilder, Compliance-Frist 2. Dezember 2026); Wiederaufnahme der Pflicht zur Eintragung in die EU-Datenbank für Hochrisiko-Systeme; Klärung der Konformitätsbewertungs-Architektur für Annex I; Wasserzeichen-Pflicht (Art. 50 Abs. 2) bleibt zum 2. August 2026 anwendbar mit Übergangsfrist bis 2. Dezember 2026 für Bestandssysteme; einzelne KMU-Erleichterungen auf </w:t>
      </w:r>
      <w:r>
        <w:rPr>
          <w:rFonts w:ascii="Arial" w:hAnsi="Arial"/>
          <w:b w:val="0"/>
          <w:i/>
          <w:sz w:val="19"/>
        </w:rPr>
        <w:t>small mid-caps</w:t>
      </w:r>
      <w:r>
        <w:rPr>
          <w:rFonts w:ascii="Arial" w:hAnsi="Arial"/>
          <w:b w:val="0"/>
          <w:i w:val="0"/>
          <w:sz w:val="19"/>
        </w:rPr>
        <w:t xml:space="preserve"> ausgeweitet; formaler Beschluss vor 2. August 2026 vorgesehen. https://ec.europa.eu/commission/presscorner/detail/en/mex_26_1030 | https://www.twobirds.com/en/insights/2026/digital-omnibus-on-ai-provisional-agreement-reached-at-the-may-trilogue | https://www.techpolicy.press/what-the-eu-ai-omnibus-deal-changes-for-the-ai-act-and-what-lies-ahead/ | https://www.modulos.ai/blog/eu-ai-act-omnibus-deal/ | https://www.nicfab.eu/en/posts/digital-omnibus-ai-deal/ | https://www.timelex.eu/en/blog/ai-omnibus-deal-what-survived-trilogue</w:t>
      </w:r>
    </w:p>
    <w:p>
      <w:pPr>
        <w:jc w:val="both"/>
      </w:pPr>
      <w:r>
        <w:rPr>
          <w:rFonts w:ascii="Arial" w:hAnsi="Arial"/>
          <w:b w:val="0"/>
          <w:i w:val="0"/>
          <w:sz w:val="19"/>
        </w:rPr>
        <w:t xml:space="preserve">OECD. (30. April 2026). </w:t>
      </w:r>
      <w:r>
        <w:rPr>
          <w:rFonts w:ascii="Arial" w:hAnsi="Arial"/>
          <w:b w:val="0"/>
          <w:i/>
          <w:sz w:val="19"/>
        </w:rPr>
        <w:t>Global Minimum Tax Implementation Toolkit.</w:t>
      </w:r>
      <w:r>
        <w:rPr>
          <w:rFonts w:ascii="Arial" w:hAnsi="Arial"/>
          <w:b w:val="0"/>
          <w:i w:val="0"/>
          <w:sz w:val="19"/>
        </w:rPr>
        <w:t xml:space="preserve"> Hilfsinstrument für Steuerverwaltungen und Politik; ändert weder GloBE-Modellregeln noch Safe Harbours, sondern bündelt bestehende Leitlinien. https://www.oecd.org/en/topics/sub-issues/global-minimum-tax/global-anti-base-erosion-model-rules-pillar-two.html</w:t>
      </w:r>
    </w:p>
    <w:p>
      <w:pPr>
        <w:jc w:val="both"/>
      </w:pPr>
      <w:r>
        <w:rPr>
          <w:rFonts w:ascii="Arial" w:hAnsi="Arial"/>
          <w:b w:val="0"/>
          <w:i w:val="0"/>
          <w:sz w:val="19"/>
        </w:rPr>
        <w:t xml:space="preserve">Bundesrat / Deutsche Rentenversicherung Bund / Bundesregierung / Bundestag (HIB). (8. Mai 2026 / 27. März 2026). </w:t>
      </w:r>
      <w:r>
        <w:rPr>
          <w:rFonts w:ascii="Arial" w:hAnsi="Arial"/>
          <w:b w:val="0"/>
          <w:i/>
          <w:sz w:val="19"/>
        </w:rPr>
        <w:t>Reform der privaten Altersvorsorge: Bundesrat beschließt Riester-Nachfolge / Altersvorsorgedepot — staatlich geförderte Wertpapieranlage ohne 100-Prozent-Garantie ab 1. Januar 2027.</w:t>
      </w:r>
      <w:r>
        <w:rPr>
          <w:rFonts w:ascii="Arial" w:hAnsi="Arial"/>
          <w:b w:val="0"/>
          <w:i w:val="0"/>
          <w:sz w:val="19"/>
        </w:rPr>
        <w:t xml:space="preserve"> Bundesrat-Beschluss in der 1065. Sitzung am 8. Mai 2026 zu dem am 27. März 2026 vom Bundestag verabschiedeten Reformpaket; gestaffelte Förderung (50 Cent/Euro bis 360 Euro Jahresbeitrag, 25 Cent darüber bis 1.800 Euro; Grundzulage rund 540 Euro); Bestandsschutz für Riester-Verträge. https://www.deutsche-rentenversicherung.de/DRV/DE/Ueber-uns-und-Presse/Presse/Meldungen/2026/260508-bundesrat-reform-private-altersvorsorge.html | https://www.bundesregierung.de/breg-de/aktuelles/reform-private-altersvorsorge-2400072 | https://www.bundestag.de/dokumente/textarchiv/2026/kw13-de-altersvorsorge-1156798</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Anfang/Mitte Mai 2026 (Schnitt am 10. Mai 2026 — Lauf 001 vom 10. Mai 2026) wieder. Die Debatte entwickelt sich dynamisch, insbesondere im Zuge der OpenAI-Strategiepapiere und der Eröffnung des OpenAI Workshop in Washington, D.C. im Mai 2026, des Erstdurchgangs des GKV-Beitragssatzstabilisierungsgesetzes in der 1065. Bundesratssitzung am 8. Mai 2026 (Kabinettsbeschluss 29. April 2026, parlamentarische Behandlung vor der Sommerpause 2026 angekündigt), des in derselben Bundesratssitzung beschlossenen </w:t>
      </w:r>
      <w:r>
        <w:rPr>
          <w:rFonts w:ascii="Arial" w:hAnsi="Arial"/>
          <w:b w:val="0"/>
          <w:i/>
          <w:sz w:val="19"/>
        </w:rPr>
        <w:t>Altersvorsorgedepots</w:t>
      </w:r>
      <w:r>
        <w:rPr>
          <w:rFonts w:ascii="Arial" w:hAnsi="Arial"/>
          <w:b w:val="0"/>
          <w:i w:val="0"/>
          <w:sz w:val="19"/>
        </w:rPr>
        <w:t xml:space="preserve"> als Riester-Nachfolge (Inkrafttreten 1. Januar 2027, gestaffelte Förderung 50 Cent/Euro bis 360 Euro und 25 Cent darüber bis 1.800 Euro, geförderte ETF-/Aktien-/Fonds-Anlage ohne 100-Prozent-Garantie, Bestandsschutz für Riester-Verträge), der vorläufigen Trilog-Einigung über den </w:t>
      </w:r>
      <w:r>
        <w:rPr>
          <w:rFonts w:ascii="Arial" w:hAnsi="Arial"/>
          <w:b w:val="0"/>
          <w:i/>
          <w:sz w:val="19"/>
        </w:rPr>
        <w:t>Digital Omnibus on AI</w:t>
      </w:r>
      <w:r>
        <w:rPr>
          <w:rFonts w:ascii="Arial" w:hAnsi="Arial"/>
          <w:b w:val="0"/>
          <w:i w:val="0"/>
          <w:sz w:val="19"/>
        </w:rPr>
        <w:t xml:space="preserve"> in der Nacht zum 7. Mai 2026 (Verschiebung der Hochrisiko-Pflichten auf 2. Dezember 2027 (Annex III) und 2. August 2028 (Annex I); neue Art.-5-Verbote für CSAM und nicht einvernehmliche intime Bilder mit Compliance-Frist 2. Dezember 2026; Wiederaufnahme der Pflicht zur Eintragung in die EU-Datenbank; Konformitätsbewertungs-Architektur für Annex I geklärt; Wasserzeichen-Pflicht nach Art. 50 Abs. 2 bleibt zum 2. August 2026 anwendbar mit Übergangsfrist bis 2. Dezember 2026 für Bestandssysteme; einzelne KMU-Erleichterungen auf </w:t>
      </w:r>
      <w:r>
        <w:rPr>
          <w:rFonts w:ascii="Arial" w:hAnsi="Arial"/>
          <w:b w:val="0"/>
          <w:i/>
          <w:sz w:val="19"/>
        </w:rPr>
        <w:t>small mid-caps</w:t>
      </w:r>
      <w:r>
        <w:rPr>
          <w:rFonts w:ascii="Arial" w:hAnsi="Arial"/>
          <w:b w:val="0"/>
          <w:i w:val="0"/>
          <w:sz w:val="19"/>
        </w:rPr>
        <w:t xml:space="preserve"> ausgeweitet; formaler Beschluss vor 2. August 2026 vorgesehen), des am 30. April 2026 von der OECD veröffentlichten </w:t>
      </w:r>
      <w:r>
        <w:rPr>
          <w:rFonts w:ascii="Arial" w:hAnsi="Arial"/>
          <w:b w:val="0"/>
          <w:i/>
          <w:sz w:val="19"/>
        </w:rPr>
        <w:t>Global Minimum Tax Implementation Toolkit</w:t>
      </w:r>
      <w:r>
        <w:rPr>
          <w:rFonts w:ascii="Arial" w:hAnsi="Arial"/>
          <w:b w:val="0"/>
          <w:i w:val="0"/>
          <w:sz w:val="19"/>
        </w:rPr>
        <w:t xml:space="preserve"> als Bündelung bestehender Pillar-2-Leitlinien für Steuerverwaltungen,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