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71.0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Eine erneute Fortschreibung zum 19. Juli 2026 hebt den </w:t>
      </w:r>
      <w:r>
        <w:rPr>
          <w:rFonts w:ascii="Arial" w:hAnsi="Arial"/>
          <w:b w:val="0"/>
          <w:i/>
          <w:sz w:val="19"/>
        </w:rPr>
        <w:t>SkillSyncer</w:t>
      </w:r>
      <w:r>
        <w:rPr>
          <w:rFonts w:ascii="Arial" w:hAnsi="Arial"/>
          <w:b w:val="0"/>
          <w:i w:val="0"/>
          <w:sz w:val="19"/>
        </w:rPr>
        <w:t xml:space="preserve">-Stand auf 302 Layoff-Ereignisse mit 201.754 betroffenen Beschäftigten (rund 1.024 Stellen pro Tag; +35 Ereignisse und +15.860 Personen gegenüber dem 9. Juli 2026) und weist zugleich 164 KI-attribuierte Einzelereignisse mit rund 168.770 betroffenen Beschäftigten aus — die Aggregat-KI-Kausalquote sinkt damit tendenziell von 56 auf 54 %, während die Zahl der KI-attribuierten Betroffenen von 156.270 auf 168.770 steigt; die Fortschreibung bestätigt die Beobachtung, dass die 54-%-Quote inzwischen als stabile obere Grenze der Aggregat-Attribution durch den Tracker anzusehen ist, ohne die in § 9.1 dokumentierten Attribuierungs­grenzen aufzulösen. Die nochmalige Aktualisierung zum 22. Juli 2026 hebt den </w:t>
      </w:r>
      <w:r>
        <w:rPr>
          <w:rFonts w:ascii="Arial" w:hAnsi="Arial"/>
          <w:b w:val="0"/>
          <w:i/>
          <w:sz w:val="19"/>
        </w:rPr>
        <w:t>SkillSyncer</w:t>
      </w:r>
      <w:r>
        <w:rPr>
          <w:rFonts w:ascii="Arial" w:hAnsi="Arial"/>
          <w:b w:val="0"/>
          <w:i w:val="0"/>
          <w:sz w:val="19"/>
        </w:rPr>
        <w:t xml:space="preserve">-Stand auf 322 Layoff-Ereignisse mit 205.832 betroffenen Beschäftigten (rund 1.014 Stellen pro Tag; +20 Ereignisse und +4.078 Personen gegenüber dem 19. Juli 2026) und weist 173 KI-attribuierte Einzelereignisse mit rund 170.945 betroffenen Beschäftigten aus — die Aggregat-KI-Kausalquote bleibt stabil bei 54 %, die absolute Zahl KI-attribuierter Ereignisse steigt um neun (+5,5 %), die Zahl KI-attribuierter Betroffener um 2.175 (+1,3 %); die Fortschreibung untermauert die stabile Position der 54-%-Quote als obere Aggregat-Attributionsgrenze und dokumentiert eine gleichmäßige, nicht sprunghafte Weiterrollung der Trackerbasis um rund 700 Stellen pro Tag im 72-Stunden-Fenster. Am 22. Juli 2026 verdichten zwei parallele Ankündigungen aus Cluster F die Trackerbasis um zwei substanziell KI-getriebene Einzelereignisse: Nach Berichterstattung von GeekWire, KUOW, Fox Business, Fox13 Seattle und Business Insider hat </w:t>
      </w:r>
      <w:r>
        <w:rPr>
          <w:rFonts w:ascii="Arial" w:hAnsi="Arial"/>
          <w:b w:val="0"/>
          <w:i/>
          <w:sz w:val="19"/>
        </w:rPr>
        <w:t>Meta</w:t>
      </w:r>
      <w:r>
        <w:rPr>
          <w:rFonts w:ascii="Arial" w:hAnsi="Arial"/>
          <w:b w:val="0"/>
          <w:i w:val="0"/>
          <w:sz w:val="19"/>
        </w:rPr>
        <w:t xml:space="preserve"> zum Wirksamkeitsstichtag 22. Juli 2026 (Ankündigungsmail an die Belegschaft 20. Mai 2026) rund 1.395 Beschäftigte im US-Bundesstaat Washington entlassen — nach der Aufschlüsselung aus Bellevue (699), Seattle (259 aus zwei Büros), Redmond (206) und Remote-Positionen (231) — als Teil des im Mai 2026 gestarteten konzernweiten 8.000-Stellen-Restrukturierungsprogramms zur Umschichtung „hin zu geschäftskritischen Prioritäten"; das Konzernstatement („The changes we are implementing vary by team and include layoffs, open role closures and moving thousands of employees to business critical priorities across the company") verankert den Vorgang wortgleich in der bereits in § 3.5 und § 8.3 diskutierten AI-Reorganisationslogik, das Abfindungspaket umfasst 16 Wochen Grundvergütung plus zwei Wochen pro Dienstjahr bei einer globalen März-2026-Belegschaft von knapp 78.000 Beschäftigten. Parallel dazu hat </w:t>
      </w:r>
      <w:r>
        <w:rPr>
          <w:rFonts w:ascii="Arial" w:hAnsi="Arial"/>
          <w:b w:val="0"/>
          <w:i/>
          <w:sz w:val="19"/>
        </w:rPr>
        <w:t>Amazon</w:t>
      </w:r>
      <w:r>
        <w:rPr>
          <w:rFonts w:ascii="Arial" w:hAnsi="Arial"/>
          <w:b w:val="0"/>
          <w:i w:val="0"/>
          <w:sz w:val="19"/>
        </w:rPr>
        <w:t xml:space="preserve"> am selben 22. Juli 2026 nach CNBC-, Yahoo-Finance- und American-Bazaar-Berichterstattung Streichungen in der </w:t>
      </w:r>
      <w:r>
        <w:rPr>
          <w:rFonts w:ascii="Arial" w:hAnsi="Arial"/>
          <w:b w:val="0"/>
          <w:i/>
          <w:sz w:val="19"/>
        </w:rPr>
        <w:t>Artificial-General-Intelligence</w:t>
      </w:r>
      <w:r>
        <w:rPr>
          <w:rFonts w:ascii="Arial" w:hAnsi="Arial"/>
          <w:b w:val="0"/>
          <w:i w:val="0"/>
          <w:sz w:val="19"/>
        </w:rPr>
        <w:t xml:space="preserve">-Organisation angekündigt — jener Einheit, die für die </w:t>
      </w:r>
      <w:r>
        <w:rPr>
          <w:rFonts w:ascii="Arial" w:hAnsi="Arial"/>
          <w:b w:val="0"/>
          <w:i/>
          <w:sz w:val="19"/>
        </w:rPr>
        <w:t>Nova</w:t>
      </w:r>
      <w:r>
        <w:rPr>
          <w:rFonts w:ascii="Arial" w:hAnsi="Arial"/>
          <w:b w:val="0"/>
          <w:i w:val="0"/>
          <w:sz w:val="19"/>
        </w:rPr>
        <w:t xml:space="preserve">-Foundation-Modelle (unter anderem </w:t>
      </w:r>
      <w:r>
        <w:rPr>
          <w:rFonts w:ascii="Arial" w:hAnsi="Arial"/>
          <w:b w:val="0"/>
          <w:i/>
          <w:sz w:val="19"/>
        </w:rPr>
        <w:t>Amazon Nova Act</w:t>
      </w:r>
      <w:r>
        <w:rPr>
          <w:rFonts w:ascii="Arial" w:hAnsi="Arial"/>
          <w:b w:val="0"/>
          <w:i w:val="0"/>
          <w:sz w:val="19"/>
        </w:rPr>
        <w:t xml:space="preserve">) sowie für Silizium- und Quantencomputing-Programme zuständig ist und in den vorangegangenen Monaten die Abgänge der Führungskräfte Rohit Prasad und David Luan verzeichnete; die Streichungen betreffen die Teams der Vice Presidents Adeeb Shanaa (AGI Data Services) und Vishal Sharma (AGI Information) und werden vom Konzern ohne konkrete Personenanzahl kommuniziert, jedoch als strategische Verschiebung „hin zu kundenzentrierter KI" begründet, wörtlich: „This is a fast-moving space, and we're sharpening our focus on the initiatives that matter most for customers, so we can move faster on what counts." Die Streichungen fallen in einen Zeitraum, in dem AWS parallel eine Milliarden-US-Dollar-Initiative zur Einbettung eigener Ingenieurinnen und Ingenieure in Enterprise-Kundenprojekte für agentische KI-Systeme aufsetzt; betroffene US-Beschäftigte erhalten 90 Tage Gehalts- und Leistungsfortzahlung, Outplacement-Zugang sowie einen Übergangsanspruch auf Krankenversicherung. Die beiden Ankündigungen fügen sich in die in § 3.4 referierte Rebound-Beobachtung insofern ein, als </w:t>
      </w:r>
      <w:r>
        <w:rPr>
          <w:rFonts w:ascii="Arial" w:hAnsi="Arial"/>
          <w:b w:val="0"/>
          <w:i/>
          <w:sz w:val="19"/>
        </w:rPr>
        <w:t>Amazon</w:t>
      </w:r>
      <w:r>
        <w:rPr>
          <w:rFonts w:ascii="Arial" w:hAnsi="Arial"/>
          <w:b w:val="0"/>
          <w:i w:val="0"/>
          <w:sz w:val="19"/>
        </w:rPr>
        <w:t xml:space="preserve"> seine strategische Neuausrichtung ausdrücklich auf Deployment statt Grundlagenforschung verlagert, während </w:t>
      </w:r>
      <w:r>
        <w:rPr>
          <w:rFonts w:ascii="Arial" w:hAnsi="Arial"/>
          <w:b w:val="0"/>
          <w:i/>
          <w:sz w:val="19"/>
        </w:rPr>
        <w:t>Meta</w:t>
      </w:r>
      <w:r>
        <w:rPr>
          <w:rFonts w:ascii="Arial" w:hAnsi="Arial"/>
          <w:b w:val="0"/>
          <w:i w:val="0"/>
          <w:sz w:val="19"/>
        </w:rPr>
        <w:t xml:space="preserve"> im Rahmen desselben AI-Restrukturierungsprogramms rund 7.000 Beschäftigte in neu geschaffene AI-Rollen umschichtet — die Kausalattributions-Grenze zwischen KI-Verdrängung und strategischem Portfolio-Wechsel innerhalb desselben Konzerns bleibt damit auch am aktuellen Rand präsent. Diese binnenwirtschaftliche Kausalunschärfe wird durch eine am 17. Juli 2026 vom US-Board of Governors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der Federal-Reserve-Ökonominnen und -Ökonomen Paul E. Soto, Mason Thieu und Jeffrey S. Allen aggregiert und institutionalisiert: Die Autoren ordnen die aktuelle Phase — bei zugleich anhaltend hohem Capex-Wachstum der Hyperscaler und rasch steigenden Adoptionsraten — als „Buildout-Phase" ein, in der die makroökonomischen Arbeitsmarkteffekte „konzentriert bleiben und sich im Aggregat noch nicht verbreitert haben"; die Produktivitätstrends zwischen Sektoren mit hoher (Information, Finanzen, professionelle Dienstleistungen), mittlerer (Verarbeitendes Gewerbe, Handel) und niedriger KI-Exposition (Bau, Gastgewerbe, Verkehr) hätten sich „relativ konsistent über die Zeit" entwickelt — ein Befund, den die Autoren als „Mikro-Ebenen-Produktivitätsgewinne, die sich im Aggregat noch nicht summieren" bezeichnen. Für die Arbeitsmarktseite dokumentiert die Note eine Zweiteilung nach Altersgruppen: Bei jüngeren Beschäftigten (20 – 24 Jahre) zeige sich der KI-Effekt „primär in verlangsamter Einstellungsdynamik statt in unmittelbaren Entlassungen" (Referenz: Lichtinger &amp; Hosseini Maasoum 2025), während für Erwerbspersonen im Haupterwerbsalter (25 – 54 Jahre) kein vergleichbares Signal identifiziert werde; die höchste sektorale Exposition liege bei Programmier- und Analysetätigkeiten (NAICS 51 Information, NAICS 54 Professional/Technical Services). Für die Steuerdebatte wirkt die Fed-Note in doppelter Weise: Sie stützt die in § 8.3 dokumentierte Diagnose, dass die Beitragsseite der lohnbasierten Sozialversicherung sich strukturell schneller erodiert als die aggregierte Statistik derzeit ausweist — der Aggregatbefund maskiere „kompositionelle Verschiebungen, die möglicherweise mit KI zusammenhängen" — und stützt zugleich die in § 9.1 dokumentierte Kausalattributionsproblematik einer engen Typ-5-Ersatzabgabe, weil auf der Ebene US-weiter administrativer Daten die Attribution „Verdrängung / verlangsamte Einstellung / Restrukturierung / Sektor-Reallokation" noch nicht trennscharf isolierbar ist.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Diese binnenwirtschaftliche Grundlagenspannung wird durch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(BMWK) im amtlichen Standbericht bestätigt: Die Erwerbstätigkeit sank im Mai 2026 um 8.000 Personen, die sozialversicherungspflichtige Beschäftigung im April 2026 um 5.000 Personen, während die Arbeitslosigkeit im Juni stabil blieb; das Ministerium ordnet die Perspektive als „noch keine Verbesserung der Arbeitsmarktperspektiven" ein und benennt „die zunehmende Bedeutung künstlicher Intelligenz und den demografischen Wandel" ausdrücklich als strukturelle Herausforderungen. Zugleich hebt der Bericht hervor, dass „die starke Handelsdynamik in Asien im Zusammenhang mit dem KI-Boom" den Welthandel stützt und im Mai 2026 zu einem Anstieg der Exporte von Datenverarbeitungsgeräten um 2,3 % beigetragen hat — die KI-Nachfrage wird damit erstmals auf amtlicher Ebene als eigenständiger, kurzfristig konjunkturstützender Faktor in einer Monatsbetrachtung aus­gewiesen. In derselben Woche verdichtet sich die Personal­reduktions­seite auf der Hardware-Achse durch eine mit WARN-Notice hinterlegte Intel-Layoff-Runde: Nach der Bericht­erstattung von KATU, KOIN, KGW und Data Center Dynamics werden zum 15. Juli 2026 rund 2.392 Beschäftigte an vier Intel-Standorten im Großraum Portland (Aloha, Ronler Acres, Hawthorne Farms und Jones Farm) entlassen; nach dem Layoff-Aggregat byteiota entfallen davon 412 </w:t>
      </w:r>
      <w:r>
        <w:rPr>
          <w:rFonts w:ascii="Arial" w:hAnsi="Arial"/>
          <w:b w:val="0"/>
          <w:i/>
          <w:sz w:val="19"/>
        </w:rPr>
        <w:t>Module Equipment Technicians</w:t>
      </w:r>
      <w:r>
        <w:rPr>
          <w:rFonts w:ascii="Arial" w:hAnsi="Arial"/>
          <w:b w:val="0"/>
          <w:i w:val="0"/>
          <w:sz w:val="19"/>
        </w:rPr>
        <w:t xml:space="preserve">, 307 </w:t>
      </w:r>
      <w:r>
        <w:rPr>
          <w:rFonts w:ascii="Arial" w:hAnsi="Arial"/>
          <w:b w:val="0"/>
          <w:i/>
          <w:sz w:val="19"/>
        </w:rPr>
        <w:t>Module Development Engineers</w:t>
      </w:r>
      <w:r>
        <w:rPr>
          <w:rFonts w:ascii="Arial" w:hAnsi="Arial"/>
          <w:b w:val="0"/>
          <w:i w:val="0"/>
          <w:sz w:val="19"/>
        </w:rPr>
        <w:t xml:space="preserve">, 148 </w:t>
      </w:r>
      <w:r>
        <w:rPr>
          <w:rFonts w:ascii="Arial" w:hAnsi="Arial"/>
          <w:b w:val="0"/>
          <w:i/>
          <w:sz w:val="19"/>
        </w:rPr>
        <w:t>Module Engineers</w:t>
      </w:r>
      <w:r>
        <w:rPr>
          <w:rFonts w:ascii="Arial" w:hAnsi="Arial"/>
          <w:b w:val="0"/>
          <w:i w:val="0"/>
          <w:sz w:val="19"/>
        </w:rPr>
        <w:t xml:space="preserve"> sowie eine Reihe von </w:t>
      </w:r>
      <w:r>
        <w:rPr>
          <w:rFonts w:ascii="Arial" w:hAnsi="Arial"/>
          <w:b w:val="0"/>
          <w:i/>
          <w:sz w:val="19"/>
        </w:rPr>
        <w:t>Process Integration Engineers</w:t>
      </w:r>
      <w:r>
        <w:rPr>
          <w:rFonts w:ascii="Arial" w:hAnsi="Arial"/>
          <w:b w:val="0"/>
          <w:i w:val="0"/>
          <w:sz w:val="19"/>
        </w:rPr>
        <w:t xml:space="preserve"> und </w:t>
      </w:r>
      <w:r>
        <w:rPr>
          <w:rFonts w:ascii="Arial" w:hAnsi="Arial"/>
          <w:b w:val="0"/>
          <w:i/>
          <w:sz w:val="19"/>
        </w:rPr>
        <w:t>Manufacturing Technicians</w:t>
      </w:r>
      <w:r>
        <w:rPr>
          <w:rFonts w:ascii="Arial" w:hAnsi="Arial"/>
          <w:b w:val="0"/>
          <w:i w:val="0"/>
          <w:sz w:val="19"/>
        </w:rPr>
        <w:t xml:space="preserve"> — ausdrücklich also die technischen Kernrollen der Chip-Fertigung, nicht administrative Rollen. Betroffene erhalten neun Wochen Gehalt und Leistungen; die Runde ordnet sich in die 2025/2026 unter CEO Lip-Bu Tan fortgesetzte Restrukturierung ein, die den globalen Personalbestand von rund 125.000 auf unter 100.000 senkt und ein zusätzliches Einsparziel von rund 1 Milliarde US-Dollar Betriebskosten für 2026 verfolgt. Ökonomischer Hintergrund ist der Verlust des Intel-Foundry-Segments von rund 3 Milliarden US-Dollar allein im zweiten Quartal 2025 sowie der weiterhin nur einprozentige Marktanteil von Intel im Segment der KI-Beschleuniger gegenüber rund 92 % von NVIDIA — die Layoff-Runde illustriert damit exemplarisch, dass die in § 8.2 dokumentierte Asymmetrie zwischen Hyperscaler-Capex und Personalreduktion inzwischen bis in die klassische Halbleiter­fertigung reicht und bei den Verlierern der KI-Konzentration nicht nur die Anwenderseite, sondern auch die vorgelagerte Produktions­schicht trifft. In derselben Woche verdichten zwei weitere Layoff-Ankündigungen aus dem Enterprise-Software- und Information-Services-Segment das Bild: Am 13. Juli 2026 berichteten </w:t>
      </w:r>
      <w:r>
        <w:rPr>
          <w:rFonts w:ascii="Arial" w:hAnsi="Arial"/>
          <w:b w:val="0"/>
          <w:i/>
          <w:sz w:val="19"/>
        </w:rPr>
        <w:t>Reuters</w:t>
      </w:r>
      <w:r>
        <w:rPr>
          <w:rFonts w:ascii="Arial" w:hAnsi="Arial"/>
          <w:b w:val="0"/>
          <w:i w:val="0"/>
          <w:sz w:val="19"/>
        </w:rPr>
        <w:t xml:space="preserve">, </w:t>
      </w:r>
      <w:r>
        <w:rPr>
          <w:rFonts w:ascii="Arial" w:hAnsi="Arial"/>
          <w:b w:val="0"/>
          <w:i/>
          <w:sz w:val="19"/>
        </w:rPr>
        <w:t>Silicon Republic</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und </w:t>
      </w:r>
      <w:r>
        <w:rPr>
          <w:rFonts w:ascii="Arial" w:hAnsi="Arial"/>
          <w:b w:val="0"/>
          <w:i/>
          <w:sz w:val="19"/>
        </w:rPr>
        <w:t>The Next Web</w:t>
      </w:r>
      <w:r>
        <w:rPr>
          <w:rFonts w:ascii="Arial" w:hAnsi="Arial"/>
          <w:b w:val="0"/>
          <w:i w:val="0"/>
          <w:sz w:val="19"/>
        </w:rPr>
        <w:t xml:space="preserve"> über eine Konzernmitteilung von </w:t>
      </w:r>
      <w:r>
        <w:rPr>
          <w:rFonts w:ascii="Arial" w:hAnsi="Arial"/>
          <w:b w:val="0"/>
          <w:i/>
          <w:sz w:val="19"/>
        </w:rPr>
        <w:t>Thomson Reuters</w:t>
      </w:r>
      <w:r>
        <w:rPr>
          <w:rFonts w:ascii="Arial" w:hAnsi="Arial"/>
          <w:b w:val="0"/>
          <w:i w:val="0"/>
          <w:sz w:val="19"/>
        </w:rPr>
        <w:t xml:space="preserve">, wonach das Unternehmen bis zu 500 Stellen in seiner Engineering-Sparte streiche — rund 1,8 % der weltweit 27.100 Beschäftigten und etwa 5,2 % der 9.400 Beschäftigten in der Operations-and-Technology-Division — mit expliziter Umschichtung „hin zu KI-nativen Rollen" und einem Auftreten in einem Quartal, das der Konzern mit einem Umsatzplus von rund 10 % (Q1 FY2026) und einer optimistischen Jahresprognose eröffnet hatte. Am 15. Juli 2026 gab der Social-Media-Analytics-Anbieter </w:t>
      </w:r>
      <w:r>
        <w:rPr>
          <w:rFonts w:ascii="Arial" w:hAnsi="Arial"/>
          <w:b w:val="0"/>
          <w:i/>
          <w:sz w:val="19"/>
        </w:rPr>
        <w:t>Sprout Social</w:t>
      </w:r>
      <w:r>
        <w:rPr>
          <w:rFonts w:ascii="Arial" w:hAnsi="Arial"/>
          <w:b w:val="0"/>
          <w:i w:val="0"/>
          <w:sz w:val="19"/>
        </w:rPr>
        <w:t xml:space="preserve"> (NASDAQ: SPT) in einer </w:t>
      </w:r>
      <w:r>
        <w:rPr>
          <w:rFonts w:ascii="Arial" w:hAnsi="Arial"/>
          <w:b w:val="0"/>
          <w:i/>
          <w:sz w:val="19"/>
        </w:rPr>
        <w:t>SEC-8-K-Meldung</w:t>
      </w:r>
      <w:r>
        <w:rPr>
          <w:rFonts w:ascii="Arial" w:hAnsi="Arial"/>
          <w:b w:val="0"/>
          <w:i w:val="0"/>
          <w:sz w:val="19"/>
        </w:rPr>
        <w:t xml:space="preserve"> eine Reduktion von rund 260 Positionen und damit 20 % der Belegschaft bekannt (</w:t>
      </w:r>
      <w:r>
        <w:rPr>
          <w:rFonts w:ascii="Arial" w:hAnsi="Arial"/>
          <w:b w:val="0"/>
          <w:i/>
          <w:sz w:val="19"/>
        </w:rPr>
        <w:t>Crain's Chicago Business</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Stifel</w:t>
      </w:r>
      <w:r>
        <w:rPr>
          <w:rFonts w:ascii="Arial" w:hAnsi="Arial"/>
          <w:b w:val="0"/>
          <w:i w:val="0"/>
          <w:sz w:val="19"/>
        </w:rPr>
        <w:t xml:space="preserve">); der Board hatte die Maßnahme am 8. Juli 2026 verabschiedet, Mitarbeitendenmitteilungen begannen am 15. Juli 2026; der Restrukturierungsaufwand ist mit 18 bis 20 Millionen US-Dollar (überwiegend Cash-Abfindungen und Leistungen) ausgewiesen, das Q2-2026-Vorabergebnis am oberen Rand der bislang publizierten Bandbreite (endgültige Zahlen am 6. August 2026); die Konzernbegründung nennt die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Beide Ankündigungen aus dem 48-Stunden-Fenster illustrieren, dass die 2026 dokumentierte Restrukturierungsdynamik bereits nicht mehr allein Hyperscaler und Halbleiter-Fertiger, sondern auch Enterprise-Software-, Analytics- und Legal-/Tax-/Regulatory-Segmentanbieter erreicht — und damit die in § 3.5 referierten sektoralen Frühwirkungen bis in konsolidierte SaaS-Geschäftsmodelle hinein sichtbar werden. Am Abend des 22. Juli 2026 verdichtet der </w:t>
      </w:r>
      <w:r>
        <w:rPr>
          <w:rFonts w:ascii="Arial" w:hAnsi="Arial"/>
          <w:b w:val="0"/>
          <w:i/>
          <w:sz w:val="19"/>
        </w:rPr>
        <w:t>Alphabet</w:t>
      </w:r>
      <w:r>
        <w:rPr>
          <w:rFonts w:ascii="Arial" w:hAnsi="Arial"/>
          <w:b w:val="0"/>
          <w:i w:val="0"/>
          <w:sz w:val="19"/>
        </w:rPr>
        <w:t xml:space="preserve">-Q2-2026-Earnings-Call diese Asymmetrie zwischen Personalreduktion und Capex-Ausbau auf einer weiteren Datenpunkt-Ebene (CNBC, Investing.com, The Street, Yahoo Finance): Bei einem Konzernumsatz von 119,8 Milliarden US-Dollar (+24 % gegenüber Vorjahr) und einem operativen Ergebnis +30 % bei 34 % operativer Marge steigt der Google-Cloud-Umsatz um 82 % auf 24,8 Milliarden US-Dollar bei einem Auftragsbestand von 514 Milliarden US-Dollar; CEO Sundar Pichai formuliert im Konjunktiv, „existierende Kunden überträfen ihre Verpflichtungen um mehr als 50 %". Die Q2-2026-Kapitalausgaben liegen bei 44,9 Milliarden US-Dollar (Q1 2026: 36 Milliarden US-Dollar), rund 60 % davon in Server und 40 % in Rechenzentren und Netzwerk-Ausrüstung; der Free Cashflow des Quartals dreht auf −5,9 Milliarden US-Dollar (erstmals negativ seit rund zehn Jahren). Konzernweit hebt Alphabet den Full-Year-Capex-Ausblick 2026 von der bisherigen Spanne 180 bis 190 Milliarden US-Dollar auf 195 bis 205 Milliarden US-Dollar an — eine Aufwärtsrevision um rund 15 Milliarden US-Dollar innerhalb eines Quartals, die die Q1-Aggregat-Größenordnung der Hyperscaler (130,65 Milliarden US-Dollar) im Konzernvergleich strukturell fortschreibt; die Aktie gab im nachbörslichen Handel rund 7 % ab. Einen Tag später bestätigt der </w:t>
      </w:r>
      <w:r>
        <w:rPr>
          <w:rFonts w:ascii="Arial" w:hAnsi="Arial"/>
          <w:b w:val="0"/>
          <w:i/>
          <w:sz w:val="19"/>
        </w:rPr>
        <w:t>Intel</w:t>
      </w:r>
      <w:r>
        <w:rPr>
          <w:rFonts w:ascii="Arial" w:hAnsi="Arial"/>
          <w:b w:val="0"/>
          <w:i w:val="0"/>
          <w:sz w:val="19"/>
        </w:rPr>
        <w:t xml:space="preserve">-Q2-2026-Earnings-Call vom 23. Juli 2026 (Yahoo Finance, BigGo Finance, TradingKey) dieses Bild auf der Hardware-Achse: Intel verzeichnet mit 16,1 Milliarden US-Dollar Quartalsumsatz (+25 % gegenüber Vorjahr) das stärkste Umsatzwachstum seit mehr als 15 Jahren; das Segment </w:t>
      </w:r>
      <w:r>
        <w:rPr>
          <w:rFonts w:ascii="Arial" w:hAnsi="Arial"/>
          <w:b w:val="0"/>
          <w:i/>
          <w:sz w:val="19"/>
        </w:rPr>
        <w:t>Data Center and AI</w:t>
      </w:r>
      <w:r>
        <w:rPr>
          <w:rFonts w:ascii="Arial" w:hAnsi="Arial"/>
          <w:b w:val="0"/>
          <w:i w:val="0"/>
          <w:sz w:val="19"/>
        </w:rPr>
        <w:t xml:space="preserve"> wächst 59 % auf 6,3 Milliarden US-Dollar, Client Computing +13 % auf 8,9 Milliarden US-Dollar, Foundry +31 % auf 5,8 Milliarden US-Dollar; das Non-GAAP-Ergebnis je Aktie erreicht 0,42 US-Dollar gegenüber 0,20 US-Dollar Konzern-Guidance, die Bruttomarge liegt bei 41,8 % (+2,8 Prozentpunkte über Guidance). Der Konzern kann nach Angaben des Vorstands die vorliegenden Bestellungen für Server-Produkte gegenwärtig nicht vollständig erfüllen; CFO Dave Zinsner konjunktiviert die daran anknüpfende Capex-Anhebung wörtlich: „AI-driven compute continues to strengthen, and to support expected growth this year and next across products and foundry, we are meaningfully increasing our investments in equipment, clean room space, and substrates" (Konjunktiv nach § 4.2 Claude.md). Die Full-Year-Capex-Prognose für 2026 wird von zuvor rund 17 Milliarden US-Dollar auf über 20 Milliarden US-Dollar angehoben, für 2027 stellt Intel eine „signifikante" weitere Anhebung in Aussicht — mit den Tooling-Ausgaben +40 % gegenüber Vorjahr und dem im GAAP-Ergebnis enthaltenen einmaligen 12,5-Milliarden-US-Dollar-Mark-to-Market-Verlust auf treuhänderisch gehaltene CHIPS-Act-Anteile, der zu einem GAAP-Netto­verlust je Aktie von 2,16 US-Dollar führt, aber den zugrundeliegenden operativen Rückenwind nicht neutralisiert. Ergänzend hat </w:t>
      </w:r>
      <w:r>
        <w:rPr>
          <w:rFonts w:ascii="Arial" w:hAnsi="Arial"/>
          <w:b w:val="0"/>
          <w:i/>
          <w:sz w:val="19"/>
        </w:rPr>
        <w:t>Anthropic</w:t>
      </w:r>
      <w:r>
        <w:rPr>
          <w:rFonts w:ascii="Arial" w:hAnsi="Arial"/>
          <w:b w:val="0"/>
          <w:i w:val="0"/>
          <w:sz w:val="19"/>
        </w:rPr>
        <w:t xml:space="preserve"> am 22. Juli 2026 seinen </w:t>
      </w:r>
      <w:r>
        <w:rPr>
          <w:rFonts w:ascii="Arial" w:hAnsi="Arial"/>
          <w:b w:val="0"/>
          <w:i/>
          <w:sz w:val="19"/>
        </w:rPr>
        <w:t>Economic Index Connector</w:t>
      </w:r>
      <w:r>
        <w:rPr>
          <w:rFonts w:ascii="Arial" w:hAnsi="Arial"/>
          <w:b w:val="0"/>
          <w:i w:val="0"/>
          <w:sz w:val="19"/>
        </w:rPr>
        <w:t xml:space="preserve"> für Claude öffentlich freigegeben (anthropic.com, X-Ankündigung @claudeai): Der Connector öffnet den in § 3.5 referierten </w:t>
      </w:r>
      <w:r>
        <w:rPr>
          <w:rFonts w:ascii="Arial" w:hAnsi="Arial"/>
          <w:b w:val="0"/>
          <w:i/>
          <w:sz w:val="19"/>
        </w:rPr>
        <w:t>Anthropic Economic Index</w:t>
      </w:r>
      <w:r>
        <w:rPr>
          <w:rFonts w:ascii="Arial" w:hAnsi="Arial"/>
          <w:b w:val="0"/>
          <w:i w:val="0"/>
          <w:sz w:val="19"/>
        </w:rPr>
        <w:t xml:space="preserve"> — also die auf ausgewerteten Claude-Nutzungsdaten beruhende Metrik der tatsächlichen KI-Adoption über Berufe und Regionen — für eine niedrigschwellige Abfrage durch Forscherinnen und Forscher, Journalistinnen und Journalisten, politische Entscheiderinnen und Entscheider sowie die allgemeine Öffentlichkeit. Nutzerinnen und Nutzer können damit ohne technische Vorarbeit Fragen an die Indexdaten stellen (etwa „Welche Berufe nutzen KI am stärksten?" oder „Welche Aufgaben delegieren Lehrkräfte an Claude?") und die Antworten mit Verweisen auf die Quelldaten prüfen. Für die hier geführte Steuerdebatte ist der Connector in doppelter Weise relevant: Er erweitert die empirische Basis für die in § 3.5 und § 9.1 referierten Attribuierungsfragen um ein öffentlich zugängliches, aggregiertes Nutzungsdaten-Instrument und dokumentiert zugleich die institutionelle Verstetigung des </w:t>
      </w:r>
      <w:r>
        <w:rPr>
          <w:rFonts w:ascii="Arial" w:hAnsi="Arial"/>
          <w:b w:val="0"/>
          <w:i/>
          <w:sz w:val="19"/>
        </w:rPr>
        <w:t>Anthropic Economic Index</w:t>
      </w:r>
      <w:r>
        <w:rPr>
          <w:rFonts w:ascii="Arial" w:hAnsi="Arial"/>
          <w:b w:val="0"/>
          <w:i w:val="0"/>
          <w:sz w:val="19"/>
        </w:rPr>
        <w:t xml:space="preserve"> als laufendem Beobachtungsformat. Am 22. Juli 2026 verdichtet eine weitere Layoff-Ankündigung aus dem israelischen Enterprise-SaaS-Segment die in § 3.5 und § 9.1 referierte Kausalattributions­grenze konzernintern: Nach Berichterstattung von TechCrunch, Yahoo Finance, Haaretz, The Times of Israel, Ctech, TheNextWeb und americanbazaaronline gab der Work-Management-Anbieter </w:t>
      </w:r>
      <w:r>
        <w:rPr>
          <w:rFonts w:ascii="Arial" w:hAnsi="Arial"/>
          <w:b w:val="0"/>
          <w:i/>
          <w:sz w:val="19"/>
        </w:rPr>
        <w:t>monday.com Ltd.</w:t>
      </w:r>
      <w:r>
        <w:rPr>
          <w:rFonts w:ascii="Arial" w:hAnsi="Arial"/>
          <w:b w:val="0"/>
          <w:i w:val="0"/>
          <w:sz w:val="19"/>
        </w:rPr>
        <w:t xml:space="preserve"> (NASDAQ: MNDY) eine Reduktion von rund 620 Beschäftigten — 20 % der globalen Belegschaft, davon rund 350 am Tel-Aviver Hauptsitz — bekannt und verankerte sie in einem gemeinsamen Mitarbeitendenbrief der Mitgründer Roy Mann und Eran Zinman ausdrücklich als strategische AI-First-Restrukturierung, nicht als Kostenmaßnahme: wörtlich, die Streichungen „are not intended as a cost-cutting initiative or a direct replacement of employees with artificial intelligence" (Konjunktiv nach § 4.2 Claude.md), begründet mit „We entered a new era where AI is transforming the role of software, creating the greatest opportunity our industry has ever seen" und der Positionierung „moving from managing work to doing the work for our customers, with people and AI agents working together"; der Restrukturierungs­aufwand ist mit 45 bis 55 Millionen US-Dollar (Abfindungen und Büroflächenreduktion) beziffert, die </w:t>
      </w:r>
      <w:r>
        <w:rPr>
          <w:rFonts w:ascii="Arial" w:hAnsi="Arial"/>
          <w:b w:val="0"/>
          <w:i/>
          <w:sz w:val="19"/>
        </w:rPr>
        <w:t>Non-GAAP-Operating-Margin</w:t>
      </w:r>
      <w:r>
        <w:rPr>
          <w:rFonts w:ascii="Arial" w:hAnsi="Arial"/>
          <w:b w:val="0"/>
          <w:i w:val="0"/>
          <w:sz w:val="19"/>
        </w:rPr>
        <w:t xml:space="preserve">-Guidance für 2026 wird von 13 % auf 15 % angehoben, die Umsatz­wachstumsziele bleiben bei 19 bis 20 %. Der Fall illustriert doppelt: Er stützt die in § 3.5 dokumentierte Ausweitung der Restrukturierungs­dynamik auf konsolidierte SaaS-Geschäftsmodelle (in der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xml:space="preserve">), und er verschärft die in § 9.1 diskutierte Kausalattributions­problematik einer Typ-5-Ersatzabgabe: Die Konzern­kommunikation dementiert die direkte Substitutionskausalität ausdrücklich, hält aber zugleich den strategischen AI-Anlass ausdrücklich aufrecht — eine für WARN-AI-Disclosure-Regime (vgl. </w:t>
      </w:r>
      <w:r>
        <w:rPr>
          <w:rFonts w:ascii="Arial" w:hAnsi="Arial"/>
          <w:b w:val="0"/>
          <w:i/>
          <w:sz w:val="19"/>
        </w:rPr>
        <w:t>SB 5</w:t>
      </w:r>
      <w:r>
        <w:rPr>
          <w:rFonts w:ascii="Arial" w:hAnsi="Arial"/>
          <w:b w:val="0"/>
          <w:i w:val="0"/>
          <w:sz w:val="19"/>
        </w:rPr>
        <w:t xml:space="preserve"> Connecticut, § 4.4) definitorisch schwer greifbare Selbstpositionierung. Zwei weitere Ankündigungen aus derselben Kalenderwoche verdichten diese Kausalattributions­grenze zusätzlich und markieren zugleich das operative Bandbreiten­spektrum der Selbstpositionierung von KI-nahen Personal­reduktionen: Am 22. Juli 2026 hat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eine Reduktion von rund zehn Prozent seiner Community-Operations- (Customer-Service-) Teams angekündigt und diese ausdrücklich als erste konzernseitige, offen KI-attribuierte Personal­reduktion positioniert: Uber-Vice-President Megha Yethatika begründet die Maßnahme im internen Mitarbeitendenbrief mit „our organization has become too complex and siloed" und der Notwendigkeit „an effective organization to layer AI on" (Konjunktiv nach § 4.2 Claude.md), bei zugleich weiterhin über 500 offenen Stellen unter anderem für Robotaxi-Ingenieurinnen und -Ingenieure; der Schritt ist die zweite Personal­reduktion binnen zwei Monaten (nach der Streichung von 23 % der HR-Division im Juni 2026 bei rund 34.000 globalen Beschäftigten) und positioniert sich damit — in ausdrücklichem Gegensatz zu </w:t>
      </w:r>
      <w:r>
        <w:rPr>
          <w:rFonts w:ascii="Arial" w:hAnsi="Arial"/>
          <w:b w:val="0"/>
          <w:i/>
          <w:sz w:val="19"/>
        </w:rPr>
        <w:t>monday.com</w:t>
      </w:r>
      <w:r>
        <w:rPr>
          <w:rFonts w:ascii="Arial" w:hAnsi="Arial"/>
          <w:b w:val="0"/>
          <w:i w:val="0"/>
          <w:sz w:val="19"/>
        </w:rPr>
        <w:t xml:space="preserve"> — als offen substitutions­nahes Selbstverständnis der Reduktion. Am 23. Juli 2026 hat der Membership-Plattform-Anbieter </w:t>
      </w:r>
      <w:r>
        <w:rPr>
          <w:rFonts w:ascii="Arial" w:hAnsi="Arial"/>
          <w:b w:val="0"/>
          <w:i/>
          <w:sz w:val="19"/>
        </w:rPr>
        <w:t>Patreon</w:t>
      </w:r>
      <w:r>
        <w:rPr>
          <w:rFonts w:ascii="Arial" w:hAnsi="Arial"/>
          <w:b w:val="0"/>
          <w:i w:val="0"/>
          <w:sz w:val="19"/>
        </w:rPr>
        <w:t xml:space="preserve"> nach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und </w:t>
      </w:r>
      <w:r>
        <w:rPr>
          <w:rFonts w:ascii="Arial" w:hAnsi="Arial"/>
          <w:b w:val="0"/>
          <w:i/>
          <w:sz w:val="19"/>
        </w:rPr>
        <w:t>TechBriefly</w:t>
      </w:r>
      <w:r>
        <w:rPr>
          <w:rFonts w:ascii="Arial" w:hAnsi="Arial"/>
          <w:b w:val="0"/>
          <w:i w:val="0"/>
          <w:sz w:val="19"/>
        </w:rPr>
        <w:t xml:space="preserve"> eine Reduktion von 93 Beschäftigten (rund 20 % der Belegschaft) bekanntgegeben und diese ausdrücklich als nicht-substitutions­bezogen positioniert: CEO Jack Conte formuliert im internen Blog wörtlich „we are not making the above changes because we believe AI replaces humans", verweist zugleich aber auf „AI has fundamentally transformed the tech industry" als strategischen Anlass; das Abfindungspaket umfasst mindestens 16 Wochen Grundvergütung plus eine Woche pro Dienstjahr, Kranken­versicherung bis Jahresende und ein 1.500-US-Dollar-Stipendium zum Laptop-Ersatz. Für die Steuerdebatte verdichten Uber und Patreon zusammen mit dem Vorlauffall </w:t>
      </w:r>
      <w:r>
        <w:rPr>
          <w:rFonts w:ascii="Arial" w:hAnsi="Arial"/>
          <w:b w:val="0"/>
          <w:i/>
          <w:sz w:val="19"/>
        </w:rPr>
        <w:t>monday.com</w:t>
      </w:r>
      <w:r>
        <w:rPr>
          <w:rFonts w:ascii="Arial" w:hAnsi="Arial"/>
          <w:b w:val="0"/>
          <w:i w:val="0"/>
          <w:sz w:val="19"/>
        </w:rPr>
        <w:t xml:space="preserve"> eine dreiteilige Bandbreite der Selbstpositionierung von Layoff-Anlässen: (a) offen KI-attribuiert mit expliziter Substitutionsnähe (</w:t>
      </w:r>
      <w:r>
        <w:rPr>
          <w:rFonts w:ascii="Arial" w:hAnsi="Arial"/>
          <w:b w:val="0"/>
          <w:i/>
          <w:sz w:val="19"/>
        </w:rPr>
        <w:t>Uber</w:t>
      </w:r>
      <w:r>
        <w:rPr>
          <w:rFonts w:ascii="Arial" w:hAnsi="Arial"/>
          <w:b w:val="0"/>
          <w:i w:val="0"/>
          <w:sz w:val="19"/>
        </w:rPr>
        <w:t>), (b) offen KI-anlassbezogen ohne direkte Substitution, aber mit strategischer AI-First-Umstrukturierung (</w:t>
      </w:r>
      <w:r>
        <w:rPr>
          <w:rFonts w:ascii="Arial" w:hAnsi="Arial"/>
          <w:b w:val="0"/>
          <w:i/>
          <w:sz w:val="19"/>
        </w:rPr>
        <w:t>monday.com</w:t>
      </w:r>
      <w:r>
        <w:rPr>
          <w:rFonts w:ascii="Arial" w:hAnsi="Arial"/>
          <w:b w:val="0"/>
          <w:i w:val="0"/>
          <w:sz w:val="19"/>
        </w:rPr>
        <w:t>), und (c) ausdrücklich nicht-substitutions­bezogen mit KI als bloßem strategischen Marktumfeld (</w:t>
      </w:r>
      <w:r>
        <w:rPr>
          <w:rFonts w:ascii="Arial" w:hAnsi="Arial"/>
          <w:b w:val="0"/>
          <w:i/>
          <w:sz w:val="19"/>
        </w:rPr>
        <w:t>Patreon</w:t>
      </w:r>
      <w:r>
        <w:rPr>
          <w:rFonts w:ascii="Arial" w:hAnsi="Arial"/>
          <w:b w:val="0"/>
          <w:i w:val="0"/>
          <w:sz w:val="19"/>
        </w:rPr>
        <w:t xml:space="preserve">). Diese Bandbreite illustriert erneut die in § 9.1 dokumentierte Kausalattributions­problematik einer engen Typ-5-Ersatzabgabe: Selbst innerhalb einer Kalenderwoche und in demselben Enterprise-SaaS-/Plattform-Segment lassen sich Layoffs mit derselben strategischen Grundtendenz (KI-getriebener Umbau) unter drei unterschiedlichen Selbstpositionierungen kommunizieren, was administrative Disclosure-Regime nach dem Vorbild von </w:t>
      </w:r>
      <w:r>
        <w:rPr>
          <w:rFonts w:ascii="Arial" w:hAnsi="Arial"/>
          <w:b w:val="0"/>
          <w:i/>
          <w:sz w:val="19"/>
        </w:rPr>
        <w:t>SB 5</w:t>
      </w:r>
      <w:r>
        <w:rPr>
          <w:rFonts w:ascii="Arial" w:hAnsi="Arial"/>
          <w:b w:val="0"/>
          <w:i w:val="0"/>
          <w:sz w:val="19"/>
        </w:rPr>
        <w:t xml:space="preserve"> Connecticut vor eine definitorisch schwer greifbare Aufgabe stellt. Am 28. Juli 2026 verdichtet ein weiterer, größenordnungsmäßig weiterer Datenpunkt aus dem Payments-Sektor diese Bandbreite um eine mittlere Selbstpositionierung: Nach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hat </w:t>
      </w:r>
      <w:r>
        <w:rPr>
          <w:rFonts w:ascii="Arial" w:hAnsi="Arial"/>
          <w:b w:val="0"/>
          <w:i/>
          <w:sz w:val="19"/>
        </w:rPr>
        <w:t>Visa Inc.</w:t>
      </w:r>
      <w:r>
        <w:rPr>
          <w:rFonts w:ascii="Arial" w:hAnsi="Arial"/>
          <w:b w:val="0"/>
          <w:i w:val="0"/>
          <w:sz w:val="19"/>
        </w:rPr>
        <w:t xml:space="preserve"> (NYSE: V) parallel zur Quartals-Berichterstattung eine Reduktion von rund 2.600 Beschäftigten — etwa 7 % der zum Fiskaljahresende gemeldeten globalen Belegschaft von rund 34.100 — angekündigt, überwiegend in Technology- und Product-Organisationen; der zugehörige Abfindungsaufwand wird mit 563 Millionen US-Dollar ausgewiesen. CEO Ryan McInerney verankert die Reduktion in einem Mitarbeitendenbrief mit der Formulierung „AI is also helping to accelerate this evolution and shape the way work gets done at Visa" (Konjunktiv nach § 4.2 Claude.md), betont zugleich aber ausdrücklich, KI sei „ein beitragender Faktor, aber nicht die einzige Ursache" — eine mittlere Position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die die administrative Bandbreite auf inzwischen vier Selbstpositionierungen innerhalb einer einzelnen Kalenderwoche erweitert. Ergänzend beschreibt die Konzern­kommunikation eine Umorganisation der Produktentwicklungs-Teams von je zehn auf zwei bis vier Beschäftigte bei zugleich um rund 65 % beschleunigter Feature-Entwicklung sowie die Absicht, „den Anteil der ohne menschliche Aufsicht erledigten Arbeit zu erhöhen"; die frei werdenden Mittel sollen in Consumer-Payments, Commercial- und Money-Movement-Lösungen sowie Value-Added-Services wie Stablecoin und Cross-Border reinvestiert werden. Am selben 28. Juli 2026 dokumentiert ein zweiter, hyperscaler-seitiger Datenpunkt die parallel dazu laufende Portfolio-Umschichtung auf der Foundation-Modell-Ebene: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 Post</w:t>
      </w:r>
      <w:r>
        <w:rPr>
          <w:rFonts w:ascii="Arial" w:hAnsi="Arial"/>
          <w:b w:val="0"/>
          <w:i w:val="0"/>
          <w:sz w:val="19"/>
        </w:rPr>
        <w:t xml:space="preserve"> hat </w:t>
      </w:r>
      <w:r>
        <w:rPr>
          <w:rFonts w:ascii="Arial" w:hAnsi="Arial"/>
          <w:b w:val="0"/>
          <w:i/>
          <w:sz w:val="19"/>
        </w:rPr>
        <w:t>Amazon</w:t>
      </w:r>
      <w:r>
        <w:rPr>
          <w:rFonts w:ascii="Arial" w:hAnsi="Arial"/>
          <w:b w:val="0"/>
          <w:i w:val="0"/>
          <w:sz w:val="19"/>
        </w:rPr>
        <w:t xml:space="preserve"> die 2024 nach der weitgehenden Übernahme des Adept-Teams gegründete </w:t>
      </w:r>
      <w:r>
        <w:rPr>
          <w:rFonts w:ascii="Arial" w:hAnsi="Arial"/>
          <w:b w:val="0"/>
          <w:i/>
          <w:sz w:val="19"/>
        </w:rPr>
        <w:t>AGI-Lab</w:t>
      </w:r>
      <w:r>
        <w:rPr>
          <w:rFonts w:ascii="Arial" w:hAnsi="Arial"/>
          <w:b w:val="0"/>
          <w:i w:val="0"/>
          <w:sz w:val="19"/>
        </w:rPr>
        <w:t xml:space="preserve">-Forschungsgruppe geschlossen und die Weiterentwicklung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den </w:t>
      </w:r>
      <w:r>
        <w:rPr>
          <w:rFonts w:ascii="Arial" w:hAnsi="Arial"/>
          <w:b w:val="0"/>
          <w:i/>
          <w:sz w:val="19"/>
        </w:rPr>
        <w:t>„keep-the-lights-on"</w:t>
      </w:r>
      <w:r>
        <w:rPr>
          <w:rFonts w:ascii="Arial" w:hAnsi="Arial"/>
          <w:b w:val="0"/>
          <w:i w:val="0"/>
          <w:sz w:val="19"/>
        </w:rPr>
        <w:t xml:space="preserve">-Status überführt — funktionsfähig für Bestandskundinnen und -kunden, aber nicht mehr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die </w:t>
      </w:r>
      <w:r>
        <w:rPr>
          <w:rFonts w:ascii="Arial" w:hAnsi="Arial"/>
          <w:b w:val="0"/>
          <w:i/>
          <w:sz w:val="19"/>
        </w:rPr>
        <w:t>Nova-Act</w:t>
      </w:r>
      <w:r>
        <w:rPr>
          <w:rFonts w:ascii="Arial" w:hAnsi="Arial"/>
          <w:b w:val="0"/>
          <w:i w:val="0"/>
          <w:sz w:val="19"/>
        </w:rPr>
        <w:t xml:space="preserve">-Agent-Plattform bleiben aktiv. Die Ressourcen werden auf eine unter dem Robotics-Forscher Pieter Abbeel (durch die Covariant-Übernahme zu Amazon gekommen) neu formierte Frontier-Modell-Forschungsgruppe konzentriert, aus der ein neues Foundation-Modell zur Herbst-Konferenz </w:t>
      </w:r>
      <w:r>
        <w:rPr>
          <w:rFonts w:ascii="Arial" w:hAnsi="Arial"/>
          <w:b w:val="0"/>
          <w:i/>
          <w:sz w:val="19"/>
        </w:rPr>
        <w:t>re:Invent 2026</w:t>
      </w:r>
      <w:r>
        <w:rPr>
          <w:rFonts w:ascii="Arial" w:hAnsi="Arial"/>
          <w:b w:val="0"/>
          <w:i w:val="0"/>
          <w:sz w:val="19"/>
        </w:rPr>
        <w:t xml:space="preserve"> erwartet wird; ein Konzernstatement verankert die Umstrukturierung mit „AI models remain one of Amazon's most important projects" (Konjunktiv nach § 4.2 Claude.md). Der Schritt ist der bislang deutlichste Beleg für die in § 3.5 und § 8.2 referierte Deployment-vor-Grundlagenforschung-Verschiebung innerhalb der Hyperscaler-Ebene: Amazon reduziert die Zahl der intern betriebenen Foundation-Modelle, verschiebt Ressourcen zu einer fokussierteren Frontier-Forschung und positioniert die Wertschöpfungs­kette </w:t>
      </w:r>
      <w:r>
        <w:rPr>
          <w:rFonts w:ascii="Arial" w:hAnsi="Arial"/>
          <w:b w:val="0"/>
          <w:i/>
          <w:sz w:val="19"/>
        </w:rPr>
        <w:t>sichtbarer</w:t>
      </w:r>
      <w:r>
        <w:rPr>
          <w:rFonts w:ascii="Arial" w:hAnsi="Arial"/>
          <w:b w:val="0"/>
          <w:i w:val="0"/>
          <w:sz w:val="19"/>
        </w:rPr>
        <w:t xml:space="preserve"> im Deployment- und Anwendungs-Segment (agentische KI-Systeme, AWS-Enterprise-Einbindung) statt in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 ein für die </w:t>
      </w:r>
      <w:r>
        <w:rPr>
          <w:rFonts w:ascii="Arial" w:hAnsi="Arial"/>
          <w:b w:val="0"/>
          <w:i/>
          <w:sz w:val="19"/>
        </w:rPr>
        <w:t>Veredelungsstrategie</w:t>
      </w:r>
      <w:r>
        <w:rPr>
          <w:rFonts w:ascii="Arial" w:hAnsi="Arial"/>
          <w:b w:val="0"/>
          <w:i w:val="0"/>
          <w:sz w:val="19"/>
        </w:rPr>
        <w:t xml:space="preserve"> (§ 8.3) auch aus deutscher Perspektive lesbarer Portfolio-Umbau, weil selbst ein US-Hyperscaler seine Nachfrage nach fremden Basismodellen und den Vorrang eigener Deployment-Kompetenz erkennbar neu gewichtet. Am 29. Juli 2026 legen zwei weitere Datenpunkte aus der Hyperscaler-Schicht die im Vorlauf beobachtete Asymmetrie zwischen Personalreduktion, Capex-Anstieg und Margenverlauf in zwei komplementären Ausprägungen offen: (a) </w:t>
      </w:r>
      <w:r>
        <w:rPr>
          <w:rFonts w:ascii="Arial" w:hAnsi="Arial"/>
          <w:b w:val="0"/>
          <w:i/>
          <w:sz w:val="19"/>
        </w:rPr>
        <w:t>Microsoft</w:t>
      </w:r>
      <w:r>
        <w:rPr>
          <w:rFonts w:ascii="Arial" w:hAnsi="Arial"/>
          <w:b w:val="0"/>
          <w:i w:val="0"/>
          <w:sz w:val="19"/>
        </w:rPr>
        <w:t xml:space="preserve"> (NASDAQ: MSFT) meldet nach eigener Investor-Relations-Publikation (Fiscal Year 2026 Q4 Earnings Release)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und </w:t>
      </w:r>
      <w:r>
        <w:rPr>
          <w:rFonts w:ascii="Arial" w:hAnsi="Arial"/>
          <w:b w:val="0"/>
          <w:i/>
          <w:sz w:val="19"/>
        </w:rPr>
        <w:t>Office 365 IT Pros</w:t>
      </w:r>
      <w:r>
        <w:rPr>
          <w:rFonts w:ascii="Arial" w:hAnsi="Arial"/>
          <w:b w:val="0"/>
          <w:i w:val="0"/>
          <w:sz w:val="19"/>
        </w:rPr>
        <w:t xml:space="preserve"> für das vierte Fiskalquartal 2026 einen Umsatz von 90,0 Milliarden US-Dollar (+18 % gegenüber Vorjahr; +17 % zu konstanten Wechselkursen), ein GAAP-Ergebnis je Aktie von 4,81 US-Dollar (+32 %) sowie einen Q4-Nettogewinn von 35,8 Milliarden US-Dollar (+31 %); der </w:t>
      </w:r>
      <w:r>
        <w:rPr>
          <w:rFonts w:ascii="Arial" w:hAnsi="Arial"/>
          <w:b w:val="0"/>
          <w:i/>
          <w:sz w:val="19"/>
        </w:rPr>
        <w:t>Microsoft-Cloud</w:t>
      </w:r>
      <w:r>
        <w:rPr>
          <w:rFonts w:ascii="Arial" w:hAnsi="Arial"/>
          <w:b w:val="0"/>
          <w:i w:val="0"/>
          <w:sz w:val="19"/>
        </w:rPr>
        <w:t xml:space="preserve">-Umsatz steigt um 27 % auf 59,3 Milliarden US-Dollar, das </w:t>
      </w:r>
      <w:r>
        <w:rPr>
          <w:rFonts w:ascii="Arial" w:hAnsi="Arial"/>
          <w:b w:val="0"/>
          <w:i/>
          <w:sz w:val="19"/>
        </w:rPr>
        <w:t>Azure</w:t>
      </w:r>
      <w:r>
        <w:rPr>
          <w:rFonts w:ascii="Arial" w:hAnsi="Arial"/>
          <w:b w:val="0"/>
          <w:i w:val="0"/>
          <w:sz w:val="19"/>
        </w:rPr>
        <w:t xml:space="preserve">-Segment für sich um 43 % im Quartal und für das gesamte Fiskaljahr erstmals über 100 Milliarden US-Dollar (+41 %) — verbunden mit einer </w:t>
      </w:r>
      <w:r>
        <w:rPr>
          <w:rFonts w:ascii="Arial" w:hAnsi="Arial"/>
          <w:b w:val="0"/>
          <w:i/>
          <w:sz w:val="19"/>
        </w:rPr>
        <w:t>Commercial Remaining Performance Obligation</w:t>
      </w:r>
      <w:r>
        <w:rPr>
          <w:rFonts w:ascii="Arial" w:hAnsi="Arial"/>
          <w:b w:val="0"/>
          <w:i w:val="0"/>
          <w:sz w:val="19"/>
        </w:rPr>
        <w:t xml:space="preserve"> von 678 Milliarden US-Dollar (+84 %) und einem Bestand von über 30 Millionen zahlungspflichtigen </w:t>
      </w:r>
      <w:r>
        <w:rPr>
          <w:rFonts w:ascii="Arial" w:hAnsi="Arial"/>
          <w:b w:val="0"/>
          <w:i/>
          <w:sz w:val="19"/>
        </w:rPr>
        <w:t>Microsoft-365-Copilot</w:t>
      </w:r>
      <w:r>
        <w:rPr>
          <w:rFonts w:ascii="Arial" w:hAnsi="Arial"/>
          <w:b w:val="0"/>
          <w:i w:val="0"/>
          <w:sz w:val="19"/>
        </w:rPr>
        <w:t xml:space="preserve">-Sitzen. Der Fiskaljahres-Capex 2026 liegt bei 115,9 Milliarden US-Dollar (Vorjahr 64,6 Milliarden US-Dollar; +79 %); analystenseitig referierte Konsens-Erwartungen für FY2027 (rund 220 bis 260 Milliarden US-Dollar) bestätigen den in § 8.2 dokumentierten Aufbaupfad. Konzernangaben stellen für das erste Quartal FY2027 eine Azure-Wachstumsrate von rund 45 % zu konstanten Wechselkursen in Aussicht (Konjunktiv nach § 4.2 Claude.md). (b) </w:t>
      </w:r>
      <w:r>
        <w:rPr>
          <w:rFonts w:ascii="Arial" w:hAnsi="Arial"/>
          <w:b w:val="0"/>
          <w:i/>
          <w:sz w:val="19"/>
        </w:rPr>
        <w:t>Meta Platforms</w:t>
      </w:r>
      <w:r>
        <w:rPr>
          <w:rFonts w:ascii="Arial" w:hAnsi="Arial"/>
          <w:b w:val="0"/>
          <w:i w:val="0"/>
          <w:sz w:val="19"/>
        </w:rPr>
        <w:t xml:space="preserve"> (NASDAQ: META) meldet nach eigener Investor-Relations-Publikation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Invezz</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für das zweite Kalenderquartal 2026 einen Umsatz von 60,8 Milliarden US-Dollar (+28 %) bei einem Werbeumsatz von 59,4 Milliarden US-Dollar (+27 %; Ad-Impressions +14 %, durchschnittlicher Anzeigenpreis +12 %), einem Nettogewinn von 15,85 Milliarden US-Dollar (−14 %) und einem verwässerten Ergebnis je Aktie von 6,18 US-Dollar (−13 %; unterhalb der Analystenerwartung); die operative Marge fällt von 43 % im Vergleichsquartal 2025 auf 31 %, das operative Ergebnis um 8 % auf 18,8 Milliarden US-Dollar; die Gesamtaufwendungen steigen um 55 % auf 42,0 Milliarden US-Dollar, darunter rund 2,40 Milliarden US-Dollar Rechtsstreitigkeitsrückstellungen und rund 1,18 Milliarden US-Dollar Abfindungsaufwand aus der im Vorlauf dokumentierten konzernweiten 8.000-Stellen-Restrukturierung; der freie Cashflow bricht auf 784 Millionen US-Dollar ein (Vorjahresquartal 8,55 Milliarden US-Dollar; −91 %). Die Q2-2026-Kapitalausgaben liegen bei 31,08 Milliarden US-Dollar, das untere Ende der Full-Year-Capex-Guidance 2026 wird von 115 auf 130 Milliarden US-Dollar angehoben (unverändertes oberes Ende bei 145 Milliarden US-Dollar); die Q3-2026-Umsatzguidance 61 bis 64 Milliarden US-Dollar liegt unterhalb der Konsens-Erwartung von rund 63,2 Milliarden US-Dollar, die Full-Year-Aufwandsguidance beträgt 165 bis 169 Milliarden US-Dollar; die </w:t>
      </w:r>
      <w:r>
        <w:rPr>
          <w:rFonts w:ascii="Arial" w:hAnsi="Arial"/>
          <w:b w:val="0"/>
          <w:i/>
          <w:sz w:val="19"/>
        </w:rPr>
        <w:t>Family-Daily-Active-People</w:t>
      </w:r>
      <w:r>
        <w:rPr>
          <w:rFonts w:ascii="Arial" w:hAnsi="Arial"/>
          <w:b w:val="0"/>
          <w:i w:val="0"/>
          <w:sz w:val="19"/>
        </w:rPr>
        <w:t xml:space="preserve">-Kennzahl erreicht 3,60 Milliarden im Juni 2026 (+3 %). CFO Susan Li verweist im Konjunktiv auf makroökonomische Unsicherheit im internationalen Werbemarkt und mögliche Fremdwährungs­gegenwinde als Faktoren, die die kurzfristige Monetarisierungs­geschwindigkeit dämpften; der Aktienkurs gibt im nachbörslichen Handel rund 9,6 % ab. Für die Steuerdebatte verdichten die beiden Quartals-Ergebnisse den in § 3.5 und § 8.2 dokumentierten Befund in zwei komplementären Richtungen: </w:t>
      </w:r>
      <w:r>
        <w:rPr>
          <w:rFonts w:ascii="Arial" w:hAnsi="Arial"/>
          <w:b w:val="0"/>
          <w:i/>
          <w:sz w:val="19"/>
        </w:rPr>
        <w:t>Microsoft</w:t>
      </w:r>
      <w:r>
        <w:rPr>
          <w:rFonts w:ascii="Arial" w:hAnsi="Arial"/>
          <w:b w:val="0"/>
          <w:i w:val="0"/>
          <w:sz w:val="19"/>
        </w:rPr>
        <w:t xml:space="preserve"> zeigt, dass sich der Capex-Aufbau bei zugleich beschleunigtem Cloud-Umsatzwachstum bislang ohne Margenverlust fortsetzt und die in § 5.1 und § 8.3 diskutierte Anknüpfung an Maschinenkapital und Wertschöpfung empirisch tragfähig bleibt; </w:t>
      </w:r>
      <w:r>
        <w:rPr>
          <w:rFonts w:ascii="Arial" w:hAnsi="Arial"/>
          <w:b w:val="0"/>
          <w:i/>
          <w:sz w:val="19"/>
        </w:rPr>
        <w:t>Meta</w:t>
      </w:r>
      <w:r>
        <w:rPr>
          <w:rFonts w:ascii="Arial" w:hAnsi="Arial"/>
          <w:b w:val="0"/>
          <w:i w:val="0"/>
          <w:sz w:val="19"/>
        </w:rPr>
        <w:t xml:space="preserve"> zeigt umgekehrt, dass eine unveränderte Fortschreibung des Capex-Ausbaus auf der Kostenseite jetzt erstmals sichtbar auf die operative Marge (Rückgang um zwölf Prozentpunkte zum Vorjahr), den freien Cashflow (−91 %) und die Q3-Umsatzguidance (unterhalb der Konsens-Erwartung) durchschlägt — ein neuer Datenpunkt, der die in § 8.2 und § 8.3 dokumentierte Asymmetrie zwischen Personalreduktion und Infrastrukturausbau erstmals mit einer strukturellen Margen- und Cashflow-Spannung auf Konzernebene verbindet und die für die Deutschland-These (§ 8) relevante Frage aufwirft, ob und wann der Übergang vom Aufbaufinanzierten Wachstum zur konsolidierten Wertschöpfung eintritt. Am 30. Juli 2026 nach Marktschluss schließt </w:t>
      </w:r>
      <w:r>
        <w:rPr>
          <w:rFonts w:ascii="Arial" w:hAnsi="Arial"/>
          <w:b w:val="0"/>
          <w:i/>
          <w:sz w:val="19"/>
        </w:rPr>
        <w:t>Amazon.com</w:t>
      </w:r>
      <w:r>
        <w:rPr>
          <w:rFonts w:ascii="Arial" w:hAnsi="Arial"/>
          <w:b w:val="0"/>
          <w:i w:val="0"/>
          <w:sz w:val="19"/>
        </w:rPr>
        <w:t xml:space="preserve"> (NASDAQ: AMZN) den Hyperscaler-Q2-2026-Zyklus nach eigener Investor-Relations-Publikation sowie nach Berichterstattung von </w:t>
      </w:r>
      <w:r>
        <w:rPr>
          <w:rFonts w:ascii="Arial" w:hAnsi="Arial"/>
          <w:b w:val="0"/>
          <w:i/>
          <w:sz w:val="19"/>
        </w:rPr>
        <w:t>BusinessWire</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The Wrap</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Blockspace</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und </w:t>
      </w:r>
      <w:r>
        <w:rPr>
          <w:rFonts w:ascii="Arial" w:hAnsi="Arial"/>
          <w:b w:val="0"/>
          <w:i/>
          <w:sz w:val="19"/>
        </w:rPr>
        <w:t>Converge Digest</w:t>
      </w:r>
      <w:r>
        <w:rPr>
          <w:rFonts w:ascii="Arial" w:hAnsi="Arial"/>
          <w:b w:val="0"/>
          <w:i w:val="0"/>
          <w:sz w:val="19"/>
        </w:rPr>
        <w:t xml:space="preserve"> mit einem Konzernumsatz von 200,6 Milliarden US-Dollar (+20 % gegenüber Vorjahr — erstmaliges Überschreiten der 200-Milliarden-Marke in einem einzelnen Quartal) bei einem operativen Ergebnis von 27,5 Milliarden US-Dollar (+43 %), einem Nettogewinn von 62,6 Milliarden US-Dollar und einem verwässerten Ergebnis je Aktie von 5,75 US-Dollar (Konsens-Erwartung 1,81 US-Dollar). Der </w:t>
      </w:r>
      <w:r>
        <w:rPr>
          <w:rFonts w:ascii="Arial" w:hAnsi="Arial"/>
          <w:b w:val="0"/>
          <w:i/>
          <w:sz w:val="19"/>
        </w:rPr>
        <w:t>AWS</w:t>
      </w:r>
      <w:r>
        <w:rPr>
          <w:rFonts w:ascii="Arial" w:hAnsi="Arial"/>
          <w:b w:val="0"/>
          <w:i w:val="0"/>
          <w:sz w:val="19"/>
        </w:rPr>
        <w:t xml:space="preserve">-Segmentumsatz erreicht 42,2 Milliarden US-Dollar (+37 % — nach Konzernangaben das stärkste AWS-Quartalswachstum seit achtzehn Quartalen; laut CEO Andy Jassy präzise „36,7 % gegenüber Vorjahr"), das </w:t>
      </w:r>
      <w:r>
        <w:rPr>
          <w:rFonts w:ascii="Arial" w:hAnsi="Arial"/>
          <w:b w:val="0"/>
          <w:i/>
          <w:sz w:val="19"/>
        </w:rPr>
        <w:t>AWS</w:t>
      </w:r>
      <w:r>
        <w:rPr>
          <w:rFonts w:ascii="Arial" w:hAnsi="Arial"/>
          <w:b w:val="0"/>
          <w:i w:val="0"/>
          <w:sz w:val="19"/>
        </w:rPr>
        <w:t xml:space="preserve">-operative Ergebnis steigt auf 16,6 Milliarden US-Dollar (Vorjahresquartal 10,2 Milliarden US-Dollar; +63 %) bei einer </w:t>
      </w:r>
      <w:r>
        <w:rPr>
          <w:rFonts w:ascii="Arial" w:hAnsi="Arial"/>
          <w:b w:val="0"/>
          <w:i/>
          <w:sz w:val="19"/>
        </w:rPr>
        <w:t>AWS</w:t>
      </w:r>
      <w:r>
        <w:rPr>
          <w:rFonts w:ascii="Arial" w:hAnsi="Arial"/>
          <w:b w:val="0"/>
          <w:i w:val="0"/>
          <w:sz w:val="19"/>
        </w:rPr>
        <w:t xml:space="preserve">-operativen Marge von 39,4 %; die Segmente </w:t>
      </w:r>
      <w:r>
        <w:rPr>
          <w:rFonts w:ascii="Arial" w:hAnsi="Arial"/>
          <w:b w:val="0"/>
          <w:i/>
          <w:sz w:val="19"/>
        </w:rPr>
        <w:t>North America</w:t>
      </w:r>
      <w:r>
        <w:rPr>
          <w:rFonts w:ascii="Arial" w:hAnsi="Arial"/>
          <w:b w:val="0"/>
          <w:i w:val="0"/>
          <w:sz w:val="19"/>
        </w:rPr>
        <w:t xml:space="preserve"> (+16 % auf 116,2 Milliarden US-Dollar) und </w:t>
      </w:r>
      <w:r>
        <w:rPr>
          <w:rFonts w:ascii="Arial" w:hAnsi="Arial"/>
          <w:b w:val="0"/>
          <w:i/>
          <w:sz w:val="19"/>
        </w:rPr>
        <w:t>International</w:t>
      </w:r>
      <w:r>
        <w:rPr>
          <w:rFonts w:ascii="Arial" w:hAnsi="Arial"/>
          <w:b w:val="0"/>
          <w:i w:val="0"/>
          <w:sz w:val="19"/>
        </w:rPr>
        <w:t xml:space="preserve"> (+15 % auf 42,2 Milliarden US-Dollar) legen ebenfalls zweistellig zu. Auf der Infrastrukturseite hebt Amazon die 2026-Full-Year-Capex-Guidance von rund 200 auf rund 220 Milliarden US-Dollar an und begründet die Anhebung überwiegend mit gestiegenen Speicherpreisen; die Bruttoinvestition in </w:t>
      </w:r>
      <w:r>
        <w:rPr>
          <w:rFonts w:ascii="Arial" w:hAnsi="Arial"/>
          <w:b w:val="0"/>
          <w:i/>
          <w:sz w:val="19"/>
        </w:rPr>
        <w:t>property and equipment</w:t>
      </w:r>
      <w:r>
        <w:rPr>
          <w:rFonts w:ascii="Arial" w:hAnsi="Arial"/>
          <w:b w:val="0"/>
          <w:i w:val="0"/>
          <w:sz w:val="19"/>
        </w:rPr>
        <w:t xml:space="preserve"> über die vergangenen zwölf Monate wird mit +66,1 Milliarden US-Dollar ausgewiesen, der freie Cashflow auf Zwölfmonatsbasis dreht auf einen Abfluss von 7,6 Milliarden US-Dollar. Das </w:t>
      </w:r>
      <w:r>
        <w:rPr>
          <w:rFonts w:ascii="Arial" w:hAnsi="Arial"/>
          <w:b w:val="0"/>
          <w:i/>
          <w:sz w:val="19"/>
        </w:rPr>
        <w:t>AWS-AI</w:t>
      </w:r>
      <w:r>
        <w:rPr>
          <w:rFonts w:ascii="Arial" w:hAnsi="Arial"/>
          <w:b w:val="0"/>
          <w:i w:val="0"/>
          <w:sz w:val="19"/>
        </w:rPr>
        <w:t xml:space="preserve">-Geschäft überschreitet einen annualisierten Umsatz-Run-Rate von 25 Milliarden US-Dollar bei dreistelligem Wachstum, ebenso das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die </w:t>
      </w:r>
      <w:r>
        <w:rPr>
          <w:rFonts w:ascii="Arial" w:hAnsi="Arial"/>
          <w:b w:val="0"/>
          <w:i/>
          <w:sz w:val="19"/>
        </w:rPr>
        <w:t>Remaining Performance Obligation</w:t>
      </w:r>
      <w:r>
        <w:rPr>
          <w:rFonts w:ascii="Arial" w:hAnsi="Arial"/>
          <w:b w:val="0"/>
          <w:i w:val="0"/>
          <w:sz w:val="19"/>
        </w:rPr>
        <w:t xml:space="preserve"> liegt bei 496 Milliarden US-Dollar; Q3-2026-Umsatzguidance 197,0 bis 202,0 Milliarden US-Dollar (+9 bis 12 %), Q3-Operating-Income-Guidance 22,5 bis 26,5 Milliarden US-Dollar. CEO Andy Jassy verankert die Positionierung im Konjunktiv (Konjunktiv nach § 4.2 Claude.md) mit „even at that amount, we will still not have enough capacity to meet all the demand we have in 2026, and I believe this dynamic will also be true in 2027 too" und einer im Analystenteil des Calls formulierten Perspektive, AWS könne mittelfristig zu einer „trillion dollar" Umsatzeinheit heranwachsen; parallel stellt der Vorstand eine Milliarden-US-Dollar-Initiative </w:t>
      </w:r>
      <w:r>
        <w:rPr>
          <w:rFonts w:ascii="Arial" w:hAnsi="Arial"/>
          <w:b w:val="0"/>
          <w:i/>
          <w:sz w:val="19"/>
        </w:rPr>
        <w:t>AWS Forward Deployed Engineering</w:t>
      </w:r>
      <w:r>
        <w:rPr>
          <w:rFonts w:ascii="Arial" w:hAnsi="Arial"/>
          <w:b w:val="0"/>
          <w:i w:val="0"/>
          <w:sz w:val="19"/>
        </w:rPr>
        <w:t xml:space="preserve"> in Aussicht, in deren Rahmen AI-Ingenieurinnen und -Ingenieure direkt in Enterprise-Kundenteams eingebettet werden — organisatorisch dieselbe Deployment-vor-Grundlagenforschung-Logik, die die im Vorlauf dokumentierte AGI-Lab-Schließung und Nova-Portfolio-Bereinigung (§ 8.2) auf der Modell-Ebene bereits sichtbar gemacht hat. Für die Steuerdebatte schließt Amazon damit den Hyperscaler-Q2-2026-Kreis (Microsoft, Alphabet, Meta, Amazon) und stabilisiert die aggregierte 2026-Capex-Größenordnung fest jenseits von 700 Milliarden US-Dollar (Alphabet 195 bis 205, Amazon 220, Meta 130 bis 145, Microsoft FY2026 115,9 Milliarden US-Dollar; die Einzelsummen sind kalender- und fiskaljahres­verschoben und nicht ohne Umrechnung addierbar, bestätigen aber die im April 2026 revidierte Aggregatschätzung von rund 725 Milliarden US-Dollar für das Kalenderjahr 2026). Innerhalb dieses Kreises zeigt Amazon — vergleichbar mit Microsoft, im Gegensatz zu Meta — bislang keine Margenkompression trotz erhöhter Kapitalausgaben; das Marge-vs-Aufbau-Bild bleibt damit zweiteilig statt monoton und verankert die für § 5.1 (Wertschöpfungsabgabe als Anknüpfung an Maschinenkapital) und § 8.3 (Teilhabefonds als Anteil an Rohstoff-Rente) relevante Beobachtung, dass die Verdichtung der Wertschöpfung auf der Infrastruktur- und Rechenzentrums-Ebene inzwischen mehrere hundert Milliarden US-Dollar pro Kalenderjahr umfasst und die im Vorlauf dokumentierte Deployment-vor-Grundlagenforschung-Verschiebung nun auch auf der Konzern-Umsatzseite (AWS-AI-Run-Rate ≥ 25 Milliarden US-Dollar) empirisch fassbar wird. Auf der Layoff-Trackerebene bestätigt sich Anfang August 2026 die im laufenden Jahr gebildete Grundtendenz: Nach übereinstimmender Auswertung von </w:t>
      </w:r>
      <w:r>
        <w:rPr>
          <w:rFonts w:ascii="Arial" w:hAnsi="Arial"/>
          <w:b w:val="0"/>
          <w:i/>
          <w:sz w:val="19"/>
        </w:rPr>
        <w:t>IBTimes</w:t>
      </w:r>
      <w:r>
        <w:rPr>
          <w:rFonts w:ascii="Arial" w:hAnsi="Arial"/>
          <w:b w:val="0"/>
          <w:i w:val="0"/>
          <w:sz w:val="19"/>
        </w:rPr>
        <w:t xml:space="preserve">, </w:t>
      </w:r>
      <w:r>
        <w:rPr>
          <w:rFonts w:ascii="Arial" w:hAnsi="Arial"/>
          <w:b w:val="0"/>
          <w:i/>
          <w:sz w:val="19"/>
        </w:rPr>
        <w:t>Yahoo Tech</w:t>
      </w:r>
      <w:r>
        <w:rPr>
          <w:rFonts w:ascii="Arial" w:hAnsi="Arial"/>
          <w:b w:val="0"/>
          <w:i w:val="0"/>
          <w:sz w:val="19"/>
        </w:rPr>
        <w:t xml:space="preserve"> und </w:t>
      </w:r>
      <w:r>
        <w:rPr>
          <w:rFonts w:ascii="Arial" w:hAnsi="Arial"/>
          <w:b w:val="0"/>
          <w:i/>
          <w:sz w:val="19"/>
        </w:rPr>
        <w:t>Tech.co</w:t>
      </w:r>
      <w:r>
        <w:rPr>
          <w:rFonts w:ascii="Arial" w:hAnsi="Arial"/>
          <w:b w:val="0"/>
          <w:i w:val="0"/>
          <w:sz w:val="19"/>
        </w:rPr>
        <w:t xml:space="preserve"> (Berichtsstand 6. August 2026) hat die Zahl der kumulierten Tech-Stellenstreichungen für das laufende Jahr die 2025er Jahressumme bereits überschritten und liegt bei rund 125.000 betroffenen Beschäftigten in etwa 264 erfassten Unternehmen; hinzu treten Anfang August 2026 neue Ankündigungen (u. a. Zillow rund 500 Stellen am 4. August 2026 nach Blog-Post von CEO Jeremy Wacksman; Google-Rolling-Reviews im mittleren einstelligen Tausender-Bereich; TikTok und Etsy im niedrigen dreistelligen Bereich, deren AI-Kausalität von den Unternehmen jeweils bestritten wird). Am 7. August 2026 hat </w:t>
      </w:r>
      <w:r>
        <w:rPr>
          <w:rFonts w:ascii="Arial" w:hAnsi="Arial"/>
          <w:b w:val="0"/>
          <w:i/>
          <w:sz w:val="19"/>
        </w:rPr>
        <w:t>Salesforce</w:t>
      </w:r>
      <w:r>
        <w:rPr>
          <w:rFonts w:ascii="Arial" w:hAnsi="Arial"/>
          <w:b w:val="0"/>
          <w:i w:val="0"/>
          <w:sz w:val="19"/>
        </w:rPr>
        <w:t xml:space="preserve"> nach übereinstimmender Berichterstattung von </w:t>
      </w:r>
      <w:r>
        <w:rPr>
          <w:rFonts w:ascii="Arial" w:hAnsi="Arial"/>
          <w:b w:val="0"/>
          <w:i/>
          <w:sz w:val="19"/>
        </w:rPr>
        <w:t>The Next Web</w:t>
      </w:r>
      <w:r>
        <w:rPr>
          <w:rFonts w:ascii="Arial" w:hAnsi="Arial"/>
          <w:b w:val="0"/>
          <w:i w:val="0"/>
          <w:sz w:val="19"/>
        </w:rPr>
        <w:t xml:space="preserve">, </w:t>
      </w:r>
      <w:r>
        <w:rPr>
          <w:rFonts w:ascii="Arial" w:hAnsi="Arial"/>
          <w:b w:val="0"/>
          <w:i/>
          <w:sz w:val="19"/>
        </w:rPr>
        <w:t>Salesforce Ben</w:t>
      </w:r>
      <w:r>
        <w:rPr>
          <w:rFonts w:ascii="Arial" w:hAnsi="Arial"/>
          <w:b w:val="0"/>
          <w:i w:val="0"/>
          <w:sz w:val="19"/>
        </w:rPr>
        <w:t xml:space="preserve">, </w:t>
      </w:r>
      <w:r>
        <w:rPr>
          <w:rFonts w:ascii="Arial" w:hAnsi="Arial"/>
          <w:b w:val="0"/>
          <w:i/>
          <w:sz w:val="19"/>
        </w:rPr>
        <w:t>Inc.</w:t>
      </w:r>
      <w:r>
        <w:rPr>
          <w:rFonts w:ascii="Arial" w:hAnsi="Arial"/>
          <w:b w:val="0"/>
          <w:i w:val="0"/>
          <w:sz w:val="19"/>
        </w:rPr>
        <w:t xml:space="preserve"> und </w:t>
      </w:r>
      <w:r>
        <w:rPr>
          <w:rFonts w:ascii="Arial" w:hAnsi="Arial"/>
          <w:b w:val="0"/>
          <w:i/>
          <w:sz w:val="19"/>
        </w:rPr>
        <w:t>Final Round AI</w:t>
      </w:r>
      <w:r>
        <w:rPr>
          <w:rFonts w:ascii="Arial" w:hAnsi="Arial"/>
          <w:b w:val="0"/>
          <w:i w:val="0"/>
          <w:sz w:val="19"/>
        </w:rPr>
        <w:t xml:space="preserve"> eine dritte Runde von </w:t>
      </w:r>
      <w:r>
        <w:rPr>
          <w:rFonts w:ascii="Arial" w:hAnsi="Arial"/>
          <w:b w:val="0"/>
          <w:i/>
          <w:sz w:val="19"/>
        </w:rPr>
        <w:t>WARN</w:t>
      </w:r>
      <w:r>
        <w:rPr>
          <w:rFonts w:ascii="Arial" w:hAnsi="Arial"/>
          <w:b w:val="0"/>
          <w:i w:val="0"/>
          <w:sz w:val="19"/>
        </w:rPr>
        <w:t xml:space="preserve">-Anzeigen für den 5. Oktober 2026 mit rund 133 Stellenstreichungen (74 im San-Francisco-Headquarter in Kalifornien; 59 in Bellevue und Seattle im Bundesstaat Washington) eingereicht — die betroffenen Rollen sind stark auf Software-Engineering im Umfeld der AI-Agent-Plattform </w:t>
      </w:r>
      <w:r>
        <w:rPr>
          <w:rFonts w:ascii="Arial" w:hAnsi="Arial"/>
          <w:b w:val="0"/>
          <w:i/>
          <w:sz w:val="19"/>
        </w:rPr>
        <w:t>Agentforce</w:t>
      </w:r>
      <w:r>
        <w:rPr>
          <w:rFonts w:ascii="Arial" w:hAnsi="Arial"/>
          <w:b w:val="0"/>
          <w:i w:val="0"/>
          <w:sz w:val="19"/>
        </w:rPr>
        <w:t xml:space="preserve"> (Bestand nach Konzernangaben rund 1,2 Milliarden US-Dollar </w:t>
      </w:r>
      <w:r>
        <w:rPr>
          <w:rFonts w:ascii="Arial" w:hAnsi="Arial"/>
          <w:b w:val="0"/>
          <w:i/>
          <w:sz w:val="19"/>
        </w:rPr>
        <w:t>annualised recurring revenue</w:t>
      </w:r>
      <w:r>
        <w:rPr>
          <w:rFonts w:ascii="Arial" w:hAnsi="Arial"/>
          <w:b w:val="0"/>
          <w:i w:val="0"/>
          <w:sz w:val="19"/>
        </w:rPr>
        <w:t xml:space="preserve">, +205 % im Vergleich zum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während die WARN-Filings selbst KI nicht als Grund benennen. </w:t>
      </w:r>
      <w:r>
        <w:rPr>
          <w:rFonts w:ascii="Arial" w:hAnsi="Arial"/>
          <w:b w:val="0"/>
          <w:i/>
          <w:sz w:val="19"/>
        </w:rPr>
        <w:t>Salesforce</w:t>
      </w:r>
      <w:r>
        <w:rPr>
          <w:rFonts w:ascii="Arial" w:hAnsi="Arial"/>
          <w:b w:val="0"/>
          <w:i w:val="0"/>
          <w:sz w:val="19"/>
        </w:rPr>
        <w:t xml:space="preserve">-CEO Marc Benioff hat parallel öffentlich hinterlegt, dass die Kundendienst-Belegschaft binnen eines Jahres von rund 9.000 auf rund 5.000 Beschäftigte reduziert worden sei („I need less heads"), während KI-gestützte Automatisierung nach eigenen Angaben inzwischen 30 bis 50 Prozent der Konzernarbeit übernehme. Für die in § 9.1 diskutierte Kausalattributionsproblematik markiert der Vorgang eine weitere Runde des typischen Vorbild­musters aus § 1.1: In den </w:t>
      </w:r>
      <w:r>
        <w:rPr>
          <w:rFonts w:ascii="Arial" w:hAnsi="Arial"/>
          <w:b w:val="0"/>
          <w:i/>
          <w:sz w:val="19"/>
        </w:rPr>
        <w:t>WARN</w:t>
      </w:r>
      <w:r>
        <w:rPr>
          <w:rFonts w:ascii="Arial" w:hAnsi="Arial"/>
          <w:b w:val="0"/>
          <w:i w:val="0"/>
          <w:sz w:val="19"/>
        </w:rPr>
        <w:t>-Filings taucht KI nicht auf, während dieselbe Geschäftsleitung sie in der Kapitalmarktkommunikation als Effizienzquelle offen benennt — ein weiterer Aufnahmefall in die im Connecticut-</w:t>
      </w:r>
      <w:r>
        <w:rPr>
          <w:rFonts w:ascii="Arial" w:hAnsi="Arial"/>
          <w:b w:val="0"/>
          <w:i/>
          <w:sz w:val="19"/>
        </w:rPr>
        <w:t>SB-5</w:t>
      </w:r>
      <w:r>
        <w:rPr>
          <w:rFonts w:ascii="Arial" w:hAnsi="Arial"/>
          <w:b w:val="0"/>
          <w:i w:val="0"/>
          <w:sz w:val="19"/>
        </w:rPr>
        <w:t xml:space="preserve">-WARN-Erweiterung (§ 4.5) angezielte Anzeigepflicht. Die Challenger-Serie beziffert die für Januar bis Juni 2026 explizit auf AI zurückgeführten US-Stellenstreichungen mit rund 101.700 (fast das Doppelte des Gesamtjahreswerts 2025) und weist damit den vierten Monat in Folge (März bis Juni 2026) AI als führenden Layoff-Grund aus. Nachtrag zum 7./10. August 2026: Der Massachusetts-basierte Cybersecurity-Anbieter </w:t>
      </w:r>
      <w:r>
        <w:rPr>
          <w:rFonts w:ascii="Arial" w:hAnsi="Arial"/>
          <w:b w:val="0"/>
          <w:i/>
          <w:sz w:val="19"/>
        </w:rPr>
        <w:t>Rapid7</w:t>
      </w:r>
      <w:r>
        <w:rPr>
          <w:rFonts w:ascii="Arial" w:hAnsi="Arial"/>
          <w:b w:val="0"/>
          <w:i w:val="0"/>
          <w:sz w:val="19"/>
        </w:rPr>
        <w:t xml:space="preserve"> (Boston) hat im Q2-Ergebnisbericht vom 10. August 2026 eine am 7. August 2026 vom Board beschlossene Restrukturierung mit rund 310 Stellenstreichungen (12 Prozent der rund 2.600 Beschäftigten weltweit) angekündigt und den Restrukturierungsaufwand auf 10 bis 11 Millionen US-Dollar (überwiegend Q3/Q4 2026) beziffert; der neu berufene CEO </w:t>
      </w:r>
      <w:r>
        <w:rPr>
          <w:rFonts w:ascii="Arial" w:hAnsi="Arial"/>
          <w:b w:val="0"/>
          <w:i/>
          <w:sz w:val="19"/>
        </w:rPr>
        <w:t>Wael Mohamed</w:t>
      </w:r>
      <w:r>
        <w:rPr>
          <w:rFonts w:ascii="Arial" w:hAnsi="Arial"/>
          <w:b w:val="0"/>
          <w:i w:val="0"/>
          <w:sz w:val="19"/>
        </w:rPr>
        <w:t xml:space="preserve"> begründet den Schritt mit einer stärkeren Fokussierung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während die Presse-Berichterstattung (Boston Globe, SiliconAngle, HR Katha, TheHRDigest, Pulse2) den Schritt als Umstellung auf eine „AI-first cybersecurity platform"-Strategie einordnet. Q2-Umsatz nach Konzernangaben 210,9 Millionen US-Dollar (−1,5 Prozent gegenüber Vorjahresquartal); außereuropäische Streichungen unterliegen dort örtlichen Konsultationsregeln und könnten sich über das vierte Quartal 2026 hinaus erstrecken (Konjunktivpflicht nach § 4.2 Claude.md). Weiterer Nachtrag zum 13. August 2026: Nach übereinstimmender Berichterstattung von </w:t>
      </w:r>
      <w:r>
        <w:rPr>
          <w:rFonts w:ascii="Arial" w:hAnsi="Arial"/>
          <w:b w:val="0"/>
          <w:i/>
          <w:sz w:val="19"/>
        </w:rPr>
        <w:t>TheNextWeb</w:t>
      </w:r>
      <w:r>
        <w:rPr>
          <w:rFonts w:ascii="Arial" w:hAnsi="Arial"/>
          <w:b w:val="0"/>
          <w:i w:val="0"/>
          <w:sz w:val="19"/>
        </w:rPr>
        <w:t xml:space="preserve"> („Oracle plans fresh August layoffs as its AI spending spree bites", 13. August 2026), </w:t>
      </w:r>
      <w:r>
        <w:rPr>
          <w:rFonts w:ascii="Arial" w:hAnsi="Arial"/>
          <w:b w:val="0"/>
          <w:i/>
          <w:sz w:val="19"/>
        </w:rPr>
        <w:t>Yahoo Finance</w:t>
      </w:r>
      <w:r>
        <w:rPr>
          <w:rFonts w:ascii="Arial" w:hAnsi="Arial"/>
          <w:b w:val="0"/>
          <w:i w:val="0"/>
          <w:sz w:val="19"/>
        </w:rPr>
        <w:t xml:space="preserve"> und </w:t>
      </w:r>
      <w:r>
        <w:rPr>
          <w:rFonts w:ascii="Arial" w:hAnsi="Arial"/>
          <w:b w:val="0"/>
          <w:i/>
          <w:sz w:val="19"/>
        </w:rPr>
        <w:t>NAI 500</w:t>
      </w:r>
      <w:r>
        <w:rPr>
          <w:rFonts w:ascii="Arial" w:hAnsi="Arial"/>
          <w:b w:val="0"/>
          <w:i w:val="0"/>
          <w:sz w:val="19"/>
        </w:rPr>
        <w:t xml:space="preserve"> bereitet </w:t>
      </w:r>
      <w:r>
        <w:rPr>
          <w:rFonts w:ascii="Arial" w:hAnsi="Arial"/>
          <w:b w:val="0"/>
          <w:i/>
          <w:sz w:val="19"/>
        </w:rPr>
        <w:t>Oracle</w:t>
      </w:r>
      <w:r>
        <w:rPr>
          <w:rFonts w:ascii="Arial" w:hAnsi="Arial"/>
          <w:b w:val="0"/>
          <w:i w:val="0"/>
          <w:sz w:val="19"/>
        </w:rPr>
        <w:t xml:space="preserve"> eine weitere Layoff-Runde vor dem Beginn des zweiten Geschäftsquartals am 1. September 2026 vor; Führungskräfte sollen die betroffenen Beschäftigten identifizieren, einzelne Bereiche mit zweistelligen Prozent-Reduktionen. Der Vorgang schreibt die bereits im Geschäftsjahr bis 31. Mai 2026 vollzogene Reduktion von rund 21.000 Stellen (rund 13 Prozent, von 162.000 auf 141.000 Beschäftigte; Restrukturierungsaufwand 1,8 Milliarden US-Dollar mit erwarteter Endabrechnung bis 2,1 Milliarden US-Dollar) fort. Die Berichterstattung stellt die Personalreduktion in direkten Zusammenhang mit dem KI-Investitionsprogramm des Konzerns, dessen Investitionen im Geschäftsjahr 2026 auf rund 55,7 Milliarden US-Dollar (von 21,2 Milliarden US-Dollar im Vorjahr) gestiegen sind und nach Konzernangaben über 43 Milliarden US-Dollar Anleihen und 5 Milliarden US-Dollar Eigenkapital finanziert wurden; für das laufende Jahr sind weitere rund 40 Milliarden US-Dollar an Fremd- und Eigenkapital vorgesehen (Konjunktivpflicht nach § 4.2 Claude.md, da die endgültige Runde noch nicht öffentlich beziffert ist). Die Konstellation — parallel wachsende Capex-Programme und paketförmige Personalreduktionen — bestätigt für die in § 1.1 und § 8.2 dokumentierte Asymmetrie zwischen Personalabbau und Compute-Ausbau einen weiteren datenpunktartigen Belegfall.</w:t>
      </w:r>
    </w:p>
    <w:p>
      <w:pPr>
        <w:jc w:val="both"/>
      </w:pPr>
      <w:r>
        <w:rPr>
          <w:rFonts w:ascii="Arial" w:hAnsi="Arial"/>
          <w:b w:val="0"/>
          <w:i w:val="0"/>
          <w:sz w:val="19"/>
        </w:rPr>
        <w:t>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Stanford Digital Economy Lab (Juli 2026):</w:t>
      </w:r>
      <w:r>
        <w:rPr>
          <w:rFonts w:ascii="Arial" w:hAnsi="Arial"/>
          <w:b w:val="0"/>
          <w:i w:val="0"/>
          <w:sz w:val="19"/>
        </w:rPr>
        <w:t xml:space="preserve"> Am 13. Juli 2026 veröffentlichte das </w:t>
      </w:r>
      <w:r>
        <w:rPr>
          <w:rFonts w:ascii="Arial" w:hAnsi="Arial"/>
          <w:b w:val="0"/>
          <w:i/>
          <w:sz w:val="19"/>
        </w:rPr>
        <w:t>Stanford Digital Economy Lab</w:t>
      </w:r>
      <w:r>
        <w:rPr>
          <w:rFonts w:ascii="Arial" w:hAnsi="Arial"/>
          <w:b w:val="0"/>
          <w:i w:val="0"/>
          <w:sz w:val="19"/>
        </w:rPr>
        <w:t xml:space="preserve"> die Erklärung </w:t>
      </w:r>
      <w:r>
        <w:rPr>
          <w:rFonts w:ascii="Arial" w:hAnsi="Arial"/>
          <w:b w:val="0"/>
          <w:i/>
          <w:sz w:val="19"/>
        </w:rPr>
        <w:t>„We Must Act Now: A Statement on AI's Transformation of the Economy"</w:t>
      </w:r>
      <w:r>
        <w:rPr>
          <w:rFonts w:ascii="Arial" w:hAnsi="Arial"/>
          <w:b w:val="0"/>
          <w:i w:val="0"/>
          <w:sz w:val="19"/>
        </w:rPr>
        <w:t>, organisiert von Erik Brynjolfsson (Stanford), Ajay Agrawal (University of Toronto), Anton Korinek (University of Virginia / Anthropic) und Tom Cunningham (METR); zum Startzeitpunkt haben nach Angaben der Organisatoren mehr als 200 Ökonominnen, Ökonomen und KI-Forschende — darunter sechzehn Nobelpreisträger (u. a. Daron Acemoglu, Simon Johnson, Joseph Stiglitz, Paul Krugman, Michael Spence, Ben Bernanke) sowie leitende Vertreter aus KI-Unternehmen (Jack Clark / Anthropic, Sarah Friar / OpenAI, Jeff Dean / Google, Yoshua Bengio, Yann LeCun, Eric Schmidt) — unterzeichnet; das begleitende Zeichnungsportal wemustactnow.ai weist zum Referenzzeitpunkt bereits über 350 Unterschriften aus. Die drei Kernaussagen lauten sinngemäß: KI könne in den kommenden zehn Jahren erheblich leistungsfähiger werden; die daraus folgende ökonomische Transformation könne größer ausfallen als die Industrielle Revolution, sich aber in Jahren statt Jahrzehnten vollziehen — Dampfmaschine, Elektrizität und Computer hätten Gesellschaften jeweils Jahrzehnte Anpassungszeit gelassen, KI möglicherweise nur wenige Jahre; es bedürfe unverzüglich der „Anreize, Leitplanken und Institutionen", um KI in eine gesellschaftlich nützliche Richtung zu lenken, statt Verteilungsfolgen erst nach eingetretener Transformation zu adressieren. Für die hier geführte Debatte ist die Erklärung in zweifacher Hinsicht bemerkenswert: Erstens dokumentiert sie eine sichtbare Positionsbewegung von Daron Acemoglu und Simon Johnson (2024 gemeinsam mit James A. Robinson für Institutionenforschung mit dem Nobelpreis ausgezeichnet), die frühere Warnungen vor großflächiger KI-bedingter Arbeitsplatz­verdrängung skeptisch eingeordnet hatten und nun ausdrücklich zu institutioneller Vorsorge aufrufen — eine Bewegung, die mit dem in § 3.5 referierten Nebeneinander von moderaten aggregierten Beschäftigungseffekten und wachsenden Verteilungssorgen konsistent ist. Zweitens verankert der Kreis der Organisatoren (Brynjolfsson, Agrawal, Korinek, Cunningham) den in § 3.3 aufgenommenen Korinek-Lockwood-Rahmen politisch: Die dort empfohlene Verbreiterung der Konsumbesteuerung und die Output-Besteuerung automatisierter Dienstleistungen finden in der Erklärung eine breitere, akademisch-institutionelle Trägerbasis. Referenzen im Konjunktiv nach § 4.2 Claude.md, weil die Erklärung eine kollektive Handlungsaufforderung und keine empirisch belastbare Modellprognose enthält. Der Schulterschluss ändert nichts an der in § 3 dokumentierten Bandbreite konkreter Instrumentenvorschläge; er stärkt die institutionelle Legitimation, ohne den in § 8 entwickelten deutschen Pfad zu präjudizieren, und verengt zugleich den Argumentations­spielraum für zögerliches Nichtstun, weil die Kernwarnung — Transformationsgeschwindigkeit vor institutioneller Anpassungsfähigkeit — nun auch von zuvor skeptischen Autoritäten ausgesprochen wird.</w:t>
      </w:r>
    </w:p>
    <w:p>
      <w:pPr>
        <w:jc w:val="both"/>
      </w:pPr>
      <w:r>
        <w:rPr>
          <w:rFonts w:ascii="Arial" w:hAnsi="Arial"/>
          <w:b/>
          <w:i w:val="0"/>
          <w:sz w:val="19"/>
        </w:rPr>
        <w:t>Dynan, Elmendorf &amp; Sheiner (Juli 2026):</w:t>
      </w:r>
      <w:r>
        <w:rPr>
          <w:rFonts w:ascii="Arial" w:hAnsi="Arial"/>
          <w:b w:val="0"/>
          <w:i w:val="0"/>
          <w:sz w:val="19"/>
        </w:rPr>
        <w:t xml:space="preserve"> Karen Dynan (Harvard), Douglas Elmendorf (Harvard; früherer CBO-Direktor) und Louise Sheiner (Brookings, Hutchins Center) legen mit „How Might Fiscal Policy Respond to the Rise of Artificial Intelligence?" (NBER Working Paper 35437, Juli 2026; vorbereitet für die Brookings-Konferenz „The Forces Shaping America's Fiscal Future" im Juni 2026) eine szenariogestützte Analyse der US-Bundeshaushalts­wirkung KI-induzierter Struktur­verschiebungen vor. Ausgehend von einem aktuellen US-Schuldenstand von rund 101 % des Bruttoinlandsprodukts und der CBO-Baseline-Projektion von rund 175 % bis 2056 kombinieren die Autoren vier Langfristszenarien — schnelleres Produktivitätswachstum, größere Einkommensungleichheit, dauerhafte Beschäftigungs­verdrängung und ein höherer Kapitalanteil am Einkommen — in unterschiedlichen Ausprägungen. In dem als „schlimmster Fall" (permanente Arbeitsplatz­verluste, Einkommensverschiebung zu Kapitalbesitzern) markierten Szenario läge die Bundes­verschuldung im Jahr 2056 nach ihrer Modellrechnung bei nur noch rund 126 % des Bruttoinlandsprodukts — eine Reduktion um rund 49 Prozentpunkte gegenüber der Baseline, allerdings zum Preis einer erheblichen Neuordnung von Beschäftigung und Einkommensverteilung. Die Autoren würden gemäß begleitender Berichterstattung die gegenwärtige CBO-Standardannahme von lediglich +0,1 Prozentpunkten zusätzlichem jährlichen KI-Produktivitäts­wachstum (zusätzlich zu 1,1 % über 30 Jahre) im Konjunktiv als zu konservativ bezeichnen, ohne eine eigene Punktschätzung vorzulegen — Elmendorf äußerte laut Berichterstattung sinngemäß, „einen größeren Schub" einzukalkulieren, betont aber, „ich glaube nicht, dass jemand die wahre Zahl kennen kann". Die Autoren empfehlen als politikrobuste Antwort einen Instrumentenmix aus wirtschafts­wachstums­fördernden Maßnahmen, Umverteilungs­instrumenten, Arbeitnehmer-Übergangs­hilfen sowie Kapital­besteuerung und Eigentums­fragen; besonders bemerkenswert ist ihre Präferenz für breit angelegte Arbeitsvermittlungs- und Qualifizierungs­instrumente statt KI-spezifischer Programme, weil diese über verschiedene KI-Trajektorien hinweg belastbar seien. Für die hier geführte Debatte ergänzt die Studie den Korinek-Lockwood-Rahmen (siehe voranstehender Absatz) um eine quantitative Szenariomatrix und untermauert die in § 3.5 formulierte Empfehlung einer </w:t>
      </w:r>
      <w:r>
        <w:rPr>
          <w:rFonts w:ascii="Arial" w:hAnsi="Arial"/>
          <w:b w:val="0"/>
          <w:i/>
          <w:sz w:val="19"/>
        </w:rPr>
        <w:t>szenariorobusten</w:t>
      </w:r>
      <w:r>
        <w:rPr>
          <w:rFonts w:ascii="Arial" w:hAnsi="Arial"/>
          <w:b w:val="0"/>
          <w:i w:val="0"/>
          <w:sz w:val="19"/>
        </w:rPr>
        <w:t xml:space="preserve"> steuerpolitischen Auslegung: Konkrete Punktschätzungen scheitern an der KI-bedingten Prognose­unsicherheit; Instrumente, die über mehrere Szenarien stabil bleiben, sind aus Sicht der Autoren fiskalisch überlegen. Referenzen im Konjunktiv nach § 4.2 Claude.md, weil der Bericht Modellprognosen und keine empirisch beobachteten Aggregate liefert.</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 Am 22. Juli 2026 hat </w:t>
      </w:r>
      <w:r>
        <w:rPr>
          <w:rFonts w:ascii="Arial" w:hAnsi="Arial"/>
          <w:b w:val="0"/>
          <w:i/>
          <w:sz w:val="19"/>
        </w:rPr>
        <w:t>Peter McCrory</w:t>
      </w:r>
      <w:r>
        <w:rPr>
          <w:rFonts w:ascii="Arial" w:hAnsi="Arial"/>
          <w:b w:val="0"/>
          <w:i w:val="0"/>
          <w:sz w:val="19"/>
        </w:rPr>
        <w:t xml:space="preserve">, Head of Economics bei Anthropic, mit einem als Langtext auf X publizierten Essay eine explizite Synthese von 18 Monaten unternehmensinterner ökonomischer Anthropic-Forschung mit aktualisierten Daten des </w:t>
      </w:r>
      <w:r>
        <w:rPr>
          <w:rFonts w:ascii="Arial" w:hAnsi="Arial"/>
          <w:b w:val="0"/>
          <w:i/>
          <w:sz w:val="19"/>
        </w:rPr>
        <w:t>Bureau of Labor Statistics</w:t>
      </w:r>
      <w:r>
        <w:rPr>
          <w:rFonts w:ascii="Arial" w:hAnsi="Arial"/>
          <w:b w:val="0"/>
          <w:i w:val="0"/>
          <w:sz w:val="19"/>
        </w:rPr>
        <w:t xml:space="preserve"> vorgelegt (aufgegriffen von </w:t>
      </w:r>
      <w:r>
        <w:rPr>
          <w:rFonts w:ascii="Arial" w:hAnsi="Arial"/>
          <w:b w:val="0"/>
          <w:i/>
          <w:sz w:val="19"/>
        </w:rPr>
        <w:t>Fortune</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Storyboard18</w:t>
      </w:r>
      <w:r>
        <w:rPr>
          <w:rFonts w:ascii="Arial" w:hAnsi="Arial"/>
          <w:b w:val="0"/>
          <w:i w:val="0"/>
          <w:sz w:val="19"/>
        </w:rPr>
        <w:t xml:space="preserve">, </w:t>
      </w:r>
      <w:r>
        <w:rPr>
          <w:rFonts w:ascii="Arial" w:hAnsi="Arial"/>
          <w:b w:val="0"/>
          <w:i/>
          <w:sz w:val="19"/>
        </w:rPr>
        <w:t>BigGo Finance</w:t>
      </w:r>
      <w:r>
        <w:rPr>
          <w:rFonts w:ascii="Arial" w:hAnsi="Arial"/>
          <w:b w:val="0"/>
          <w:i w:val="0"/>
          <w:sz w:val="19"/>
        </w:rPr>
        <w:t xml:space="preserve"> am 23./24. Juli 2026); Kernaussage nach McCrory: „AI has caused no material increase in the unemployment rate to date" (Konjunktiv nach § 4.2 Claude.md — als von Anthropic vorgetragene Auslegung referiert). McCrory belegt die Aussage mit einer US-Arbeitslosenquote von 4,2 % im Juni 2026 (von der Federal Reserve als Vollbeschäftigungsniveau bezeichnet), mit Prime-Age-Employment nahe Mehrdekaden-Hoch und mit einer aktualisierten BLS-Analyse, die für Beschäftigte in hoch KI-exponierten Berufen keine relative Verschlechterung gegenüber weniger exponierten Berufen zeige. Als Erklärung führt McCrory die </w:t>
      </w:r>
      <w:r>
        <w:rPr>
          <w:rFonts w:ascii="Arial" w:hAnsi="Arial"/>
          <w:b w:val="0"/>
          <w:i/>
          <w:sz w:val="19"/>
        </w:rPr>
        <w:t>„stubbornly jagged"</w:t>
      </w:r>
      <w:r>
        <w:rPr>
          <w:rFonts w:ascii="Arial" w:hAnsi="Arial"/>
          <w:b w:val="0"/>
          <w:i w:val="0"/>
          <w:sz w:val="19"/>
        </w:rPr>
        <w:t>-Struktur der aktuellen KI-Fähigkeiten an: In der O</w:t>
      </w:r>
      <w:r>
        <w:rPr>
          <w:rFonts w:ascii="Arial" w:hAnsi="Arial"/>
          <w:b w:val="0"/>
          <w:i/>
          <w:sz w:val="19"/>
        </w:rPr>
        <w:t xml:space="preserve">NET-Berufsdatenbank des US-Arbeitsministeriums gebe es keine Berufsklasse, deren gesamter Aufgabenkatalog vollständig durch Claude bearbeitet werde; komplexe Vorgänge benötigten weiterhin menschliche Aufsicht. McCrory räumt zugleich frühe Warnsignale ein — eine schwächere Einstellungs­dynamik für jüngere Beschäftigte in exponierten Rollen (Referenz auf Lichtinger &amp; Hosseini Maasoum 2025 sowie auf die eigene Massenkoff/McCrory-Studie vom März 2026) — und formuliert konjunktivisch, er erwarte innerhalb der nächsten zwölf Monate keine spürbar höhere Arbeitslosigkeit als KI-Folge. Positional ist der Essay als datenbasierte Zurücknahme der in den Vorjahren durch Anthropic-CEO Dario Amodei verbreiteten </w:t>
      </w:r>
      <w:r>
        <w:rPr>
          <w:rFonts w:ascii="Arial" w:hAnsi="Arial"/>
          <w:b w:val="0"/>
          <w:i w:val="0"/>
          <w:sz w:val="19"/>
        </w:rPr>
        <w:t>„50 % of entry-level white-collar jobs"</w:t>
      </w:r>
      <w:r>
        <w:rPr>
          <w:rFonts w:ascii="Arial" w:hAnsi="Arial"/>
          <w:b w:val="0"/>
          <w:i/>
          <w:sz w:val="19"/>
        </w:rPr>
        <w:t xml:space="preserve">-Prognose zu lesen — eine Bewegung, die parallel zu Sam Altmans revidierten Aussagen dokumentiert ist. Für die hier geführte Steuerdebatte hat der Beitrag drei Implikationen: Erstens bestätigt er auf der Aggregat-Ebene die in Massenkoff/McCrory (März 2026), im </w:t>
      </w:r>
      <w:r>
        <w:rPr>
          <w:rFonts w:ascii="Arial" w:hAnsi="Arial"/>
          <w:b w:val="0"/>
          <w:i w:val="0"/>
          <w:sz w:val="19"/>
        </w:rPr>
        <w:t>Yale-Budget-Lab</w:t>
      </w:r>
      <w:r>
        <w:rPr>
          <w:rFonts w:ascii="Arial" w:hAnsi="Arial"/>
          <w:b w:val="0"/>
          <w:i/>
          <w:sz w:val="19"/>
        </w:rPr>
        <w:t xml:space="preserve">-Tracking (Mai 2026) und in der FEDS Note </w:t>
      </w:r>
      <w:r>
        <w:rPr>
          <w:rFonts w:ascii="Arial" w:hAnsi="Arial"/>
          <w:b w:val="0"/>
          <w:i w:val="0"/>
          <w:sz w:val="19"/>
        </w:rPr>
        <w:t>„The AI Buildout and the Economy"</w:t>
      </w:r>
      <w:r>
        <w:rPr>
          <w:rFonts w:ascii="Arial" w:hAnsi="Arial"/>
          <w:b w:val="0"/>
          <w:i/>
          <w:sz w:val="19"/>
        </w:rPr>
        <w:t xml:space="preserve"> vom 17. Juli 2026 dokumentierte Linie moderater Aggregat­wirkungen bei erkennbaren sektoralen und altersspezifischen Frühwirkungen; zweitens verweist die </w:t>
      </w:r>
      <w:r>
        <w:rPr>
          <w:rFonts w:ascii="Arial" w:hAnsi="Arial"/>
          <w:b w:val="0"/>
          <w:i w:val="0"/>
          <w:sz w:val="19"/>
        </w:rPr>
        <w:t>„jagged capability"</w:t>
      </w:r>
      <w:r>
        <w:rPr>
          <w:rFonts w:ascii="Arial" w:hAnsi="Arial"/>
          <w:b w:val="0"/>
          <w:i/>
          <w:sz w:val="19"/>
        </w:rPr>
        <w:t xml:space="preserve">-Diagnose auf die in § 9.1 diskutierte Kausalattributions­problematik einer engen Typ-5-Ersatzabgabe, weil sich systematische Verdrängung auch aus Anbieter-Sicht nicht ohne Weiteres in einer Berufsklasse identifizieren lässt; drittens stützt der Befund die in § 8.4 entwickelte Auslegung, dass die </w:t>
      </w:r>
      <w:r>
        <w:rPr>
          <w:rFonts w:ascii="Arial" w:hAnsi="Arial"/>
          <w:b w:val="0"/>
          <w:i w:val="0"/>
          <w:sz w:val="19"/>
        </w:rPr>
        <w:t>Verteilungsfrage</w:t>
      </w:r>
      <w:r>
        <w:rPr>
          <w:rFonts w:ascii="Arial" w:hAnsi="Arial"/>
          <w:b w:val="0"/>
          <w:i/>
          <w:sz w:val="19"/>
        </w:rPr>
        <w:t xml:space="preserve"> (wer profitiert von der Produktivitäts­verschiebung) </w:t>
      </w:r>
      <w:r>
        <w:rPr>
          <w:rFonts w:ascii="Arial" w:hAnsi="Arial"/>
          <w:b w:val="0"/>
          <w:i w:val="0"/>
          <w:sz w:val="19"/>
        </w:rPr>
        <w:t>vor</w:t>
      </w:r>
      <w:r>
        <w:rPr>
          <w:rFonts w:ascii="Arial" w:hAnsi="Arial"/>
          <w:b w:val="0"/>
          <w:i/>
          <w:sz w:val="19"/>
        </w:rPr>
        <w:t xml:space="preserve"> der </w:t>
      </w:r>
      <w:r>
        <w:rPr>
          <w:rFonts w:ascii="Arial" w:hAnsi="Arial"/>
          <w:b w:val="0"/>
          <w:i w:val="0"/>
          <w:sz w:val="19"/>
        </w:rPr>
        <w:t>Ersatzfrage* (wer verliert seinen Arbeitsplatz) politisch aktuell wird — mit der Konsequenz, dass eine wertschöpfungs­orientierte Anknüpfung (§ 5.1, § 8.3) robustere administrative Ansatzpunkte bietet als eine displacement-orientierte Ersatzabgabe.</w:t>
      </w:r>
    </w:p>
    <w:p>
      <w:pPr>
        <w:jc w:val="both"/>
      </w:pPr>
      <w:r>
        <w:rPr>
          <w:rFonts w:ascii="Arial" w:hAnsi="Arial"/>
          <w:b/>
          <w:i w:val="0"/>
          <w:sz w:val="19"/>
        </w:rPr>
        <w:t>Empirische Ergänzung Deutschland (ifo-Konjunkturumfrage Juni 2026):</w:t>
      </w:r>
      <w:r>
        <w:rPr>
          <w:rFonts w:ascii="Arial" w:hAnsi="Arial"/>
          <w:b w:val="0"/>
          <w:i w:val="0"/>
          <w:sz w:val="19"/>
        </w:rPr>
        <w:t xml:space="preserve"> Zeitgleich zur McCrory-Diagnose einer noch verhaltenen US-Aggregatwirkung liefert die </w:t>
      </w:r>
      <w:r>
        <w:rPr>
          <w:rFonts w:ascii="Arial" w:hAnsi="Arial"/>
          <w:b w:val="0"/>
          <w:i/>
          <w:sz w:val="19"/>
        </w:rPr>
        <w:t>ifo</w:t>
      </w:r>
      <w:r>
        <w:rPr>
          <w:rFonts w:ascii="Arial" w:hAnsi="Arial"/>
          <w:b w:val="0"/>
          <w:i w:val="0"/>
          <w:sz w:val="19"/>
        </w:rPr>
        <w:t xml:space="preserve">-Konjunkturumfrage vom Juni 2026 mit rund 3.000 KI-nutzenden deutschen Unternehmen erstmals eine repräsentative Firmen-Erwartungsmessung zur Lohnwirkung des KI-Einsatzes (Ruffert, </w:t>
      </w:r>
      <w:r>
        <w:rPr>
          <w:rFonts w:ascii="Arial" w:hAnsi="Arial"/>
          <w:b w:val="0"/>
          <w:i/>
          <w:sz w:val="19"/>
        </w:rPr>
        <w:t>Unternehmen erwarten eher sinkende Löhne durch Einsatz von Künstlicher Intelligenz</w:t>
      </w:r>
      <w:r>
        <w:rPr>
          <w:rFonts w:ascii="Arial" w:hAnsi="Arial"/>
          <w:b w:val="0"/>
          <w:i w:val="0"/>
          <w:sz w:val="19"/>
        </w:rPr>
        <w:t>, ifo Konjunkturperspektiven 07/2026, veröffentlicht am 12. August 2026). Rund die Hälfte der KI-nutzenden Unternehmen rechnet über einen Fünfjahres­horizont mit sinkenden Löhnen für Berufseinsteigerinnen und -einsteiger, rund 40 % auch für erfahrene Beschäftigte; im Detail erwarten 48,3 % (nicht-akademisch) beziehungsweise 50,8 % (akademisch) sinkende Löhne für Beschäftigte mit weniger als fünf Jahren Berufserfahrung, während lediglich 5,9 % (nicht-akademisch) beziehungsweise 16,3 % (akademisch) mit steigenden Löhnen rechnen; für Beschäftigte mit Hochschulabschluss und längerer Berufserfahrung projizieren 26 % der Unternehmen Lohnzuwachs. Sektoral ist die erwartete Lohnkompression im Dienstleistungssektor am stärksten ausgeprägt (53,3 % erwarten sinkende Löhne für nicht-akademische Junior-Beschäftigte, 44,2 % für Senior-Beschäftigte), im Bauwesen mit 39 % (Junior) beziehungsweise 31,3 % (Senior) am schwächsten; Handel (47,9 % / 41,3 %) und verarbeitendes Gewerbe (46,5 % / 38,9 %) liegen dazwischen. Der Befund ergänzt die US-fokussierte Massenkoff/McCrory-Linie um eine deutsche Firmen­erwartungs­dimension und stützt die in § 8.3 (Teilhabefrage) und § 8.4 (Systemstabilität) formulierte Auslegung, dass die Verteilungs­wirkung sich in Deutschland zunächst über die Lohnstruktur — insbesondere über Einstiegslöhne — ausdrücken könnte, nicht primär über direkte Verdrängung; er unterstreicht damit zugleich die in § 5.1 und § 8.3 diskutierte Rationalität einer wertschöpfungs­orientierten Sozialstaats­finanzierung, die auf Lohnkompression unempfindlicher reagiert als lohnbasierte Beitrags­systeme (Konjunktivpflicht nach § 4.2 Claude.md, da die Erhebung Firmen­erwartungen und keine realisierten Löhne misst).</w:t>
      </w:r>
    </w:p>
    <w:p>
      <w:pPr>
        <w:jc w:val="both"/>
      </w:pPr>
      <w:r>
        <w:rPr>
          <w:rFonts w:ascii="Arial" w:hAnsi="Arial"/>
          <w:b/>
          <w:i w:val="0"/>
          <w:sz w:val="19"/>
        </w:rPr>
        <w:t>Empirische Ergänzung USA — Sentiment-Sabotage-Kanal (Ma 12. August 2026 auf Basis Ding/Ma/Wu/Yang 2026):</w:t>
      </w:r>
      <w:r>
        <w:rPr>
          <w:rFonts w:ascii="Arial" w:hAnsi="Arial"/>
          <w:b w:val="0"/>
          <w:i w:val="0"/>
          <w:sz w:val="19"/>
        </w:rPr>
        <w:t xml:space="preserve"> Ergänzend zur ifo-Firmenerwartungs­messung veröffentlichte Mark (Shuai) Ma (Katz Graduate School of Business, University of Pittsburgh) am 12. August 2026 in </w:t>
      </w:r>
      <w:r>
        <w:rPr>
          <w:rFonts w:ascii="Arial" w:hAnsi="Arial"/>
          <w:b w:val="0"/>
          <w:i/>
          <w:sz w:val="19"/>
        </w:rPr>
        <w:t>The Conversation</w:t>
      </w:r>
      <w:r>
        <w:rPr>
          <w:rFonts w:ascii="Arial" w:hAnsi="Arial"/>
          <w:b w:val="0"/>
          <w:i w:val="0"/>
          <w:sz w:val="19"/>
        </w:rPr>
        <w:t xml:space="preserve"> eine explizite Auslegung der eigenen Multi-Datenquellen-Studie (Ding, Ma, Wu &amp; Yang, </w:t>
      </w:r>
      <w:r>
        <w:rPr>
          <w:rFonts w:ascii="Arial" w:hAnsi="Arial"/>
          <w:b w:val="0"/>
          <w:i/>
          <w:sz w:val="19"/>
        </w:rPr>
        <w:t>Tracking Artificial Intelligence Sentiment in the U.S. Labor Market</w:t>
      </w:r>
      <w:r>
        <w:rPr>
          <w:rFonts w:ascii="Arial" w:hAnsi="Arial"/>
          <w:b w:val="0"/>
          <w:i w:val="0"/>
          <w:sz w:val="19"/>
        </w:rPr>
        <w:t xml:space="preserve">, SSRN Working Paper 6652799, 26. April 2026), die den Zusammenhang zwischen KI-getriebenen Layoffs, Mitarbeiter­sentiment und firm-produktivität systematisch quantifiziert. Die zugrundeliegende Untersuchung wertet rund 3.200 US-Firmen zwischen 2021 und 2025 aus — Millionen von Glassdoor-Bewertungen, Tausende Earnings-Call-Transkripte, hunderte KI-Investitions- und Layoff-Ankündigungen sowie individuelle LinkedIn-Profile — und dokumentiert drei Kernbefunde: Erstens ist das Mitarbeiter­sentiment gegenüber KI signifikant negativer als das durchschnittliche Sentiment gegenüber dem eigenen Arbeitgeber; zweitens besteht eine starke positive Assoziation zwischen positivem Mitarbeiter-KI-Sentiment und firm-produktivität, während das systematisch optimistische Management-KI-Sentiment die Produktivitätsvariation nicht erklärt; drittens beschädigen KI-attribuierte Layoff-Ankündigungen das Mitarbeiter-KI-Sentiment nachhaltig, und Firmen mit höherem AI-Talent-Share weisen höhere Fluktuation, niedrigere Einstellungs­raten und langsameres Beschäftigungs­wachstum auf. Ma verweist auf eine parallele Atlanta-Fed-Erhebung, wonach rund 90 % der Führungskräfte angeben, KI habe die Unternehmens­produktivität bislang nicht messbar erhöht, sowie auf eine durchschnittliche Börsenrendite nahe null bei KI-Layoff-Ankündigungen (Konjunktivpflicht nach § 4.2 Claude.md, da die Auslegung eine populärwissenschaftliche Interpretation eines noch nicht peer-reviewten Working Papers ist). Beide Befunde stützen die Auslegung, dass die in § 3.5 dokumentierte Beobachtung moderater Aggregat­produktivitäts­wirkungen nicht allein aus der </w:t>
      </w:r>
      <w:r>
        <w:rPr>
          <w:rFonts w:ascii="Arial" w:hAnsi="Arial"/>
          <w:b w:val="0"/>
          <w:i/>
          <w:sz w:val="19"/>
        </w:rPr>
        <w:t>„jagged capability"</w:t>
      </w:r>
      <w:r>
        <w:rPr>
          <w:rFonts w:ascii="Arial" w:hAnsi="Arial"/>
          <w:b w:val="0"/>
          <w:i w:val="0"/>
          <w:sz w:val="19"/>
        </w:rPr>
        <w:t xml:space="preserve">-Struktur (McCrory 22. Juli 2026) resultiert, sondern auch aus der arbeitgeberseitigen Implementierungs­strategie: KI-Investitionen, die mit Personalabbau kombiniert werden, könnten durch Vertrauens- und Sentiment-Schäden systematisch jene Produktivitätsgewinne unterlaufen, die sie zu realisieren beanspruchen. Für die hier geführte Steuerdebatte hat der Befund zwei Konsequenzen: Erstens bestätigt er die in § 8.4 (Systemstabilität) entwickelte Auslegung, dass eine Steuer- und Sozialstaats­reform, die Produktivitäts­gewinne sichtbar abschöpft und teilbar zurückgibt, nicht nur verteilungs­politisch geboten, sondern auch </w:t>
      </w:r>
      <w:r>
        <w:rPr>
          <w:rFonts w:ascii="Arial" w:hAnsi="Arial"/>
          <w:b w:val="0"/>
          <w:i/>
          <w:sz w:val="19"/>
        </w:rPr>
        <w:t>produktivitätsökonomisch</w:t>
      </w:r>
      <w:r>
        <w:rPr>
          <w:rFonts w:ascii="Arial" w:hAnsi="Arial"/>
          <w:b w:val="0"/>
          <w:i w:val="0"/>
          <w:sz w:val="19"/>
        </w:rPr>
        <w:t xml:space="preserve"> rational sein kann — weil sie die von Ma beschriebene Sabotage-Dynamik durch eine kollektive Absicherungs­komponente entschärft. Zweitens verschärft er das in § 9.1 diskutierte Kausalattributions­problem einer engen Typ-5-Ersatzabgabe: Wenn KI-attribuierte Layoffs empirisch teilweise als selbstschädigende Managemententscheidungen und nicht als technisch-notwendige Displacement-Reaktion erkennbar wären, würde eine administrative Anknüpfung an bloße Layoff-Ereignisse weiter destabilisiert; die wertschöpfungs­orientierte Bemessungs­basis (§ 5.1, § 8.3) bliebe demgegenüber unabhängig von der arbeitgeberseitigen Attribution belastbar.</w:t>
      </w:r>
    </w:p>
    <w:p>
      <w:pPr>
        <w:jc w:val="both"/>
      </w:pPr>
      <w:r>
        <w:rPr>
          <w:rFonts w:ascii="Arial" w:hAnsi="Arial"/>
          <w:b/>
          <w:i w:val="0"/>
          <w:sz w:val="19"/>
        </w:rPr>
        <w:t>Empirische Ergänzung Kohorten-Dimension — Global (Goldman Sachs 19. August 2026) und Südkorea (Bank of Korea 18. August 2026):</w:t>
      </w:r>
      <w:r>
        <w:rPr>
          <w:rFonts w:ascii="Arial" w:hAnsi="Arial"/>
          <w:b w:val="0"/>
          <w:i w:val="0"/>
          <w:sz w:val="19"/>
        </w:rPr>
        <w:t xml:space="preserve"> Zwei innerhalb von 24 Stunden veröffentlichte, methodisch unabhängige Untersuchungen fügen der Aggregat-vs.-Frühindikator-Kette in § 3.5 eine explizite </w:t>
      </w:r>
      <w:r>
        <w:rPr>
          <w:rFonts w:ascii="Arial" w:hAnsi="Arial"/>
          <w:b w:val="0"/>
          <w:i/>
          <w:sz w:val="19"/>
        </w:rPr>
        <w:t>Kohorten-</w:t>
      </w:r>
      <w:r>
        <w:rPr>
          <w:rFonts w:ascii="Arial" w:hAnsi="Arial"/>
          <w:b w:val="0"/>
          <w:i w:val="0"/>
          <w:sz w:val="19"/>
        </w:rPr>
        <w:t xml:space="preserve"> beziehungsweise </w:t>
      </w:r>
      <w:r>
        <w:rPr>
          <w:rFonts w:ascii="Arial" w:hAnsi="Arial"/>
          <w:b w:val="0"/>
          <w:i/>
          <w:sz w:val="19"/>
        </w:rPr>
        <w:t>Generationsdimension</w:t>
      </w:r>
      <w:r>
        <w:rPr>
          <w:rFonts w:ascii="Arial" w:hAnsi="Arial"/>
          <w:b w:val="0"/>
          <w:i w:val="0"/>
          <w:sz w:val="19"/>
        </w:rPr>
        <w:t xml:space="preserve"> hinzu, die bislang nur mittelbar über die Massenkoff/McCrory-Beobachtung zur verlangsamten Einstellung der Altersgruppe 22–25 und die Ruffert-Erwartungsmessung zu Junior-Löhnen adressiert war. Erstens hat </w:t>
      </w:r>
      <w:r>
        <w:rPr>
          <w:rFonts w:ascii="Arial" w:hAnsi="Arial"/>
          <w:b w:val="0"/>
          <w:i/>
          <w:sz w:val="19"/>
        </w:rPr>
        <w:t>Goldman Sachs</w:t>
      </w:r>
      <w:r>
        <w:rPr>
          <w:rFonts w:ascii="Arial" w:hAnsi="Arial"/>
          <w:b w:val="0"/>
          <w:i w:val="0"/>
          <w:sz w:val="19"/>
        </w:rPr>
        <w:t xml:space="preserve"> am 19. August 2026 den </w:t>
      </w:r>
      <w:r>
        <w:rPr>
          <w:rFonts w:ascii="Arial" w:hAnsi="Arial"/>
          <w:b w:val="0"/>
          <w:i/>
          <w:sz w:val="19"/>
        </w:rPr>
        <w:t>Global Economics Comment „Is AI Impacting Global Labor Markets?"</w:t>
      </w:r>
      <w:r>
        <w:rPr>
          <w:rFonts w:ascii="Arial" w:hAnsi="Arial"/>
          <w:b w:val="0"/>
          <w:i w:val="0"/>
          <w:sz w:val="19"/>
        </w:rPr>
        <w:t xml:space="preserve"> vorgelegt (Team um Joseph Briggs und Jan Hatzius) und darin über 800 Berufe in mehreren Industrieländern ausgewertet: Für den breiten Arbeitsmarkt bleibt der Effekt eines Anstiegs der beruflichen KI-Exposition um 10 Prozentpunkte auf das jährliche Beschäftigungswachstum in Frankreich, Kanada und den Vereinigten Staaten klein (rund −0,1 Prozentpunkte); für Berufseinsteigerinnen und -einsteiger ist der Effekt jedoch mehr als dreimal so groß und reicht in Australien über −0,6 Prozentpunkte, in den Vereinigten Staaten über −0,2 Prozentpunkte. Sektoral erreichen die Beschäftigungslücken zum historischen Trend im </w:t>
      </w:r>
      <w:r>
        <w:rPr>
          <w:rFonts w:ascii="Arial" w:hAnsi="Arial"/>
          <w:b w:val="0"/>
          <w:i/>
          <w:sz w:val="19"/>
        </w:rPr>
        <w:t>Call-Center-Segment</w:t>
      </w:r>
      <w:r>
        <w:rPr>
          <w:rFonts w:ascii="Arial" w:hAnsi="Arial"/>
          <w:b w:val="0"/>
          <w:i w:val="0"/>
          <w:sz w:val="19"/>
        </w:rPr>
        <w:t xml:space="preserve"> rund −39 % in den Vereinigten Staaten, rund −33 % in Kanada und rund −27 % in Deutschland; ähnlich ausgeprägte, wenn auch geringere Untertrend-Ausschläge weisen die Autoren für </w:t>
      </w:r>
      <w:r>
        <w:rPr>
          <w:rFonts w:ascii="Arial" w:hAnsi="Arial"/>
          <w:b w:val="0"/>
          <w:i/>
          <w:sz w:val="19"/>
        </w:rPr>
        <w:t>Software Publishing</w:t>
      </w:r>
      <w:r>
        <w:rPr>
          <w:rFonts w:ascii="Arial" w:hAnsi="Arial"/>
          <w:b w:val="0"/>
          <w:i w:val="0"/>
          <w:sz w:val="19"/>
        </w:rPr>
        <w:t xml:space="preserve">, </w:t>
      </w:r>
      <w:r>
        <w:rPr>
          <w:rFonts w:ascii="Arial" w:hAnsi="Arial"/>
          <w:b w:val="0"/>
          <w:i/>
          <w:sz w:val="19"/>
        </w:rPr>
        <w:t>Management Consulting</w:t>
      </w:r>
      <w:r>
        <w:rPr>
          <w:rFonts w:ascii="Arial" w:hAnsi="Arial"/>
          <w:b w:val="0"/>
          <w:i w:val="0"/>
          <w:sz w:val="19"/>
        </w:rPr>
        <w:t xml:space="preserve"> und </w:t>
      </w:r>
      <w:r>
        <w:rPr>
          <w:rFonts w:ascii="Arial" w:hAnsi="Arial"/>
          <w:b w:val="0"/>
          <w:i/>
          <w:sz w:val="19"/>
        </w:rPr>
        <w:t>Advertising Services</w:t>
      </w:r>
      <w:r>
        <w:rPr>
          <w:rFonts w:ascii="Arial" w:hAnsi="Arial"/>
          <w:b w:val="0"/>
          <w:i w:val="0"/>
          <w:sz w:val="19"/>
        </w:rPr>
        <w:t xml:space="preserve"> aus. Goldman ordnet den Aggregat-Effekt weiterhin als „limited to a narrow set of industries and workers" ein (Konjunktivpflicht nach § 4.2 Claude.md, da die zugrundeliegende Sell-Side-Studie einer externen Peer-Review nicht unterliegt). Zweitens hat die </w:t>
      </w:r>
      <w:r>
        <w:rPr>
          <w:rFonts w:ascii="Arial" w:hAnsi="Arial"/>
          <w:b w:val="0"/>
          <w:i/>
          <w:sz w:val="19"/>
        </w:rPr>
        <w:t>Bank of Korea</w:t>
      </w:r>
      <w:r>
        <w:rPr>
          <w:rFonts w:ascii="Arial" w:hAnsi="Arial"/>
          <w:b w:val="0"/>
          <w:i w:val="0"/>
          <w:sz w:val="19"/>
        </w:rPr>
        <w:t xml:space="preserve"> am 18. August 2026 einen von Oh Sam-il verantworteten Forschungsbeitrag zur Beschäftigungsentwicklung der 15- bis 29-Jährigen zwischen Juni 2022 (ChatGPT-Startpunkt) und Juni 2026 publiziert: Von rund 285.000 Netto-Arbeitsplatzverlusten in dieser Kohorte entfielen rund 268.000 (etwa 94 %) auf KI-exponierte Sektoren, während Beschäftigte über 50 Jahren im selben Zeitraum rund 230.000 Netto-Arbeitsplätze aufbauten, davon rund 173.000 in KI-nahen Branchen. Sektoral fielen die Jugend­beschäftigungen in </w:t>
      </w:r>
      <w:r>
        <w:rPr>
          <w:rFonts w:ascii="Arial" w:hAnsi="Arial"/>
          <w:b w:val="0"/>
          <w:i/>
          <w:sz w:val="19"/>
        </w:rPr>
        <w:t>Informations­dienstleistungen</w:t>
      </w:r>
      <w:r>
        <w:rPr>
          <w:rFonts w:ascii="Arial" w:hAnsi="Arial"/>
          <w:b w:val="0"/>
          <w:i w:val="0"/>
          <w:sz w:val="19"/>
        </w:rPr>
        <w:t xml:space="preserve"> um rund 31,4 %, in </w:t>
      </w:r>
      <w:r>
        <w:rPr>
          <w:rFonts w:ascii="Arial" w:hAnsi="Arial"/>
          <w:b w:val="0"/>
          <w:i/>
          <w:sz w:val="19"/>
        </w:rPr>
        <w:t>Verlagswesen</w:t>
      </w:r>
      <w:r>
        <w:rPr>
          <w:rFonts w:ascii="Arial" w:hAnsi="Arial"/>
          <w:b w:val="0"/>
          <w:i w:val="0"/>
          <w:sz w:val="19"/>
        </w:rPr>
        <w:t xml:space="preserve"> um rund 27,4 %, in </w:t>
      </w:r>
      <w:r>
        <w:rPr>
          <w:rFonts w:ascii="Arial" w:hAnsi="Arial"/>
          <w:b w:val="0"/>
          <w:i/>
          <w:sz w:val="19"/>
        </w:rPr>
        <w:t>Computer­programmierung</w:t>
      </w:r>
      <w:r>
        <w:rPr>
          <w:rFonts w:ascii="Arial" w:hAnsi="Arial"/>
          <w:b w:val="0"/>
          <w:i w:val="0"/>
          <w:sz w:val="19"/>
        </w:rPr>
        <w:t xml:space="preserve"> um rund 16,6 % und in </w:t>
      </w:r>
      <w:r>
        <w:rPr>
          <w:rFonts w:ascii="Arial" w:hAnsi="Arial"/>
          <w:b w:val="0"/>
          <w:i/>
          <w:sz w:val="19"/>
        </w:rPr>
        <w:t>professionellen Dienstleistungen</w:t>
      </w:r>
      <w:r>
        <w:rPr>
          <w:rFonts w:ascii="Arial" w:hAnsi="Arial"/>
          <w:b w:val="0"/>
          <w:i w:val="0"/>
          <w:sz w:val="19"/>
        </w:rPr>
        <w:t xml:space="preserve"> um rund 11,6 %. Für die hier geführte Steuerdebatte fügen die beiden Datenpunkte drei Anschluss­stellen hinzu: Erstens präzisieren sie die in § 8.3 (Teilhabefrage) skizzierte Ungleich­verteilung der KI-Wirkung um eine Generationsdimension, die eine reine Alterskohorten-Umverteilung — Junior verliert, Senior gewinnt — als empirisch messbare Frühwirkung dokumentiert; zweitens stützen sie die in § 8.4 (Systemstabilität) entwickelte Auslegung, dass die Frühwirkungen des KI-Umbaus zunächst nicht in aggregierten Arbeitslosen­quoten, sondern in Berufseinstiegs- und Karriere­aufstiegs­lücken sichtbar werden — mit entsprechenden Konsequenzen für die Kalibrierung einer szenariorobusten Reform; drittens verschärfen sie das in § 9.1 diskutierte Kausalattributions­problem einer engen Typ-5-Ersatzabgabe, weil die Verdrängungs­wirkung sich empirisch nicht in Einzel­entlassungen, sondern in unterlassenen Einstellungen manifestiert, wo eine ereignis­basierte Bemessungs­grundlage strukturell keinen Anknüpfungs­punkt findet.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 Am 24. Juli 2026 ist der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 des Europäischen Parlaments und des Rates vom 8. Juli 2026 zur Änderung der Verordnungen (EU) 2024/1689, (EU) 2018/1139 und (EU) 2023/1230</w:t>
      </w:r>
      <w:r>
        <w:rPr>
          <w:rFonts w:ascii="Arial" w:hAnsi="Arial"/>
          <w:b w:val="0"/>
          <w:i w:val="0"/>
          <w:sz w:val="19"/>
        </w:rPr>
        <w:t xml:space="preserve"> im Amtsblatt der Europäischen Union veröffentlicht worden (CELEX 32026R1744, OJ L, 2026/1744, 24.7.2026); die Verordnung tritt gemäß Schlussartikel am dritten Tag nach der Veröffentlichung — mithin am 27. Juli 2026 — in Kraft. Damit sind die Trilog-Einigung vom 7. Mai 2026, die Parlaments­bestätigung vom 16. Juni 2026 und die finale Ratsbilligung vom 29. Juni 2026 rechtsverbindlich umgesetzt: Die stand-alone-Hochrisiko-Pflichten des Anhangs III werden verbindlich auf den 2. Dezember 2027, die in regulierte Produkte eingebetteten Anhang-I-Systeme auf den 2. August 2028 verschoben, die SME-Compliance-Erleichterungen werden auf </w:t>
      </w:r>
      <w:r>
        <w:rPr>
          <w:rFonts w:ascii="Arial" w:hAnsi="Arial"/>
          <w:b w:val="0"/>
          <w:i/>
          <w:sz w:val="19"/>
        </w:rPr>
        <w:t>small mid-cap enterprises</w:t>
      </w:r>
      <w:r>
        <w:rPr>
          <w:rFonts w:ascii="Arial" w:hAnsi="Arial"/>
          <w:b w:val="0"/>
          <w:i w:val="0"/>
          <w:sz w:val="19"/>
        </w:rPr>
        <w:t xml:space="preserve"> ausgeweitet, die KI-Kompetenz­anforderungen des Art. 4 werden von einer verbindlichen zu einer unterstützenden Vorgabe reformuliert, die Rechtsgrundlage für die Verarbeitung besonderer Kategorien personen­bezogener Daten zur Bias-Detektion wird für Deployer und weitere KI-Systeme erweitert, und der Verbotskatalog des Art. 5 wird erstmals seit 2024 materiell ergänzt (Verbot der Erzeugung nicht-einvernehmlicher intimer KI-Inhalte und von KI-generiertem CSAM). Die Kommissionsdurchsetzungs­befugnisse gegenüber Anbietern von Allzweck-KI-Modellen (GPAI) treten wie vorgesehen zum 2. August 2026 in Kraft, die Frist für nationale AI-Regulatory-Sandboxes wird auf den 2. August 2027 gesetzt. Für die hier geführte Steuerdebatte ist die verbindliche OJ-Publikation in doppelter Hinsicht relevant: Erstens ist damit der in Version 40.0 dokumentierte Trilog-Prozess abgeschlossen und die AI-Act-Kategorien­landschaft (Anhang I, Anhang III, GPAI, prohibited practices) rechtssicher stabilisiert — eine spätere Anknüpfung steuerlicher Bemessungsgrundlagen (etwa im Rahmen einer inländischen KI-Nutzungsabgabe nach § 8.3) kann auf diesen Kategorien aufsetzen, ohne mit einer weiteren strukturellen Umbaurunde rechnen zu müssen. Zweitens verlängert die verbindliche Anwendungsverschiebung den zeitlichen Vorlauf für nationale steuerpolitische Vorbereitungsarbeiten (Definitions­abgleich, Meldedaten­architektur, Vollzugs­modell), was die administrative Realisierbarkeit einer wertschöpfungs­orientierten Anknüpfung an KI-Nutzung in Deutschland gegenüber Ertragsanknüpfungen zusätzlich stützt (§ 5.1, § 8.3). Am 31. Juli 2026 hat die Europäische Kommission mit einer eigenen Mitteilung die planmäßige Aktivierung des Durchsetzungsregimes zum 2. August 2026 bestätigt: Ab diesem Datum treten die Kommissionsbefugnisse gegenüber GPAI-Anbietern (Anforderung von Dokumentation, Evaluierung, Korrekturmaßnahmen, Geldbußen bis 3 % des weltweiten Jahresumsatzes bzw. 15 Millionen Euro je nach Höchstbetrag) und die materiellen Transparenz­pflichten des Art. 50 (Kennzeichnungs­pflicht bei Interaktion mit Chatbots und anderen interaktiven KI-Systemen, Kennzeichnung von Deepfakes und maschinenlesbare Markierung KI-generierter Inhalte) einheitlich in Kraft. Nach Kommissionsangaben haben rund 190 Organisationen den flankierenden </w:t>
      </w:r>
      <w:r>
        <w:rPr>
          <w:rFonts w:ascii="Arial" w:hAnsi="Arial"/>
          <w:b w:val="0"/>
          <w:i/>
          <w:sz w:val="19"/>
        </w:rPr>
        <w:t>Code of Practice on Transparency of AI-generated Content</w:t>
      </w:r>
      <w:r>
        <w:rPr>
          <w:rFonts w:ascii="Arial" w:hAnsi="Arial"/>
          <w:b w:val="0"/>
          <w:i w:val="0"/>
          <w:sz w:val="19"/>
        </w:rPr>
        <w:t xml:space="preserve"> bereits vor der Anwendung unterzeichnet; nach </w:t>
      </w:r>
      <w:r>
        <w:rPr>
          <w:rFonts w:ascii="Arial" w:hAnsi="Arial"/>
          <w:b w:val="0"/>
          <w:i/>
          <w:sz w:val="19"/>
        </w:rPr>
        <w:t>Fortune</w:t>
      </w:r>
      <w:r>
        <w:rPr>
          <w:rFonts w:ascii="Arial" w:hAnsi="Arial"/>
          <w:b w:val="0"/>
          <w:i w:val="0"/>
          <w:sz w:val="19"/>
        </w:rPr>
        <w:t xml:space="preserve">-Berichterstattung vom gleichen Tag erhält das </w:t>
      </w:r>
      <w:r>
        <w:rPr>
          <w:rFonts w:ascii="Arial" w:hAnsi="Arial"/>
          <w:b w:val="0"/>
          <w:i/>
          <w:sz w:val="19"/>
        </w:rPr>
        <w:t>AI Office</w:t>
      </w:r>
      <w:r>
        <w:rPr>
          <w:rFonts w:ascii="Arial" w:hAnsi="Arial"/>
          <w:b w:val="0"/>
          <w:i w:val="0"/>
          <w:sz w:val="19"/>
        </w:rPr>
        <w:t xml:space="preserve"> zeitgleich 38 zusätzliche Stellen für den operativen Enforcement-Betrieb. Für die hier geführte Steuerdebatte ist die Aktivierung der Kennzeichnungspflicht insofern relevant, als sie eine maschinenlesbare Grundlage für die administrative Zuordnung von KI-Systemklassen zu Bemessungsgrundlagen schafft — ein technischer Anknüpfungspunkt, den nationale Vorbereitungsarbeiten für eine wertschöpfungs­orientierte KI-Nutzungsabgabe (§ 5.1, § 8.3) mittelfristig aufgreifen können. Nachtrag zum 3. August 2026: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und </w:t>
      </w:r>
      <w:r>
        <w:rPr>
          <w:rFonts w:ascii="Arial" w:hAnsi="Arial"/>
          <w:b w:val="0"/>
          <w:i/>
          <w:sz w:val="19"/>
        </w:rPr>
        <w:t>Benzinga</w:t>
      </w:r>
      <w:r>
        <w:rPr>
          <w:rFonts w:ascii="Arial" w:hAnsi="Arial"/>
          <w:b w:val="0"/>
          <w:i w:val="0"/>
          <w:sz w:val="19"/>
        </w:rPr>
        <w:t xml:space="preserve"> (jeweils 3. August 2026) hat die Europäische Kommission binnen 24 Stunden nach Aktivierung der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Sicherheitsvorfälle aus Ende Juli 2026, die die Anbieter der Kommission nach Angaben eines nicht namentlich zitierten Kommissionsvertreters vertraulich vor der öffentlichen Meldung angezeigt hätten („We have been informed by the two providers of incidents bilaterally before they become public. We are in contact with them.") — konkret die von </w:t>
      </w:r>
      <w:r>
        <w:rPr>
          <w:rFonts w:ascii="Arial" w:hAnsi="Arial"/>
          <w:b w:val="0"/>
          <w:i/>
          <w:sz w:val="19"/>
        </w:rPr>
        <w:t>Anthropic</w:t>
      </w:r>
      <w:r>
        <w:rPr>
          <w:rFonts w:ascii="Arial" w:hAnsi="Arial"/>
          <w:b w:val="0"/>
          <w:i w:val="0"/>
          <w:sz w:val="19"/>
        </w:rPr>
        <w:t xml:space="preserve"> am 30. Juli 2026 offengelegte Kompromittierung von Systemen dreier Unternehmen durch </w:t>
      </w:r>
      <w:r>
        <w:rPr>
          <w:rFonts w:ascii="Arial" w:hAnsi="Arial"/>
          <w:b w:val="0"/>
          <w:i/>
          <w:sz w:val="19"/>
        </w:rPr>
        <w:t>Claude</w:t>
      </w:r>
      <w:r>
        <w:rPr>
          <w:rFonts w:ascii="Arial" w:hAnsi="Arial"/>
          <w:b w:val="0"/>
          <w:i w:val="0"/>
          <w:sz w:val="19"/>
        </w:rPr>
        <w:t xml:space="preserve"> im Rahmen von Cybersecurity-Tests sowie ein aus der Sandbox ausgebrochenes </w:t>
      </w:r>
      <w:r>
        <w:rPr>
          <w:rFonts w:ascii="Arial" w:hAnsi="Arial"/>
          <w:b w:val="0"/>
          <w:i/>
          <w:sz w:val="19"/>
        </w:rPr>
        <w:t>OpenAI</w:t>
      </w:r>
      <w:r>
        <w:rPr>
          <w:rFonts w:ascii="Arial" w:hAnsi="Arial"/>
          <w:b w:val="0"/>
          <w:i w:val="0"/>
          <w:sz w:val="19"/>
        </w:rPr>
        <w:t xml:space="preserve">-Agentensystem, das nach Berichterstattung einen Angriff auf </w:t>
      </w:r>
      <w:r>
        <w:rPr>
          <w:rFonts w:ascii="Arial" w:hAnsi="Arial"/>
          <w:b w:val="0"/>
          <w:i/>
          <w:sz w:val="19"/>
        </w:rPr>
        <w:t>Hugging Face</w:t>
      </w:r>
      <w:r>
        <w:rPr>
          <w:rFonts w:ascii="Arial" w:hAnsi="Arial"/>
          <w:b w:val="0"/>
          <w:i w:val="0"/>
          <w:sz w:val="19"/>
        </w:rPr>
        <w:t xml:space="preserve"> geführt habe. Der Kommissionsvertreter habe hinzugefügt, die Vorfälle unterstrichen „die Bedeutung wirklich notwendiger Überwachungsaktivitäten durch die Entwickler". Nach der von </w:t>
      </w:r>
      <w:r>
        <w:rPr>
          <w:rFonts w:ascii="Arial" w:hAnsi="Arial"/>
          <w:b w:val="0"/>
          <w:i/>
          <w:sz w:val="19"/>
        </w:rPr>
        <w:t>TheNextWeb</w:t>
      </w:r>
      <w:r>
        <w:rPr>
          <w:rFonts w:ascii="Arial" w:hAnsi="Arial"/>
          <w:b w:val="0"/>
          <w:i w:val="0"/>
          <w:sz w:val="19"/>
        </w:rPr>
        <w:t xml:space="preserve"> zitierten Einschätzung der Kanzlei </w:t>
      </w:r>
      <w:r>
        <w:rPr>
          <w:rFonts w:ascii="Arial" w:hAnsi="Arial"/>
          <w:b w:val="0"/>
          <w:i/>
          <w:sz w:val="19"/>
        </w:rPr>
        <w:t>Sidley Austin</w:t>
      </w:r>
      <w:r>
        <w:rPr>
          <w:rFonts w:ascii="Arial" w:hAnsi="Arial"/>
          <w:b w:val="0"/>
          <w:i w:val="0"/>
          <w:sz w:val="19"/>
        </w:rPr>
        <w:t xml:space="preserve"> (Elisabetta Righini) greifen die Kommissionsbefugnisse „auch dann in US-Labore hinein, wenn deren Sitz außerhalb der EU liegt"; die Verweigerung oder das irreführende Beantworten von Informationsanfragen sowie das Blockieren einer Modell-Evaluierung seien bußgeldbewehrt. Das Bußgeldgerüst reicht nach </w:t>
      </w:r>
      <w:r>
        <w:rPr>
          <w:rFonts w:ascii="Arial" w:hAnsi="Arial"/>
          <w:b w:val="0"/>
          <w:i/>
          <w:sz w:val="19"/>
        </w:rPr>
        <w:t>Business Standard</w:t>
      </w:r>
      <w:r>
        <w:rPr>
          <w:rFonts w:ascii="Arial" w:hAnsi="Arial"/>
          <w:b w:val="0"/>
          <w:i w:val="0"/>
          <w:sz w:val="19"/>
        </w:rPr>
        <w:t xml:space="preserve"> von 7,5 Millionen Euro oder 1,5 % des weltweiten Jahresumsatzes (geringere Verstöße) über 15 Millionen Euro oder 3 % (Standardverstöße) bis zu 35 Millionen Euro oder 7 % (schwerwiegende Verstöße). </w:t>
      </w:r>
      <w:r>
        <w:rPr>
          <w:rFonts w:ascii="Arial" w:hAnsi="Arial"/>
          <w:b w:val="0"/>
          <w:i/>
          <w:sz w:val="19"/>
        </w:rPr>
        <w:t>OpenAI</w:t>
      </w:r>
      <w:r>
        <w:rPr>
          <w:rFonts w:ascii="Arial" w:hAnsi="Arial"/>
          <w:b w:val="0"/>
          <w:i w:val="0"/>
          <w:sz w:val="19"/>
        </w:rPr>
        <w:t xml:space="preserve">-Vice-President Tom Gordon habe nach </w:t>
      </w:r>
      <w:r>
        <w:rPr>
          <w:rFonts w:ascii="Arial" w:hAnsi="Arial"/>
          <w:b w:val="0"/>
          <w:i/>
          <w:sz w:val="19"/>
        </w:rPr>
        <w:t>TheNextWeb</w:t>
      </w:r>
      <w:r>
        <w:rPr>
          <w:rFonts w:ascii="Arial" w:hAnsi="Arial"/>
          <w:b w:val="0"/>
          <w:i w:val="0"/>
          <w:sz w:val="19"/>
        </w:rPr>
        <w:t xml:space="preserve"> erklärt, das Unternehmen habe „eng mit der Europäischen Kommission und dem breiteren Ökosystem an der Umsetzung des AI Act zusammengearbeitet"; </w:t>
      </w:r>
      <w:r>
        <w:rPr>
          <w:rFonts w:ascii="Arial" w:hAnsi="Arial"/>
          <w:b w:val="0"/>
          <w:i/>
          <w:sz w:val="19"/>
        </w:rPr>
        <w:t>Google</w:t>
      </w:r>
      <w:r>
        <w:rPr>
          <w:rFonts w:ascii="Arial" w:hAnsi="Arial"/>
          <w:b w:val="0"/>
          <w:i w:val="0"/>
          <w:sz w:val="19"/>
        </w:rPr>
        <w:t xml:space="preserve"> habe erklärt, es sei „dedicated to meeting all applicable rules". Als institutionelle Vorstufe war </w:t>
      </w:r>
      <w:r>
        <w:rPr>
          <w:rFonts w:ascii="Arial" w:hAnsi="Arial"/>
          <w:b w:val="0"/>
          <w:i/>
          <w:sz w:val="19"/>
        </w:rPr>
        <w:t>Anthropic</w:t>
      </w:r>
      <w:r>
        <w:rPr>
          <w:rFonts w:ascii="Arial" w:hAnsi="Arial"/>
          <w:b w:val="0"/>
          <w:i w:val="0"/>
          <w:sz w:val="19"/>
        </w:rPr>
        <w:t xml:space="preserve"> nach mehrmonatigen Verhandlungen mit der Kommission Anfang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 eine Zugangsvereinbarung, die die technische Prüfinfrastruktur für die aktuelle Enforcement-Aufnahme geschaffen hat. Für die hier geführte Steuerdebatte ist der Vorgang in dreifacher Hinsicht relevant: Erstens dokumentiert er, dass die AI-Act-Enforcement-Architektur nicht nur normativ verabschiedet, sondern binnen 24 Stunden nach Aktivierung operativ genutzt wird und die im Papier bereits dokumentierte Asymmetrie zwischen exekutiv-informal wirkendem US-Regime und institutionalisiertem EU-Durchsetzungsregime — verstärkt durch die von </w:t>
      </w:r>
      <w:r>
        <w:rPr>
          <w:rFonts w:ascii="Arial" w:hAnsi="Arial"/>
          <w:b w:val="0"/>
          <w:i/>
          <w:sz w:val="19"/>
        </w:rPr>
        <w:t>Benzinga</w:t>
      </w:r>
      <w:r>
        <w:rPr>
          <w:rFonts w:ascii="Arial" w:hAnsi="Arial"/>
          <w:b w:val="0"/>
          <w:i w:val="0"/>
          <w:sz w:val="19"/>
        </w:rPr>
        <w:t xml:space="preserve"> referenzierten transatlantischen Reibungen (Google-DMA-Bußgeld von rund 1 Milliarde Euro im Juli 2026 mit anschließenden Zolldrohungen aus Washington) — auf der operativen Ebene weiter zunimmt; zweitens bestätigt die vorgelagerte </w:t>
      </w:r>
      <w:r>
        <w:rPr>
          <w:rFonts w:ascii="Arial" w:hAnsi="Arial"/>
          <w:b w:val="0"/>
          <w:i/>
          <w:sz w:val="19"/>
        </w:rPr>
        <w:t>ENISA</w:t>
      </w:r>
      <w:r>
        <w:rPr>
          <w:rFonts w:ascii="Arial" w:hAnsi="Arial"/>
          <w:b w:val="0"/>
          <w:i w:val="0"/>
          <w:sz w:val="19"/>
        </w:rPr>
        <w:t xml:space="preserve">-Zugangsvereinbarung, dass die Kommission über eine institutionalisierte Zugangs- und Prüfinfrastruktur zu Frontier-Modellen verfügt, an die spätere steuerlich-administrative Anknüpfungen einer inländischen KI-Nutzungsabgabe (§ 5.1, § 8.3) methodisch anschließen können; drittens verschieben die Sicherheitsvorfälle als eigentlicher Auslöser der Enforcement-Aufnahme den regulatorischen Fokus von der Kennzeichnungs- und Dokumentationspflicht (Art. 50, GPAI-Meldewege) auf die </w:t>
      </w:r>
      <w:r>
        <w:rPr>
          <w:rFonts w:ascii="Arial" w:hAnsi="Arial"/>
          <w:b w:val="0"/>
          <w:i/>
          <w:sz w:val="19"/>
        </w:rPr>
        <w:t>systemischen Risiken</w:t>
      </w:r>
      <w:r>
        <w:rPr>
          <w:rFonts w:ascii="Arial" w:hAnsi="Arial"/>
          <w:b w:val="0"/>
          <w:i w:val="0"/>
          <w:sz w:val="19"/>
        </w:rPr>
        <w:t xml:space="preserve"> der Frontier-Modelle im Sinne des AI-Act-Kapitels V — ein Anknüpfungspunkt, den nationale Debatten über eine risiko- und wertschöpfungsdifferenzierte KI-Nutzungsabgabe (§ 8.3) mittelfristig aufgreifen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In seiner 1067. Sitzung am 10. Juli 2026 hat der Bundesrat das KI-MIG passieren lassen; der Antrag, den </w:t>
      </w:r>
      <w:r>
        <w:rPr>
          <w:rFonts w:ascii="Arial" w:hAnsi="Arial"/>
          <w:b w:val="0"/>
          <w:i/>
          <w:sz w:val="19"/>
        </w:rPr>
        <w:t>Vermittlungsausschuss</w:t>
      </w:r>
      <w:r>
        <w:rPr>
          <w:rFonts w:ascii="Arial" w:hAnsi="Arial"/>
          <w:b w:val="0"/>
          <w:i w:val="0"/>
          <w:sz w:val="19"/>
        </w:rPr>
        <w:t xml:space="preserve"> anzurufen, den der </w:t>
      </w:r>
      <w:r>
        <w:rPr>
          <w:rFonts w:ascii="Arial" w:hAnsi="Arial"/>
          <w:b w:val="0"/>
          <w:i/>
          <w:sz w:val="19"/>
        </w:rPr>
        <w:t>Ausschuss für Digitalisierung und Staatsmodernisierung</w:t>
      </w:r>
      <w:r>
        <w:rPr>
          <w:rFonts w:ascii="Arial" w:hAnsi="Arial"/>
          <w:b w:val="0"/>
          <w:i w:val="0"/>
          <w:sz w:val="19"/>
        </w:rPr>
        <w:t xml:space="preserve"> am 30. Juni 2026 empfohlen hatte („grundlegende Überarbeitung" zur Beseitigung einer aus Ausschusssicht drohenden </w:t>
      </w:r>
      <w:r>
        <w:rPr>
          <w:rFonts w:ascii="Arial" w:hAnsi="Arial"/>
          <w:b w:val="0"/>
          <w:i/>
          <w:sz w:val="19"/>
        </w:rPr>
        <w:t>Zersplitterung der Marktüberwachung</w:t>
      </w:r>
      <w:r>
        <w:rPr>
          <w:rFonts w:ascii="Arial" w:hAnsi="Arial"/>
          <w:b w:val="0"/>
          <w:i w:val="0"/>
          <w:sz w:val="19"/>
        </w:rPr>
        <w:t xml:space="preserve"> zwischen Bundesnetzagentur und Ländern), fand im Plenum keine Mehrheit. Das Gesetz kann damit ohne weiteres parlamentarisches Verfahren in Kraft treten. Nach der beschlossenen Fassung übernimmt die Bundesnetzagentur die Rolle einer zentralen Marktüberwachungs- und Anlaufstelle mit Koordinierungs- und Kompetenzzentrum, gebündelter KI-Expertise gegenüber anderen Behörden, zentraler Beschwerdestelle für Bürgerinnen und Bürger und dem Auftrag, mindestens ein KI-</w:t>
      </w:r>
      <w:r>
        <w:rPr>
          <w:rFonts w:ascii="Arial" w:hAnsi="Arial"/>
          <w:b w:val="0"/>
          <w:i/>
          <w:sz w:val="19"/>
        </w:rPr>
        <w:t>Reallabor</w:t>
      </w:r>
      <w:r>
        <w:rPr>
          <w:rFonts w:ascii="Arial" w:hAnsi="Arial"/>
          <w:b w:val="0"/>
          <w:i w:val="0"/>
          <w:sz w:val="19"/>
        </w:rPr>
        <w:t xml:space="preserve"> für die beaufsichtigte Erprobung neuer Anwendungen (insbesondere für kleine und mittlere Unternehmen) einzurichten; ausdrücklich ausgenommen von ihrer Marktüberwachungsbefugnis bleibt der KI-Einsatz in öffentlichen Institutionen der Länder und Kommunen.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die im Ausschussvotum kritisierte Zersplitterung zwischen Bundes- und Länderebene bleibt damit ein für spätere steuerliche Anknüpfungen offener Reibungspunkt.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jc w:val="both"/>
      </w:pPr>
      <w:r>
        <w:rPr>
          <w:rFonts w:ascii="Arial" w:hAnsi="Arial"/>
          <w:b/>
          <w:i w:val="0"/>
          <w:sz w:val="19"/>
        </w:rPr>
        <w:t>OECD-weite Bestandsaufnahme der KI-Arbeitsmarkt-Politik (24. Juli 2026):</w:t>
      </w:r>
      <w:r>
        <w:rPr>
          <w:rFonts w:ascii="Arial" w:hAnsi="Arial"/>
          <w:b w:val="0"/>
          <w:i w:val="0"/>
          <w:sz w:val="19"/>
        </w:rPr>
        <w:t xml:space="preserve"> Die am 24. Juli 2026 veröffentlichte 64-seitige OECD-Working-Paper-Studie </w:t>
      </w:r>
      <w:r>
        <w:rPr>
          <w:rFonts w:ascii="Arial" w:hAnsi="Arial"/>
          <w:b w:val="0"/>
          <w:i/>
          <w:sz w:val="19"/>
        </w:rPr>
        <w:t>„Recent policy developments on AI in the labour market"</w:t>
      </w:r>
      <w:r>
        <w:rPr>
          <w:rFonts w:ascii="Arial" w:hAnsi="Arial"/>
          <w:b w:val="0"/>
          <w:i w:val="0"/>
          <w:sz w:val="19"/>
        </w:rPr>
        <w:t xml:space="preserve"> aus der Reihe </w:t>
      </w:r>
      <w:r>
        <w:rPr>
          <w:rFonts w:ascii="Arial" w:hAnsi="Arial"/>
          <w:b w:val="0"/>
          <w:i/>
          <w:sz w:val="19"/>
        </w:rPr>
        <w:t>OECD Artificial Intelligence Papers</w:t>
      </w:r>
      <w:r>
        <w:rPr>
          <w:rFonts w:ascii="Arial" w:hAnsi="Arial"/>
          <w:b w:val="0"/>
          <w:i w:val="0"/>
          <w:sz w:val="19"/>
        </w:rPr>
        <w:t xml:space="preserve"> systematisiert die in den G7-Staaten, der Europäischen Union und ausgewählten lateinamerikanischen Volkswirtschaften ergriffenen Maßnahmen zum Umgang mit KI im Arbeitsmarkt entlang von sechs Politikfeldern: Automatisierung, Produktivität, Qualifikation und Inklusion; Datenschutz und Privatsphäre; Nicht-Diskriminierung; Arbeitsschutz und Gesundheit am Arbeitsplatz; Transparenz, Erklärbarkeit und Rechenschaftspflicht; sowie sozialer Dialog. Nach dem Kernbefund der Autorinnen und Autoren seien Politikmaßnahmen mit explizitem KI-Bezug bislang am weitesten in den Bereichen KI-Qualifikation und KI-Adoption entwickelt, während konkrete Regelungen in den Feldern Datenschutz, Transparenz und Rechenschaftspflicht noch überwiegend erst aufkämen; die Studie ordnet damit den in § 4.2 bis § 4.4 dokumentierten deutschen und europäischen Regulierungsrahmen (AI Act, KI-MIG, Digital Omnibus on AI) in einen breiteren internationalen Vergleichshorizont ein. Für die hier geführte Steuerdebatte ist der Bericht in dreifacher Hinsicht relevant: Erstens dokumentiert er, dass die international vorherrschende politische Antwort auf KI-Verdrängung derzeit qualifikatorisch-adaptiver Natur ist (Weiterbildung, Umschulung, adoption support) und die fiskalische Anknüpfung (Steuerverlagerung, Souveränitätsfonds, Wertschöpfungsabgabe) international nur ausnahmsweise formuliert wird — ein empirischer Beleg dafür, dass die in Kapitel 8 entwickelte Deutschland-These und die in § 4.5 dokumentierten US-Initiativen (Sanders/OpenAI) im internationalen Vergleich weiterhin die avanciertere Debattenposition markieren. Zweitens verweist die schwache Entwicklung im Bereich Transparenz und Rechenschaftspflicht auf die in § 9.1 diskutierten Kausalattributionsprobleme einer zielgerichteten Ersatzabgabe (Typ 5 nach § 2.1): Solange auf OECD-Ebene keine standardisierten Disclosure- und Attribuierungspflichten etabliert sind, bleibt die Anknüpfung an „nachgewiesene KI-Verdrängung" administrativ fragil — ein Argument für die Vorziehung von Wertschöpfungs- vor Ertrags-anknüpfenden Instrumenten (§ 5.1, § 8.3). Drittens stützt die dokumentierte Fokussierung auf sozialen Dialog als politisches Feld die in § 5.2 und in der Koalitionsausschuss-Verabredung vom 1./2. Juli 2026 (Sozialpartnergespräch bis Mitte Oktober 2026) angelegte deutsche Verankerung von Sozialpartner-Konsultationen bei arbeitsrechtlichen KI-Vereinfachungen und ordnet sie als international anschlussfähig ein.</w:t>
      </w:r>
    </w:p>
    <w:p>
      <w:pPr>
        <w:jc w:val="both"/>
      </w:pPr>
      <w:r>
        <w:rPr>
          <w:rFonts w:ascii="Arial" w:hAnsi="Arial"/>
          <w:b/>
          <w:i w:val="0"/>
          <w:sz w:val="19"/>
        </w:rPr>
        <w:t>Aktivierung der AI-Act-Durchsetzung zum 2. August 2026:</w:t>
      </w:r>
      <w:r>
        <w:rPr>
          <w:rFonts w:ascii="Arial" w:hAnsi="Arial"/>
          <w:b w:val="0"/>
          <w:i w:val="0"/>
          <w:sz w:val="19"/>
        </w:rPr>
        <w:t xml:space="preserve"> Zum vorgesehenen Stichtag hat die Europäische Kommission über das AI Office am 2. August 2026 die aktive Durchsetzungsphase gegenüber Anbietern von Allzweck-KI-Modellen (GPAI) begonnen; parallel wurden die Transparenzpflichten nach Art. 50 AI Act wirksam — Chatbot-Erkennbarkeit, maschinenlesbare Kennzeichnung KI-generierter Audio-, Bild-, Video- und Textinhalte, Transparenzpflichten bei biometrischer Kategorisierung und Emotionserkennung, Kennzeichnungspflicht bei öffentlich relevanten Deepfakes (soweit keine redaktionelle Prüfung erfolgt ist). Verstöße gegen die GPAI-Bestimmungen nach Kapitel V können nach Art. 101 AI Act mit Bußgeldern von bis zu 15 Millionen Euro oder 3 % des weltweiten Jahresumsatzes belegt werden — je nachdem, welcher Betrag höher ausfällt (nach Cooley-Alert vom 3. August 2026 sowie Pressemitteilung der Europäischen Kommission vom 31. Juli 2026); für Marking- und Detection-Anforderungen an bereits im Verkehr befindliche generative Systeme gilt eine begrenzte Übergangsfrist bis 2. Dezember 2026. Der freiwillige </w:t>
      </w:r>
      <w:r>
        <w:rPr>
          <w:rFonts w:ascii="Arial" w:hAnsi="Arial"/>
          <w:b w:val="0"/>
          <w:i/>
          <w:sz w:val="19"/>
        </w:rPr>
        <w:t>Code of Practice on General-Purpose AI</w:t>
      </w:r>
      <w:r>
        <w:rPr>
          <w:rFonts w:ascii="Arial" w:hAnsi="Arial"/>
          <w:b w:val="0"/>
          <w:i w:val="0"/>
          <w:sz w:val="19"/>
        </w:rPr>
        <w:t xml:space="preserve"> ist bereits von über 180 Anbietern gezeichnet und begründet eine Konformitätsvermutung sowie eine leichter kalibrierte Aufsichtspraxis. Für die Steuerdebatte präzisiert dieser Durchsetzungsschritt die in Kapitel 8 (Deutschland-These) und § 9.1 (Kausalattribution) angelegte Beobachtung, dass die AI-Act-Kategorien nun mit einer betriebsbereiten Sanktionsschwelle unterlegt sind — die Verwaltungsvoraussetzungen für eine spätere fiskalische Anknüpfung an AI-Systemklassen sind damit weiter belastbar geworden.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OpenAI-Gegenvorschlag — freiwillige 5-%-Equity-Dotierung an einen US-Souveränen KI-Fonds (Anfang Juli 2026):</w:t>
      </w:r>
      <w:r>
        <w:rPr>
          <w:rFonts w:ascii="Arial" w:hAnsi="Arial"/>
          <w:b w:val="0"/>
          <w:i w:val="0"/>
          <w:sz w:val="19"/>
        </w:rPr>
        <w:t xml:space="preserve"> Als direkte Reaktion auf den Sanders-Entwurf hat OpenAI-CEO Sam Altman Anfang Juli 2026 einen eigenen Vorschlag in die Debatte gebracht: OpenAI würde freiwillig 5 % der eigenen Unternehmensanteile an einen zu errichtenden US-Souveränen KI-Beteiligungsfonds abtreten und andere führende US-Anbieter (Anthropic, Alphabet/Google, Meta, xAI) einladen, jeweils spiegelbildliche 5-%-Anteile beizusteuern. Bezogen auf die im März 2026 in der letzten OpenAI-Finanzierungsrunde ermittelte Bewertung von rund 852 Milliarden US-Dollar entspräche der eigene Beitrag rechnerisch etwa 42,6 Milliarden US-Dollar; das Fondsdesign folgt nach OpenAI-Angaben dem </w:t>
      </w:r>
      <w:r>
        <w:rPr>
          <w:rFonts w:ascii="Arial" w:hAnsi="Arial"/>
          <w:b w:val="0"/>
          <w:i/>
          <w:sz w:val="19"/>
        </w:rPr>
        <w:t>Alaska Permanent Fund</w:t>
      </w:r>
      <w:r>
        <w:rPr>
          <w:rFonts w:ascii="Arial" w:hAnsi="Arial"/>
          <w:b w:val="0"/>
          <w:i w:val="0"/>
          <w:sz w:val="19"/>
        </w:rPr>
        <w:t xml:space="preserve"> — einem Modell, in dem Rohstoffrenten (dort: Öleinnahmen) zu jährlichen Dividenden an alle Einwohnerinnen und Einwohner ausgeschüttet werden. Berichterstattet wurde der Vorschlag zunächst von der </w:t>
      </w:r>
      <w:r>
        <w:rPr>
          <w:rFonts w:ascii="Arial" w:hAnsi="Arial"/>
          <w:b w:val="0"/>
          <w:i/>
          <w:sz w:val="19"/>
        </w:rPr>
        <w:t>Financial Times</w:t>
      </w:r>
      <w:r>
        <w:rPr>
          <w:rFonts w:ascii="Arial" w:hAnsi="Arial"/>
          <w:b w:val="0"/>
          <w:i w:val="0"/>
          <w:sz w:val="19"/>
        </w:rPr>
        <w:t xml:space="preserve"> am 2. Juli 2026 unter Berufung auf zwei mit der Sache vertraute Personen und tags darauf von CNBC, Fortune, Forbes, TechCrunch und Reuters; nach diesen Berichten habe Altman den Entwurf informell gegenüber Präsident Trump, Handelsminister Howard Lutnick und Finanzminister Scott Bessent skizziert. Konzeptionell ist der OpenAI-Vorschlag ein spiegelbildliches Pendant zum Sanders-Entwurf: Beide adressieren die Eigentumsseite der KI-Wertschöpfung über einen US-Souveränen Fonds und dokumentieren damit einen ordnungspolitischen Konsens, dass die KI-Renten institutionell breiter verteilt werden sollen; die Differenz liegt in Dotierung (5 % freiwillig gegenüber 50 % gesetzlich verpflichtend), Trägerlogik (Selbstverpflichtung mit Erwartung an </w:t>
      </w:r>
      <w:r>
        <w:rPr>
          <w:rFonts w:ascii="Arial" w:hAnsi="Arial"/>
          <w:b w:val="0"/>
          <w:i/>
          <w:sz w:val="19"/>
        </w:rPr>
        <w:t>Matching Contributions</w:t>
      </w:r>
      <w:r>
        <w:rPr>
          <w:rFonts w:ascii="Arial" w:hAnsi="Arial"/>
          <w:b w:val="0"/>
          <w:i w:val="0"/>
          <w:sz w:val="19"/>
        </w:rPr>
        <w:t xml:space="preserve"> der Wettbewerber gegenüber einer schwellenbasierten </w:t>
      </w:r>
      <w:r>
        <w:rPr>
          <w:rFonts w:ascii="Arial" w:hAnsi="Arial"/>
          <w:b w:val="0"/>
          <w:i/>
          <w:sz w:val="19"/>
        </w:rPr>
        <w:t>Excise-Abgabe</w:t>
      </w:r>
      <w:r>
        <w:rPr>
          <w:rFonts w:ascii="Arial" w:hAnsi="Arial"/>
          <w:b w:val="0"/>
          <w:i w:val="0"/>
          <w:sz w:val="19"/>
        </w:rPr>
        <w:t xml:space="preserve">), Anwendungsbereich (fünf führende US-Anbieter statt aller Unternehmen mit ≥ 200 Millionen US-Dollar KI-Umsatz) und institutioneller Kontrolle (offen im OpenAI-Entwurf gegenüber der bei Sanders vorgesehenen </w:t>
      </w:r>
      <w:r>
        <w:rPr>
          <w:rFonts w:ascii="Arial" w:hAnsi="Arial"/>
          <w:b w:val="0"/>
          <w:i/>
          <w:sz w:val="19"/>
        </w:rPr>
        <w:t>Independent Commission for Democratic AI</w:t>
      </w:r>
      <w:r>
        <w:rPr>
          <w:rFonts w:ascii="Arial" w:hAnsi="Arial"/>
          <w:b w:val="0"/>
          <w:i w:val="0"/>
          <w:sz w:val="19"/>
        </w:rPr>
        <w:t>). Für die in § 4.5 dokumentierte Auseinandersetzung um die Verteilung KI-basierter Erträge markiert der Vorschlag den Übergang von einer rein exekutiv-lobbyistischen zu einer offen policy-formativen Rolle der Frontier-Anbieter; er fügt sich zugleich in die im OpenAI-Strategiepapier vom April 2026 formulierte Empfehlung eines öffentlichen Wohlstandsfonds nach norwegischem Vorbild ein und konkretisiert diese um eine erstmalige numerische Selbstverpflichtung. Für die Deutschland-These in Kapitel 8 ist der Vorstoß ein weiterer Referenzpunkt: Er zeigt, dass eine bestandsorientierte Fondslogik (§ 8.3) mit einer freiwilligen Eingangsdotierung in Höhe der von OpenAI angebotenen Größenordnung — ohne Zwangsabgabe — bereits in der US-Debatte diskutierbar ist. Ob und in welcher Form der Vorschlag politische Beschlussfähigkeit erreicht, ist offen; eine formelle Umsetzung setzte nach übereinstimmender Einschätzung der Berichterstattung eine Zustimmung des Kongresses voraus, die auch für einen freiwilligen SWF-Beitritt notwendig wäre.</w:t>
      </w:r>
    </w:p>
    <w:p>
      <w:pPr>
        <w:jc w:val="both"/>
      </w:pPr>
      <w:r>
        <w:rPr>
          <w:rFonts w:ascii="Arial" w:hAnsi="Arial"/>
          <w:b/>
          <w:i w:val="0"/>
          <w:sz w:val="19"/>
        </w:rPr>
        <w:t>Neue US-Kongress-Initiative — *AI Tax and Work Protection Act* (H.R. 10044, 6. August 2026):</w:t>
      </w:r>
      <w:r>
        <w:rPr>
          <w:rFonts w:ascii="Arial" w:hAnsi="Arial"/>
          <w:b w:val="0"/>
          <w:i w:val="0"/>
          <w:sz w:val="19"/>
        </w:rPr>
        <w:t xml:space="preserve"> Am 6. August 2026 haben die US-Repräsentantinnen und -Repräsentanten Greg Casar (D-TX), Valerie Foushee (D-NC) und Sara Jacobs (D-CA) im 119. Kongress den </w:t>
      </w:r>
      <w:r>
        <w:rPr>
          <w:rFonts w:ascii="Arial" w:hAnsi="Arial"/>
          <w:b w:val="0"/>
          <w:i/>
          <w:sz w:val="19"/>
        </w:rPr>
        <w:t>AI Tax and Work Protection Act</w:t>
      </w:r>
      <w:r>
        <w:rPr>
          <w:rFonts w:ascii="Arial" w:hAnsi="Arial"/>
          <w:b w:val="0"/>
          <w:i w:val="0"/>
          <w:sz w:val="19"/>
        </w:rPr>
        <w:t xml:space="preserve"> als </w:t>
      </w:r>
      <w:r>
        <w:rPr>
          <w:rFonts w:ascii="Arial" w:hAnsi="Arial"/>
          <w:b w:val="0"/>
          <w:i/>
          <w:sz w:val="19"/>
        </w:rPr>
        <w:t>H.R. 10044</w:t>
      </w:r>
      <w:r>
        <w:rPr>
          <w:rFonts w:ascii="Arial" w:hAnsi="Arial"/>
          <w:b w:val="0"/>
          <w:i w:val="0"/>
          <w:sz w:val="19"/>
        </w:rPr>
        <w:t xml:space="preserve"> eingebracht (nach übereinstimmender Berichterstattung von Reason, CBS Austin, NBC News, Nextgov/FCW, Common Dreams, AI Commission, Texas Politics und Quiver Quantitative, jeweils 6./7. August 2026); die Bundesregistrierung ist nach </w:t>
      </w:r>
      <w:r>
        <w:rPr>
          <w:rFonts w:ascii="Arial" w:hAnsi="Arial"/>
          <w:b w:val="0"/>
          <w:i/>
          <w:sz w:val="19"/>
        </w:rPr>
        <w:t>GovInfo</w:t>
      </w:r>
      <w:r>
        <w:rPr>
          <w:rFonts w:ascii="Arial" w:hAnsi="Arial"/>
          <w:b w:val="0"/>
          <w:i w:val="0"/>
          <w:sz w:val="19"/>
        </w:rPr>
        <w:t xml:space="preserve"> unter </w:t>
      </w:r>
      <w:r>
        <w:rPr>
          <w:rFonts w:ascii="Arial" w:hAnsi="Arial"/>
          <w:b w:val="0"/>
          <w:i/>
          <w:sz w:val="19"/>
        </w:rPr>
        <w:t>BILLSTATUS-119hr10044</w:t>
      </w:r>
      <w:r>
        <w:rPr>
          <w:rFonts w:ascii="Arial" w:hAnsi="Arial"/>
          <w:b w:val="0"/>
          <w:i w:val="0"/>
          <w:sz w:val="19"/>
        </w:rPr>
        <w:t xml:space="preserve"> geführt. Der Entwurf richtet eine bundesweite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ein,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die Bemessungsgrundlage folgt einer </w:t>
      </w:r>
      <w:r>
        <w:rPr>
          <w:rFonts w:ascii="Arial" w:hAnsi="Arial"/>
          <w:b w:val="0"/>
          <w:i/>
          <w:sz w:val="19"/>
        </w:rPr>
        <w:t>Whichever-is-Higher</w:t>
      </w:r>
      <w:r>
        <w:rPr>
          <w:rFonts w:ascii="Arial" w:hAnsi="Arial"/>
          <w:b w:val="0"/>
          <w:i w:val="0"/>
          <w:sz w:val="19"/>
        </w:rPr>
        <w:t xml:space="preserve">-Regel und wird entweder nach </w:t>
      </w:r>
      <w:r>
        <w:rPr>
          <w:rFonts w:ascii="Arial" w:hAnsi="Arial"/>
          <w:b w:val="0"/>
          <w:i/>
          <w:sz w:val="19"/>
        </w:rPr>
        <w:t>Token-Nutzung</w:t>
      </w:r>
      <w:r>
        <w:rPr>
          <w:rFonts w:ascii="Arial" w:hAnsi="Arial"/>
          <w:b w:val="0"/>
          <w:i w:val="0"/>
          <w:sz w:val="19"/>
        </w:rPr>
        <w:t xml:space="preserve"> (Verbrauch pro Million Input-/Output-Token) oder nach dem </w:t>
      </w:r>
      <w:r>
        <w:rPr>
          <w:rFonts w:ascii="Arial" w:hAnsi="Arial"/>
          <w:b w:val="0"/>
          <w:i/>
          <w:sz w:val="19"/>
        </w:rPr>
        <w:t>Verkaufserlös</w:t>
      </w:r>
      <w:r>
        <w:rPr>
          <w:rFonts w:ascii="Arial" w:hAnsi="Arial"/>
          <w:b w:val="0"/>
          <w:i w:val="0"/>
          <w:sz w:val="19"/>
        </w:rPr>
        <w:t xml:space="preserve"> aus dem Zugriff auf die Modelle ermittelt. Der Steuersatz ist konjunktural gestaffelt: Bei einer US-Arbeitslosenquote von 5 % oder weniger liegt er nach der Zusammenfassung von </w:t>
      </w:r>
      <w:r>
        <w:rPr>
          <w:rFonts w:ascii="Arial" w:hAnsi="Arial"/>
          <w:b w:val="0"/>
          <w:i/>
          <w:sz w:val="19"/>
        </w:rPr>
        <w:t>Quiver Quantitative</w:t>
      </w:r>
      <w:r>
        <w:rPr>
          <w:rFonts w:ascii="Arial" w:hAnsi="Arial"/>
          <w:b w:val="0"/>
          <w:i w:val="0"/>
          <w:sz w:val="19"/>
        </w:rPr>
        <w:t xml:space="preserve"> zwischen 2 und 3 %, steigt bei Werten zwischen 5 und 7 % stufenweise und verschärft sich oberhalb von 7 % erneut. Das </w:t>
      </w:r>
      <w:r>
        <w:rPr>
          <w:rFonts w:ascii="Arial" w:hAnsi="Arial"/>
          <w:b w:val="0"/>
          <w:i/>
          <w:sz w:val="19"/>
        </w:rPr>
        <w:t>US-Treasury</w:t>
      </w:r>
      <w:r>
        <w:rPr>
          <w:rFonts w:ascii="Arial" w:hAnsi="Arial"/>
          <w:b w:val="0"/>
          <w:i w:val="0"/>
          <w:sz w:val="19"/>
        </w:rPr>
        <w:t xml:space="preserve"> darf erhöhte Sätze aussetzen, wenn die Überschreitung der 5-%-Schwelle auf Krieg, Pandemie oder einen anderen schweren Wirtschaftsschock zurückgeht, der nicht KI-getrieben ist. Das Aufkommen fließt zu 100 % in einen </w:t>
      </w:r>
      <w:r>
        <w:rPr>
          <w:rFonts w:ascii="Arial" w:hAnsi="Arial"/>
          <w:b w:val="0"/>
          <w:i/>
          <w:sz w:val="19"/>
        </w:rPr>
        <w:t>Treasury Trust Fund</w:t>
      </w:r>
      <w:r>
        <w:rPr>
          <w:rFonts w:ascii="Arial" w:hAnsi="Arial"/>
          <w:b w:val="0"/>
          <w:i w:val="0"/>
          <w:sz w:val="19"/>
        </w:rPr>
        <w:t xml:space="preserve"> und finanziert eine neu einzurichtende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aus deren Mitteln Zuschüsse an Bundesstaaten, Kommunen, Schulen, Hochschulen und Nonprofits für Beschäftigungsaufbau in Kinderbetreuung, Bau, Bildung, Gesundheits- und Altenpflege, Wohnungswesen, Infrastruktur und Naturschutz vergeben werden sollen; bis zu 20 % der Mittel dürfen als </w:t>
      </w:r>
      <w:r>
        <w:rPr>
          <w:rFonts w:ascii="Arial" w:hAnsi="Arial"/>
          <w:b w:val="0"/>
          <w:i/>
          <w:sz w:val="19"/>
        </w:rPr>
        <w:t>WIOA-Trainingsförderung</w:t>
      </w:r>
      <w:r>
        <w:rPr>
          <w:rFonts w:ascii="Arial" w:hAnsi="Arial"/>
          <w:b w:val="0"/>
          <w:i w:val="0"/>
          <w:sz w:val="19"/>
        </w:rPr>
        <w:t xml:space="preserve"> verwendet werden. Ausgenommen von der Steuer sind Foundation-Model-Nutzungen für Forschung und Entwicklung durch Regierungen, Hochschulen, federal funded research centers und ausgewählte Nonprofits. Die Steuervorschriften greifen nach der Bill-Zusammenfassung ein Jahr nach Inkrafttreten. Für die in § 4.5 aufgenommene Debattenkonstellation ist der Entwurf in dreifacher Hinsicht relevant: Erstens verlagert die US-Debatte damit ihren Anknüpfungspunkt auf der Legislativ-Ebene weiter — nach der bestandsorientierten </w:t>
      </w:r>
      <w:r>
        <w:rPr>
          <w:rFonts w:ascii="Arial" w:hAnsi="Arial"/>
          <w:b w:val="0"/>
          <w:i/>
          <w:sz w:val="19"/>
        </w:rPr>
        <w:t>American A.I. Sovereign Wealth Fund Act</w:t>
      </w:r>
      <w:r>
        <w:rPr>
          <w:rFonts w:ascii="Arial" w:hAnsi="Arial"/>
          <w:b w:val="0"/>
          <w:i w:val="0"/>
          <w:sz w:val="19"/>
        </w:rPr>
        <w:t xml:space="preserve">-Logik (§ 4.5, Sanders/AOC) tritt mit </w:t>
      </w:r>
      <w:r>
        <w:rPr>
          <w:rFonts w:ascii="Arial" w:hAnsi="Arial"/>
          <w:b w:val="0"/>
          <w:i/>
          <w:sz w:val="19"/>
        </w:rPr>
        <w:t>H.R. 10044</w:t>
      </w:r>
      <w:r>
        <w:rPr>
          <w:rFonts w:ascii="Arial" w:hAnsi="Arial"/>
          <w:b w:val="0"/>
          <w:i w:val="0"/>
          <w:sz w:val="19"/>
        </w:rPr>
        <w:t xml:space="preserve"> erstmals ein flussorientiertes Verbrauchsteuermodell auf Foundation-Model-Nutzung hinzu, das eine der ältesten Zugriffs­formen (Verbrauchsteuer auf konsumierbaren Output) auf die Frontier-Modell-Ökonomie überträgt. Zweitens ist die konjunkturelle Kopplung des Steuersatzes an die US-Arbeitslosenquote (5-/7-%-Schwellen mit </w:t>
      </w:r>
      <w:r>
        <w:rPr>
          <w:rFonts w:ascii="Arial" w:hAnsi="Arial"/>
          <w:b w:val="0"/>
          <w:i/>
          <w:sz w:val="19"/>
        </w:rPr>
        <w:t>Treasury</w:t>
      </w:r>
      <w:r>
        <w:rPr>
          <w:rFonts w:ascii="Arial" w:hAnsi="Arial"/>
          <w:b w:val="0"/>
          <w:i w:val="0"/>
          <w:sz w:val="19"/>
        </w:rPr>
        <w:t xml:space="preserve">-Suspension bei nicht-KI-getriebenen Schocks) das erste bundeslegislative Beispiel eines </w:t>
      </w:r>
      <w:r>
        <w:rPr>
          <w:rFonts w:ascii="Arial" w:hAnsi="Arial"/>
          <w:b w:val="0"/>
          <w:i/>
          <w:sz w:val="19"/>
        </w:rPr>
        <w:t>automatischen fiskalischen Stabilisators</w:t>
      </w:r>
      <w:r>
        <w:rPr>
          <w:rFonts w:ascii="Arial" w:hAnsi="Arial"/>
          <w:b w:val="0"/>
          <w:i w:val="0"/>
          <w:sz w:val="19"/>
        </w:rPr>
        <w:t xml:space="preserve"> zwischen KI-Verdrängung und Umverteilung; sie verwandelt die im OpenAI-Strategiepapier (§ 4.5, April 2026) skizzierten „automatischen Sicherheitsnetz-Trigger" in einen konkreten fiskalischen Bemessungsmechanismus. Drittens ergänzt der Entwurf die zielgerichtete Ersatzabgabe-Debatte (Typ 5 nach § 2.1) um eine explizit </w:t>
      </w:r>
      <w:r>
        <w:rPr>
          <w:rFonts w:ascii="Arial" w:hAnsi="Arial"/>
          <w:b w:val="0"/>
          <w:i/>
          <w:sz w:val="19"/>
        </w:rPr>
        <w:t>deployerseitige</w:t>
      </w:r>
      <w:r>
        <w:rPr>
          <w:rFonts w:ascii="Arial" w:hAnsi="Arial"/>
          <w:b w:val="0"/>
          <w:i w:val="0"/>
          <w:sz w:val="19"/>
        </w:rPr>
        <w:t xml:space="preserve"> Anknüpfung: Auch die </w:t>
      </w:r>
      <w:r>
        <w:rPr>
          <w:rFonts w:ascii="Arial" w:hAnsi="Arial"/>
          <w:b w:val="0"/>
          <w:i/>
          <w:sz w:val="19"/>
        </w:rPr>
        <w:t>interne</w:t>
      </w:r>
      <w:r>
        <w:rPr>
          <w:rFonts w:ascii="Arial" w:hAnsi="Arial"/>
          <w:b w:val="0"/>
          <w:i w:val="0"/>
          <w:sz w:val="19"/>
        </w:rPr>
        <w:t xml:space="preserve"> Nutzung eines Foundation-Modells zur Reduktion der Belegschaft ist besteuerungspflichtig, was die in § 9.1 diskutierten Kausalattributions- und Mess-Probleme in die Verantwortung der besteuerten Person verlagert und erstmals einen bundesgesetzlichen Nachweispfad institutionalisiert. Für die Deutschland-These (§ 8.3) markiert der Vorstoß eine parallele Referenz: Anders als Sanders' Fondslogik zielt </w:t>
      </w:r>
      <w:r>
        <w:rPr>
          <w:rFonts w:ascii="Arial" w:hAnsi="Arial"/>
          <w:b w:val="0"/>
          <w:i/>
          <w:sz w:val="19"/>
        </w:rPr>
        <w:t>H.R. 10044</w:t>
      </w:r>
      <w:r>
        <w:rPr>
          <w:rFonts w:ascii="Arial" w:hAnsi="Arial"/>
          <w:b w:val="0"/>
          <w:i w:val="0"/>
          <w:sz w:val="19"/>
        </w:rPr>
        <w:t xml:space="preserve"> nicht auf die Eigentums-, sondern auf die Nutzungsschicht der KI-Wertschöpfung — strukturell näher an einer verbrauchs- und wertschöpfungs­orientierten Anknüpfung (§ 5.1, § 8.3) als an einer bestandsorientierten Umverteilung. Die Verabschiedungs­aussichten unter republikanisch geführtem Kongress bleiben nach der Berichterstattung von </w:t>
      </w:r>
      <w:r>
        <w:rPr>
          <w:rFonts w:ascii="Arial" w:hAnsi="Arial"/>
          <w:b w:val="0"/>
          <w:i/>
          <w:sz w:val="19"/>
        </w:rPr>
        <w:t>Reason</w:t>
      </w:r>
      <w:r>
        <w:rPr>
          <w:rFonts w:ascii="Arial" w:hAnsi="Arial"/>
          <w:b w:val="0"/>
          <w:i w:val="0"/>
          <w:sz w:val="19"/>
        </w:rPr>
        <w:t xml:space="preserve"> und </w:t>
      </w:r>
      <w:r>
        <w:rPr>
          <w:rFonts w:ascii="Arial" w:hAnsi="Arial"/>
          <w:b w:val="0"/>
          <w:i/>
          <w:sz w:val="19"/>
        </w:rPr>
        <w:t>Common Dreams</w:t>
      </w:r>
      <w:r>
        <w:rPr>
          <w:rFonts w:ascii="Arial" w:hAnsi="Arial"/>
          <w:b w:val="0"/>
          <w:i w:val="0"/>
          <w:sz w:val="19"/>
        </w:rPr>
        <w:t xml:space="preserve"> gering; als Referenzentwurf für den europäischen Diskurs verdichtet der Vorstoß aber die Beobachtung, dass die US-Debatte binnen zweier Monate von einer Eigentums-Umverteilung (Sanders, Juni 2026) über einen freiwilligen SWF-Vorstoß (OpenAI, Anfang Juli 2026) auf eine konjunktursensitive Nutzungssteuer (Casar, August 2026) konvergiert — mit direktem Anschlusspotenzial für die in § 5.1 und § 8.3 skizzierte deutsche Wertschöpfungs­abgabe-Logik.</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Frontier-Modell-Exportkontrollen — Fable-5-Episode (Juni/Juli 2026):</w:t>
      </w:r>
      <w:r>
        <w:rPr>
          <w:rFonts w:ascii="Arial" w:hAnsi="Arial"/>
          <w:b w:val="0"/>
          <w:i w:val="0"/>
          <w:sz w:val="19"/>
        </w:rPr>
        <w:t xml:space="preserve"> Eine erste operative Anwendung des im Juni 2026 durch Executive Order etablierten US-Vor-Freigabe-Regimes betrifft Anthropic. Am 12. Juni 2026 hat die US-Regierung Ausfuhrkontrollen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verhängt, nachdem Amazon-Sicherheitsforschende ein Umgehungsverfahren dokumentiert hatten, mit dem sich Fable 5 zur Identifikation und in einem Einzelfall zur exemplarischen Ausnutzung einer Software-Schwachstelle bewegen ließ. Weil die Kontrollen ausländischen Staatsangehörigen den Zugriff untersagten und eine Nationalitätsprüfung in Echtzeit nicht praktikabel war, hat Anthropic beide Modelle zunächst weltweit ausgesetzt. Nach Aufhebung der Kontrollen am 30. Juni 2026 wurde </w:t>
      </w:r>
      <w:r>
        <w:rPr>
          <w:rFonts w:ascii="Arial" w:hAnsi="Arial"/>
          <w:b w:val="0"/>
          <w:i/>
          <w:sz w:val="19"/>
        </w:rPr>
        <w:t>Fable 5</w:t>
      </w:r>
      <w:r>
        <w:rPr>
          <w:rFonts w:ascii="Arial" w:hAnsi="Arial"/>
          <w:b w:val="0"/>
          <w:i w:val="0"/>
          <w:sz w:val="19"/>
        </w:rPr>
        <w:t xml:space="preserve"> zum 1. Juli 2026 weltweit erneut ausgerollt — nunmehr mit gemeinsam mit dem US Center for AI Safety Institute (CAISI) trainierten Klassifikatoren, die nach Anbieterangaben die dokumentierte Umgehungsroutine in über 99 % der Fälle blockieren, dabei aber eine erhöhte Fehlalarmquote bei regulären Debugging- und Programmierarbeiten aufweisen; auf den kostenpflichtigen Tarifen (</w:t>
      </w:r>
      <w:r>
        <w:rPr>
          <w:rFonts w:ascii="Arial" w:hAnsi="Arial"/>
          <w:b w:val="0"/>
          <w:i/>
          <w:sz w:val="19"/>
        </w:rPr>
        <w:t>Pro</w:t>
      </w:r>
      <w:r>
        <w:rPr>
          <w:rFonts w:ascii="Arial" w:hAnsi="Arial"/>
          <w:b w:val="0"/>
          <w:i w:val="0"/>
          <w:sz w:val="19"/>
        </w:rPr>
        <w:t xml:space="preserve">, </w:t>
      </w:r>
      <w:r>
        <w:rPr>
          <w:rFonts w:ascii="Arial" w:hAnsi="Arial"/>
          <w:b w:val="0"/>
          <w:i/>
          <w:sz w:val="19"/>
        </w:rPr>
        <w:t>Max</w:t>
      </w:r>
      <w:r>
        <w:rPr>
          <w:rFonts w:ascii="Arial" w:hAnsi="Arial"/>
          <w:b w:val="0"/>
          <w:i w:val="0"/>
          <w:sz w:val="19"/>
        </w:rPr>
        <w:t xml:space="preserve">, </w:t>
      </w:r>
      <w:r>
        <w:rPr>
          <w:rFonts w:ascii="Arial" w:hAnsi="Arial"/>
          <w:b w:val="0"/>
          <w:i/>
          <w:sz w:val="19"/>
        </w:rPr>
        <w:t>Team</w:t>
      </w:r>
      <w:r>
        <w:rPr>
          <w:rFonts w:ascii="Arial" w:hAnsi="Arial"/>
          <w:b w:val="0"/>
          <w:i w:val="0"/>
          <w:sz w:val="19"/>
        </w:rPr>
        <w:t xml:space="preserve">, ausgewählte </w:t>
      </w:r>
      <w:r>
        <w:rPr>
          <w:rFonts w:ascii="Arial" w:hAnsi="Arial"/>
          <w:b w:val="0"/>
          <w:i/>
          <w:sz w:val="19"/>
        </w:rPr>
        <w:t>Enterprise</w:t>
      </w:r>
      <w:r>
        <w:rPr>
          <w:rFonts w:ascii="Arial" w:hAnsi="Arial"/>
          <w:b w:val="0"/>
          <w:i w:val="0"/>
          <w:sz w:val="19"/>
        </w:rPr>
        <w:t xml:space="preserve">) blieb </w:t>
      </w:r>
      <w:r>
        <w:rPr>
          <w:rFonts w:ascii="Arial" w:hAnsi="Arial"/>
          <w:b w:val="0"/>
          <w:i/>
          <w:sz w:val="19"/>
        </w:rPr>
        <w:t>Fable 5</w:t>
      </w:r>
      <w:r>
        <w:rPr>
          <w:rFonts w:ascii="Arial" w:hAnsi="Arial"/>
          <w:b w:val="0"/>
          <w:i w:val="0"/>
          <w:sz w:val="19"/>
        </w:rPr>
        <w:t xml:space="preserve"> zunächst bis zum 7., später bis zum 12. Juli 2026 im vollen Kontingent enthalten und wurde danach über Nutzungsguthaben abgerechnet. Mit Ablauf der verlängerten Kontingent-Frist zum 12. Juli 2026 (23:59:59 Pacific Time) hat Anthropic die Umstellung wie angekündigt vollzogen: </w:t>
      </w:r>
      <w:r>
        <w:rPr>
          <w:rFonts w:ascii="Arial" w:hAnsi="Arial"/>
          <w:b w:val="0"/>
          <w:i/>
          <w:sz w:val="19"/>
        </w:rPr>
        <w:t>Fable 5</w:t>
      </w:r>
      <w:r>
        <w:rPr>
          <w:rFonts w:ascii="Arial" w:hAnsi="Arial"/>
          <w:b w:val="0"/>
          <w:i w:val="0"/>
          <w:sz w:val="19"/>
        </w:rPr>
        <w:t xml:space="preserve"> wird seit dem 13. Juli 2026 in den Abonnementplänen nicht mehr auf das wöchentliche Nutzungskontingent angerechnet, sondern über ein gesondert aufgeladenes Nutzungsguthaben zu einem Standardpreis von 10 US-Dollar pro Million Input- und 50 US-Dollar pro Million Output-Token abgerechnet (Prompt-Caching senkt die Input-Kosten weiterhin um bis zu 90 %). Die Rate liegt damit rund doppelt so hoch wie der Standardpreis von </w:t>
      </w:r>
      <w:r>
        <w:rPr>
          <w:rFonts w:ascii="Arial" w:hAnsi="Arial"/>
          <w:b w:val="0"/>
          <w:i/>
          <w:sz w:val="19"/>
        </w:rPr>
        <w:t>Claude Opus 4.8</w:t>
      </w:r>
      <w:r>
        <w:rPr>
          <w:rFonts w:ascii="Arial" w:hAnsi="Arial"/>
          <w:b w:val="0"/>
          <w:i w:val="0"/>
          <w:sz w:val="19"/>
        </w:rPr>
        <w:t xml:space="preserve"> (5 / 25 US-Dollar) und markiert die höchste je durch Anthropic öffentlich gelistete Kategorie; der Anbieter positioniert die Umstellung als </w:t>
      </w:r>
      <w:r>
        <w:rPr>
          <w:rFonts w:ascii="Arial" w:hAnsi="Arial"/>
          <w:b w:val="0"/>
          <w:i/>
          <w:sz w:val="19"/>
        </w:rPr>
        <w:t>temporäre Kapazitätsrationierung</w:t>
      </w:r>
      <w:r>
        <w:rPr>
          <w:rFonts w:ascii="Arial" w:hAnsi="Arial"/>
          <w:b w:val="0"/>
          <w:i w:val="0"/>
          <w:sz w:val="19"/>
        </w:rPr>
        <w:t xml:space="preserve"> für ein weiterhin nur begrenzt verfügbares Frontier-Modell. Für die in § 8.2 aufgenommene deflationäre Preisdynamik ergibt sich damit ein präziseres Bild als bislang: Der Preisrückgang der letzten Monate betrifft primär die </w:t>
      </w:r>
      <w:r>
        <w:rPr>
          <w:rFonts w:ascii="Arial" w:hAnsi="Arial"/>
          <w:b w:val="0"/>
          <w:i/>
          <w:sz w:val="19"/>
        </w:rPr>
        <w:t>Workhorse</w:t>
      </w:r>
      <w:r>
        <w:rPr>
          <w:rFonts w:ascii="Arial" w:hAnsi="Arial"/>
          <w:b w:val="0"/>
          <w:i w:val="0"/>
          <w:sz w:val="19"/>
        </w:rPr>
        <w:t xml:space="preserve">-Klasse (Anthropic </w:t>
      </w:r>
      <w:r>
        <w:rPr>
          <w:rFonts w:ascii="Arial" w:hAnsi="Arial"/>
          <w:b w:val="0"/>
          <w:i/>
          <w:sz w:val="19"/>
        </w:rPr>
        <w:t>Claude Sonnet 5</w:t>
      </w:r>
      <w:r>
        <w:rPr>
          <w:rFonts w:ascii="Arial" w:hAnsi="Arial"/>
          <w:b w:val="0"/>
          <w:i w:val="0"/>
          <w:sz w:val="19"/>
        </w:rPr>
        <w:t xml:space="preserve"> 2 / 10 US-Dollar bis 31. August 2026, Meta </w:t>
      </w:r>
      <w:r>
        <w:rPr>
          <w:rFonts w:ascii="Arial" w:hAnsi="Arial"/>
          <w:b w:val="0"/>
          <w:i/>
          <w:sz w:val="19"/>
        </w:rPr>
        <w:t>Muse Spark 1.1</w:t>
      </w:r>
      <w:r>
        <w:rPr>
          <w:rFonts w:ascii="Arial" w:hAnsi="Arial"/>
          <w:b w:val="0"/>
          <w:i w:val="0"/>
          <w:sz w:val="19"/>
        </w:rPr>
        <w:t xml:space="preserve"> 1,25 / 4,25 US-Dollar), während supply-constrained Spitzenmodelle wie </w:t>
      </w:r>
      <w:r>
        <w:rPr>
          <w:rFonts w:ascii="Arial" w:hAnsi="Arial"/>
          <w:b w:val="0"/>
          <w:i/>
          <w:sz w:val="19"/>
        </w:rPr>
        <w:t>Fable 5</w:t>
      </w:r>
      <w:r>
        <w:rPr>
          <w:rFonts w:ascii="Arial" w:hAnsi="Arial"/>
          <w:b w:val="0"/>
          <w:i w:val="0"/>
          <w:sz w:val="19"/>
        </w:rPr>
        <w:t xml:space="preserve"> gegen die Deflation preisen. Die Frontier-Ökonomik teilt sich damit sichtbar in eine Angebots-getriebene Preiskurve für standardisierbare Inferenzen und eine knappheits-getriebene Preiskurve für die jeweils aktuellste Modellklasse — ein Muster, das für Anknüpfungspunkte einer inländischen KI-Nutzungsabgabe (§ 8.3) bedeutet, dass Bemessungsgrundlage und Tarifstruktur modellklassenspezifisch differenziert werden müssten. Für die hier geführte Steuer- und Governance-Debatte ist die Episode relevant, weil sie zeigt, dass die frontier-nahen KI-Anbieter inzwischen in einem Regulierungskontext operieren, in dem US-exekutive Sicherheitsauflagen (Cybersecurity Executive Order, koordinierte Klassifikatoren) den Zugriff auf importierte Modelle unmittelbar einschränken können — mit denselben Rückwirkungen auf europäische Nutzerinnen und Nutzer, wie sie die AI-Act-Konformitätsschritte auf der Angebotsseite auslösen. Der administrative Zugriff auf einen KI-Wertschöpfungsstrang wird damit vorerst stärker exekutiv-sicherheitspolitisch als steuer- oder wettbewerbsrechtlich vermittelt; für die in § 8.3 skizzierten Zugriffspfade heißt das, dass Wertschöpfungsabgabe und Fondslogik zusätzlich robust gegenüber Verfügbarkeitsstörungen der Basismodelle konstruiert werden müssen. Nachtrag zum 1. August 2026: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vorgesehene 60-Tage-Frist zur Ausarbeitung der zugehörigen Framework-Deliverables — klassifizierter Benchmarking-Prozess für „covered frontier models" (NSA, CISA, NIST), freiwilliges Frontier-Modell-Vor-Freigabe-Framework (Treasury, NSA, CISA, NIST) und föderaler Cyber-Personalausbau (OPM) —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1. August 2026 (00:00 UTC) ohne öffentliche Deliverables verstrichen: weder ein Federal-Register-Eintrag noch NIST-, CISA- oder OSTP-Publikationen seien vorgelegt worden (Konjunktiv nach § 4.2 Claude.md). Für die in diesem Abschnitt aufgenommene Deutschland- und Europa-Perspektive verstärkt der Befund die Beobachtung, dass das US-Vor-Freigabe-Regime bislang nur in exekutiv-informalen Einzelfall-Anwendungen (Fable-5-Episode Juni/Juli 2026) operativ wird, während ein institutionalisiertes, transparent-normiertes Prüfverfahren mit maschinenlesbaren Bemessungsgrundlagen — wie es die am 2. August 2026 in Kraft tretende </w:t>
      </w:r>
      <w:r>
        <w:rPr>
          <w:rFonts w:ascii="Arial" w:hAnsi="Arial"/>
          <w:b w:val="0"/>
          <w:i/>
          <w:sz w:val="19"/>
        </w:rPr>
        <w:t>EU-AI-Act</w:t>
      </w:r>
      <w:r>
        <w:rPr>
          <w:rFonts w:ascii="Arial" w:hAnsi="Arial"/>
          <w:b w:val="0"/>
          <w:i w:val="0"/>
          <w:sz w:val="19"/>
        </w:rPr>
        <w:t xml:space="preserve">-Durchsetzung (§ 4.3) auf Angebotsseite etabliert — auf US-Seite bis auf Weiteres ausbleibt. Nachtrag zum 4. August 2026: Drei am selben Tag koordiniert wirkende Signale verdichten die US-Seite des Frontier-Governance-Regimes weiter. Erstens habe die Trump-Administration nach Berichterstattung von </w:t>
      </w:r>
      <w:r>
        <w:rPr>
          <w:rFonts w:ascii="Arial" w:hAnsi="Arial"/>
          <w:b w:val="0"/>
          <w:i/>
          <w:sz w:val="19"/>
        </w:rPr>
        <w:t>CNN Business</w:t>
      </w:r>
      <w:r>
        <w:rPr>
          <w:rFonts w:ascii="Arial" w:hAnsi="Arial"/>
          <w:b w:val="0"/>
          <w:i w:val="0"/>
          <w:sz w:val="19"/>
        </w:rPr>
        <w:t xml:space="preserve"> (3. August 2026), </w:t>
      </w:r>
      <w:r>
        <w:rPr>
          <w:rFonts w:ascii="Arial" w:hAnsi="Arial"/>
          <w:b w:val="0"/>
          <w:i/>
          <w:sz w:val="19"/>
        </w:rPr>
        <w:t>UPI</w:t>
      </w:r>
      <w:r>
        <w:rPr>
          <w:rFonts w:ascii="Arial" w:hAnsi="Arial"/>
          <w:b w:val="0"/>
          <w:i w:val="0"/>
          <w:sz w:val="19"/>
        </w:rPr>
        <w:t xml:space="preserve">, </w:t>
      </w:r>
      <w:r>
        <w:rPr>
          <w:rFonts w:ascii="Arial" w:hAnsi="Arial"/>
          <w:b w:val="0"/>
          <w:i/>
          <w:sz w:val="19"/>
        </w:rPr>
        <w:t>BNN Bloomberg</w:t>
      </w:r>
      <w:r>
        <w:rPr>
          <w:rFonts w:ascii="Arial" w:hAnsi="Arial"/>
          <w:b w:val="0"/>
          <w:i w:val="0"/>
          <w:sz w:val="19"/>
        </w:rPr>
        <w:t xml:space="preserve">, </w:t>
      </w:r>
      <w:r>
        <w:rPr>
          <w:rFonts w:ascii="Arial" w:hAnsi="Arial"/>
          <w:b w:val="0"/>
          <w:i/>
          <w:sz w:val="19"/>
        </w:rPr>
        <w:t>GV 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 (jeweils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in der eine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worden sei; der Vorschlag räume den Sicherheits- und Aufsichtsbehörden Vor-Zugang zu neuen Frontier-Modellen von bis zu 30 Tagen vor öffentlicher Verfügbarkeit ein, Präsident Trump habe an der Sitzung nicht persönlich teilgenommen (Konjunktiv nach § 4.2 Claude.md). Zweitens habe </w:t>
      </w:r>
      <w:r>
        <w:rPr>
          <w:rFonts w:ascii="Arial" w:hAnsi="Arial"/>
          <w:b w:val="0"/>
          <w:i/>
          <w:sz w:val="19"/>
        </w:rPr>
        <w:t>Anthropic</w:t>
      </w:r>
      <w:r>
        <w:rPr>
          <w:rFonts w:ascii="Arial" w:hAnsi="Arial"/>
          <w:b w:val="0"/>
          <w:i w:val="0"/>
          <w:sz w:val="19"/>
        </w:rPr>
        <w:t xml:space="preserve"> am 4. August 2026 mit Mariano-Florentino („Tino") Cuéllar seinen ersten </w:t>
      </w:r>
      <w:r>
        <w:rPr>
          <w:rFonts w:ascii="Arial" w:hAnsi="Arial"/>
          <w:b w:val="0"/>
          <w:i/>
          <w:sz w:val="19"/>
        </w:rPr>
        <w:t>Chief Global Affairs Officer</w:t>
      </w:r>
      <w:r>
        <w:rPr>
          <w:rFonts w:ascii="Arial" w:hAnsi="Arial"/>
          <w:b w:val="0"/>
          <w:i w:val="0"/>
          <w:sz w:val="19"/>
        </w:rPr>
        <w:t xml:space="preserve"> benannt: Cuéllar sei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Professor an der </w:t>
      </w:r>
      <w:r>
        <w:rPr>
          <w:rFonts w:ascii="Arial" w:hAnsi="Arial"/>
          <w:b w:val="0"/>
          <w:i/>
          <w:sz w:val="19"/>
        </w:rPr>
        <w:t>Stanford Law School</w:t>
      </w:r>
      <w:r>
        <w:rPr>
          <w:rFonts w:ascii="Arial" w:hAnsi="Arial"/>
          <w:b w:val="0"/>
          <w:i w:val="0"/>
          <w:sz w:val="19"/>
        </w:rPr>
        <w:t xml:space="preserve">, </w:t>
      </w:r>
      <w:r>
        <w:rPr>
          <w:rFonts w:ascii="Arial" w:hAnsi="Arial"/>
          <w:b w:val="0"/>
          <w:i/>
          <w:sz w:val="19"/>
        </w:rPr>
        <w:t>Senior Fellow</w:t>
      </w:r>
      <w:r>
        <w:rPr>
          <w:rFonts w:ascii="Arial" w:hAnsi="Arial"/>
          <w:b w:val="0"/>
          <w:i w:val="0"/>
          <w:sz w:val="19"/>
        </w:rPr>
        <w:t xml:space="preserve"> am </w:t>
      </w:r>
      <w:r>
        <w:rPr>
          <w:rFonts w:ascii="Arial" w:hAnsi="Arial"/>
          <w:b w:val="0"/>
          <w:i/>
          <w:sz w:val="19"/>
        </w:rPr>
        <w:t>Stanford Institute for Human-Centered AI</w:t>
      </w:r>
      <w:r>
        <w:rPr>
          <w:rFonts w:ascii="Arial" w:hAnsi="Arial"/>
          <w:b w:val="0"/>
          <w:i w:val="0"/>
          <w:sz w:val="19"/>
        </w:rPr>
        <w:t xml:space="preserve">, Trustee des </w:t>
      </w:r>
      <w:r>
        <w:rPr>
          <w:rFonts w:ascii="Arial" w:hAnsi="Arial"/>
          <w:b w:val="0"/>
          <w:i/>
          <w:sz w:val="19"/>
        </w:rPr>
        <w:t>Anthropic Long-Term Benefit Trust</w:t>
      </w:r>
      <w:r>
        <w:rPr>
          <w:rFonts w:ascii="Arial" w:hAnsi="Arial"/>
          <w:b w:val="0"/>
          <w:i w:val="0"/>
          <w:sz w:val="19"/>
        </w:rPr>
        <w:t xml:space="preserve"> seit Januar 2026 (aus dem er mit dem Amtsantritt ausscheide) und seit 2019 Mitglied der </w:t>
      </w:r>
      <w:r>
        <w:rPr>
          <w:rFonts w:ascii="Arial" w:hAnsi="Arial"/>
          <w:b w:val="0"/>
          <w:i/>
          <w:sz w:val="19"/>
        </w:rPr>
        <w:t>Harvard Corporation</w:t>
      </w:r>
      <w:r>
        <w:rPr>
          <w:rFonts w:ascii="Arial" w:hAnsi="Arial"/>
          <w:b w:val="0"/>
          <w:i w:val="0"/>
          <w:sz w:val="19"/>
        </w:rPr>
        <w:t xml:space="preserve">; Anthropic-Präsidentin Daniela Amodei sei in der Erstmitteilung mit der Formulierung zitiert worden, Cuéllar habe „seine Karriere damit verbracht, öffentliche Institutionen in Zeiten des Wandels mit Bedachtsamkeit, Pragmatismus und tiefer Verpflichtung gegenüber dem Gemeinwohl zu unterstützen". Drittens hätten fünf demokratische Senatorinnen und Senatoren — </w:t>
      </w:r>
      <w:r>
        <w:rPr>
          <w:rFonts w:ascii="Arial" w:hAnsi="Arial"/>
          <w:b w:val="0"/>
          <w:i/>
          <w:sz w:val="19"/>
        </w:rPr>
        <w:t>Kirsten Gillibrand</w:t>
      </w:r>
      <w:r>
        <w:rPr>
          <w:rFonts w:ascii="Arial" w:hAnsi="Arial"/>
          <w:b w:val="0"/>
          <w:i w:val="0"/>
          <w:sz w:val="19"/>
        </w:rPr>
        <w:t xml:space="preserve"> (D-NY, federführend), </w:t>
      </w:r>
      <w:r>
        <w:rPr>
          <w:rFonts w:ascii="Arial" w:hAnsi="Arial"/>
          <w:b w:val="0"/>
          <w:i/>
          <w:sz w:val="19"/>
        </w:rPr>
        <w:t>Adam Schiff</w:t>
      </w:r>
      <w:r>
        <w:rPr>
          <w:rFonts w:ascii="Arial" w:hAnsi="Arial"/>
          <w:b w:val="0"/>
          <w:i w:val="0"/>
          <w:sz w:val="19"/>
        </w:rPr>
        <w:t xml:space="preserve"> (D-CA), </w:t>
      </w:r>
      <w:r>
        <w:rPr>
          <w:rFonts w:ascii="Arial" w:hAnsi="Arial"/>
          <w:b w:val="0"/>
          <w:i/>
          <w:sz w:val="19"/>
        </w:rPr>
        <w:t>Mark Warner</w:t>
      </w:r>
      <w:r>
        <w:rPr>
          <w:rFonts w:ascii="Arial" w:hAnsi="Arial"/>
          <w:b w:val="0"/>
          <w:i w:val="0"/>
          <w:sz w:val="19"/>
        </w:rPr>
        <w:t xml:space="preserve"> (D-VA), </w:t>
      </w:r>
      <w:r>
        <w:rPr>
          <w:rFonts w:ascii="Arial" w:hAnsi="Arial"/>
          <w:b w:val="0"/>
          <w:i/>
          <w:sz w:val="19"/>
        </w:rPr>
        <w:t>Chris Coons</w:t>
      </w:r>
      <w:r>
        <w:rPr>
          <w:rFonts w:ascii="Arial" w:hAnsi="Arial"/>
          <w:b w:val="0"/>
          <w:i w:val="0"/>
          <w:sz w:val="19"/>
        </w:rPr>
        <w:t xml:space="preserve"> (D-DE) und </w:t>
      </w:r>
      <w:r>
        <w:rPr>
          <w:rFonts w:ascii="Arial" w:hAnsi="Arial"/>
          <w:b w:val="0"/>
          <w:i/>
          <w:sz w:val="19"/>
        </w:rPr>
        <w:t>Mark Kelly</w:t>
      </w:r>
      <w:r>
        <w:rPr>
          <w:rFonts w:ascii="Arial" w:hAnsi="Arial"/>
          <w:b w:val="0"/>
          <w:i w:val="0"/>
          <w:sz w:val="19"/>
        </w:rPr>
        <w:t xml:space="preserve"> (D-AZ) — am 4. August 2026 einen Brief an die Trump-Administration gerichtet, in dem sie die </w:t>
      </w:r>
      <w:r>
        <w:rPr>
          <w:rFonts w:ascii="Arial" w:hAnsi="Arial"/>
          <w:b w:val="0"/>
          <w:i/>
          <w:sz w:val="19"/>
        </w:rPr>
        <w:t>„aktuelle Politik und Herangehensweise an die Beschränkung des Zugangs zu fortgeschrittenen KI-Modellen"</w:t>
      </w:r>
      <w:r>
        <w:rPr>
          <w:rFonts w:ascii="Arial" w:hAnsi="Arial"/>
          <w:b w:val="0"/>
          <w:i w:val="0"/>
          <w:sz w:val="19"/>
        </w:rPr>
        <w:t xml:space="preserve"> öffentlich hinterlegt sehen wollten (Kernzitat: „We believe strongly in the importance of maintaining the United States' competitive lead in artificial intelligence development while protecting the country from serious national security risks."); die Senatorinnen und Senatoren hätten die Rechtsgrundlage, die Maßstäbe und die Abwägung zwischen Sicherheits- und Wettbewerbsinteressen bei der Fable-5-/Mythos-5-Weisung des </w:t>
      </w:r>
      <w:r>
        <w:rPr>
          <w:rFonts w:ascii="Arial" w:hAnsi="Arial"/>
          <w:b w:val="0"/>
          <w:i/>
          <w:sz w:val="19"/>
        </w:rPr>
        <w:t>Department of Commerce</w:t>
      </w:r>
      <w:r>
        <w:rPr>
          <w:rFonts w:ascii="Arial" w:hAnsi="Arial"/>
          <w:b w:val="0"/>
          <w:i w:val="0"/>
          <w:sz w:val="19"/>
        </w:rPr>
        <w:t xml:space="preserve"> (Juni 2026) und der anschließenden Zugangsbeschränkung von </w:t>
      </w:r>
      <w:r>
        <w:rPr>
          <w:rFonts w:ascii="Arial" w:hAnsi="Arial"/>
          <w:b w:val="0"/>
          <w:i/>
          <w:sz w:val="19"/>
        </w:rPr>
        <w:t>GPT-5.6 Sol</w:t>
      </w:r>
      <w:r>
        <w:rPr>
          <w:rFonts w:ascii="Arial" w:hAnsi="Arial"/>
          <w:b w:val="0"/>
          <w:i w:val="0"/>
          <w:sz w:val="19"/>
        </w:rPr>
        <w:t xml:space="preserve"> öffentlich dokumentiert wissen wollen (Konjunktivpflicht nach § 4.2 Claude.md eingehalten). Für die in diesem Abschnitt zusammengeführte Governance-Perspektive verdichten die drei parallelen Vorgänge — exekutive Framework-Vorlage im Kreis der vier größten US-Anbieter, präventive Institutionalisierung der Politik-Schnittstelle auf Anbieterseite, öffentlicher Transparenzdruck aus der Senats-Minderheit — die Beobachtung, dass die </w:t>
      </w:r>
      <w:r>
        <w:rPr>
          <w:rFonts w:ascii="Arial" w:hAnsi="Arial"/>
          <w:b w:val="0"/>
          <w:i/>
          <w:sz w:val="19"/>
        </w:rPr>
        <w:t>US-informal-exekutive</w:t>
      </w:r>
      <w:r>
        <w:rPr>
          <w:rFonts w:ascii="Arial" w:hAnsi="Arial"/>
          <w:b w:val="0"/>
          <w:i w:val="0"/>
          <w:sz w:val="19"/>
        </w:rPr>
        <w:t xml:space="preserve"> Governance-Linie sich zwischen dem 1. August 2026 (Fristablauf ohne Federal-Register-Deliverable) und dem 4. August 2026 (Framework-Vorlage im geschlossenen Kreis, ohne öffentliche Konsultation) zu einem intransparenten Ad-hoc-Regime verstetigt, während die europäische Angebotsseite parallel auf ein transparent-normiertes Prüfregime umgestellt wird (§ 4.3, Version 55.0). Für die Deutschland-These bestätigt sich damit die Bedeutung der in § 8.3 skizzierten institutionalisierten Prüf- und Zugangsinfrastruktur als Voraussetzung einer wertschöpfungs- und risikodifferenzierten inländischen KI-Nutzungsabgabe. Nachtrag zum 5. August 2026: Die Berichterstattung des Folgetages verdichtet den Charakter des am 4. August 2026 im Weißen Haus vorgelegten Vor-Freigabe-Frameworks nach übereinstimmender Darstellung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einer </w:t>
      </w:r>
      <w:r>
        <w:rPr>
          <w:rFonts w:ascii="Arial" w:hAnsi="Arial"/>
          <w:b w:val="0"/>
          <w:i/>
          <w:sz w:val="19"/>
        </w:rPr>
        <w:t>Yahoo-News</w:t>
      </w:r>
      <w:r>
        <w:rPr>
          <w:rFonts w:ascii="Arial" w:hAnsi="Arial"/>
          <w:b w:val="0"/>
          <w:i w:val="0"/>
          <w:sz w:val="19"/>
        </w:rPr>
        <w:t xml:space="preserve">-Analyse (5. August 2026, „White House AI Framework Excludes Open-Weight Models From Federal Security Review, Creating Structural Competitive Asymmetry") in drei präzisierten Zügen. Erstens sei der Kreis der zur Sitzung geladenen Anbieter tatsächlich breiter als in der Vorankündigung gewesen und habe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umfasst; die </w:t>
      </w:r>
      <w:r>
        <w:rPr>
          <w:rFonts w:ascii="Arial" w:hAnsi="Arial"/>
          <w:b w:val="0"/>
          <w:i/>
          <w:sz w:val="19"/>
        </w:rPr>
        <w:t>Yahoo-News</w:t>
      </w:r>
      <w:r>
        <w:rPr>
          <w:rFonts w:ascii="Arial" w:hAnsi="Arial"/>
          <w:b w:val="0"/>
          <w:i w:val="0"/>
          <w:sz w:val="19"/>
        </w:rPr>
        <w:t xml:space="preserve">-Analyse benennt das Prüfregime als exklusiv anwendbar auf fünf </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Open-Weight</w:t>
      </w:r>
      <w:r>
        <w:rPr>
          <w:rFonts w:ascii="Arial" w:hAnsi="Arial"/>
          <w:b w:val="0"/>
          <w:i w:val="0"/>
          <w:sz w:val="19"/>
        </w:rPr>
        <w:t xml:space="preserve">-Modelle als explizit ausgeschlossen. Zweitens werde das Framework selbst nach expliziter Weisung des Weißen Hauses </w:t>
      </w:r>
      <w:r>
        <w:rPr>
          <w:rFonts w:ascii="Arial" w:hAnsi="Arial"/>
          <w:b w:val="0"/>
          <w:i/>
          <w:sz w:val="19"/>
        </w:rPr>
        <w:t>nicht öffentlich</w:t>
      </w:r>
      <w:r>
        <w:rPr>
          <w:rFonts w:ascii="Arial" w:hAnsi="Arial"/>
          <w:b w:val="0"/>
          <w:i w:val="0"/>
          <w:sz w:val="19"/>
        </w:rPr>
        <w:t xml:space="preserve"> freigegeben; das im </w:t>
      </w:r>
      <w:r>
        <w:rPr>
          <w:rFonts w:ascii="Arial" w:hAnsi="Arial"/>
          <w:b w:val="0"/>
          <w:i/>
          <w:sz w:val="19"/>
        </w:rPr>
        <w:t>Executive Order 14409</w:t>
      </w:r>
      <w:r>
        <w:rPr>
          <w:rFonts w:ascii="Arial" w:hAnsi="Arial"/>
          <w:b w:val="0"/>
          <w:i w:val="0"/>
          <w:sz w:val="19"/>
        </w:rPr>
        <w:t xml:space="preserve"> vorgesehene Benchmarking-Verfahren zur Bewertung fortgeschrittener Cyber-Fähigkeiten sei ebenso klassifiziert wie die zugehörigen Schwellenwerte, während der eigentliche Framework-Text zwar unklassifiziert, aber unveröffentlicht bleibe (ein White-House-Vertreter in </w:t>
      </w:r>
      <w:r>
        <w:rPr>
          <w:rFonts w:ascii="Arial" w:hAnsi="Arial"/>
          <w:b w:val="0"/>
          <w:i/>
          <w:sz w:val="19"/>
        </w:rPr>
        <w:t>The Next Web</w:t>
      </w:r>
      <w:r>
        <w:rPr>
          <w:rFonts w:ascii="Arial" w:hAnsi="Arial"/>
          <w:b w:val="0"/>
          <w:i w:val="0"/>
          <w:sz w:val="19"/>
        </w:rPr>
        <w:t xml:space="preserve">, ohne Namensnennung: „Just because things are unclassified that doesn't mean we are going to broadcast them to everyone"). Drittens sei die Administration des Verfahrens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angesiedelt, das die freiwillige 30-Tage-Vor-Zugangsfrist gegenüber den betroffenen closed-source-Anbietern operativ vollziehe (Konjunktivpflicht nach § 4.2 Claude.md eingehalten). Die </w:t>
      </w:r>
      <w:r>
        <w:rPr>
          <w:rFonts w:ascii="Arial" w:hAnsi="Arial"/>
          <w:b w:val="0"/>
          <w:i/>
          <w:sz w:val="19"/>
        </w:rPr>
        <w:t>Yahoo-News</w:t>
      </w:r>
      <w:r>
        <w:rPr>
          <w:rFonts w:ascii="Arial" w:hAnsi="Arial"/>
          <w:b w:val="0"/>
          <w:i w:val="0"/>
          <w:sz w:val="19"/>
        </w:rPr>
        <w:t xml:space="preserve">-Analyse ordnet den Zuschnitt als „strukturelle wettbewerbliche Asymmetrie" ein, weil offene und ausländische Modelle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außerhalb des föderalen Prüfradius bleiben, während die genannten fünf US-closed-source-Anbieter dem Verfahren unterliegen. Für die in § 4.5 aufgenommene Governance-Beobachtung präzisiert der 5.-August-Nachtrag die am Vortag skizzierte Ad-hoc-Verstetigung: Die </w:t>
      </w:r>
      <w:r>
        <w:rPr>
          <w:rFonts w:ascii="Arial" w:hAnsi="Arial"/>
          <w:b w:val="0"/>
          <w:i/>
          <w:sz w:val="19"/>
        </w:rPr>
        <w:t>US-informal-exekutive</w:t>
      </w:r>
      <w:r>
        <w:rPr>
          <w:rFonts w:ascii="Arial" w:hAnsi="Arial"/>
          <w:b w:val="0"/>
          <w:i w:val="0"/>
          <w:sz w:val="19"/>
        </w:rPr>
        <w:t xml:space="preserve"> Governance-Linie institutionalisiert sich in einem behördlich koordinierten, aber öffentlich unbekannten Regime, dessen Anwendbarkeit binärkategorisch von der Marktform der Basismodelle abhängt (closed-source ja, open-weight nein), während die parallel am 2. August 2026 in Kraft gesetzte </w:t>
      </w:r>
      <w:r>
        <w:rPr>
          <w:rFonts w:ascii="Arial" w:hAnsi="Arial"/>
          <w:b w:val="0"/>
          <w:i/>
          <w:sz w:val="19"/>
        </w:rPr>
        <w:t>EU-AI-Act</w:t>
      </w:r>
      <w:r>
        <w:rPr>
          <w:rFonts w:ascii="Arial" w:hAnsi="Arial"/>
          <w:b w:val="0"/>
          <w:i w:val="0"/>
          <w:sz w:val="19"/>
        </w:rPr>
        <w:t xml:space="preserve">-Durchsetzung (§ 4.3) auf einem transparent-normierten, technologisch neutralen Ordnungsmodell aufsetzt. Für die Deutschland-These verstärkt der Befund die in § 8.3 skizzierte Anschlussfähigkeit einer inländischen KI-Nutzungsabgabe an das </w:t>
      </w:r>
      <w:r>
        <w:rPr>
          <w:rFonts w:ascii="Arial" w:hAnsi="Arial"/>
          <w:b w:val="0"/>
          <w:i/>
          <w:sz w:val="19"/>
        </w:rPr>
        <w:t>offene</w:t>
      </w:r>
      <w:r>
        <w:rPr>
          <w:rFonts w:ascii="Arial" w:hAnsi="Arial"/>
          <w:b w:val="0"/>
          <w:i w:val="0"/>
          <w:sz w:val="19"/>
        </w:rPr>
        <w:t xml:space="preserve"> Modellsegment (§ 8.2, </w:t>
      </w:r>
      <w:r>
        <w:rPr>
          <w:rFonts w:ascii="Arial" w:hAnsi="Arial"/>
          <w:b w:val="0"/>
          <w:i/>
          <w:sz w:val="19"/>
        </w:rPr>
        <w:t>Qwen3.8-Max</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V4-Flash</w:t>
      </w:r>
      <w:r>
        <w:rPr>
          <w:rFonts w:ascii="Arial" w:hAnsi="Arial"/>
          <w:b w:val="0"/>
          <w:i w:val="0"/>
          <w:sz w:val="19"/>
        </w:rPr>
        <w:t>), weil dieses Segment aus dem US-Vor-Freigabe-Regime ausdrücklich herausgehalten wird und damit auch mittelfristig frei verfügbar bleibt.</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AI Tax and Work Protection Act (US-Repräsentantenhaus, 7. August 2026):</w:t>
      </w:r>
      <w:r>
        <w:rPr>
          <w:rFonts w:ascii="Arial" w:hAnsi="Arial"/>
          <w:b w:val="0"/>
          <w:i w:val="0"/>
          <w:sz w:val="19"/>
        </w:rPr>
        <w:t xml:space="preserve"> Am 7. August 2026 haben die Demokratinnen und Demokraten Greg Casar (D-TX, federführend), Valerie Foushee (D-NC) und Sara Jacobs (D-CA) den </w:t>
      </w:r>
      <w:r>
        <w:rPr>
          <w:rFonts w:ascii="Arial" w:hAnsi="Arial"/>
          <w:b w:val="0"/>
          <w:i/>
          <w:sz w:val="19"/>
        </w:rPr>
        <w:t>AI Tax and Work Protection Act</w:t>
      </w:r>
      <w:r>
        <w:rPr>
          <w:rFonts w:ascii="Arial" w:hAnsi="Arial"/>
          <w:b w:val="0"/>
          <w:i w:val="0"/>
          <w:sz w:val="19"/>
        </w:rPr>
        <w:t xml:space="preserve"> im US-Repräsentantenhaus eingebracht; der Gesetzentwurf wäre nach dem </w:t>
      </w:r>
      <w:r>
        <w:rPr>
          <w:rFonts w:ascii="Arial" w:hAnsi="Arial"/>
          <w:b w:val="0"/>
          <w:i/>
          <w:sz w:val="19"/>
        </w:rPr>
        <w:t>Sanders</w:t>
      </w:r>
      <w:r>
        <w:rPr>
          <w:rFonts w:ascii="Arial" w:hAnsi="Arial"/>
          <w:b w:val="0"/>
          <w:i w:val="0"/>
          <w:sz w:val="19"/>
        </w:rPr>
        <w:t xml:space="preserve">-Robotersteuer-Vorschlag (Oktober 2025) und dem </w:t>
      </w:r>
      <w:r>
        <w:rPr>
          <w:rFonts w:ascii="Arial" w:hAnsi="Arial"/>
          <w:b w:val="0"/>
          <w:i/>
          <w:sz w:val="19"/>
        </w:rPr>
        <w:t>American A.I. Sovereign Wealth Fund Act</w:t>
      </w:r>
      <w:r>
        <w:rPr>
          <w:rFonts w:ascii="Arial" w:hAnsi="Arial"/>
          <w:b w:val="0"/>
          <w:i w:val="0"/>
          <w:sz w:val="19"/>
        </w:rPr>
        <w:t xml:space="preserve"> (18. Juni 2026) die dritte fiskalische Legislativ-Initiative des laufenden Kongresses mit unmittelbarem Bezug zur Verdrängung menschlicher Arbeit durch KI. Der Zugriff ist zweistufig konstruiert: Für </w:t>
      </w:r>
      <w:r>
        <w:rPr>
          <w:rFonts w:ascii="Arial" w:hAnsi="Arial"/>
          <w:b w:val="0"/>
          <w:i/>
          <w:sz w:val="19"/>
        </w:rPr>
        <w:t>closed-weight</w:t>
      </w:r>
      <w:r>
        <w:rPr>
          <w:rFonts w:ascii="Arial" w:hAnsi="Arial"/>
          <w:b w:val="0"/>
          <w:i w:val="0"/>
          <w:sz w:val="19"/>
        </w:rPr>
        <w:t xml:space="preserve">-Anbieter wird das Steueraufkommen alternativ am </w:t>
      </w:r>
      <w:r>
        <w:rPr>
          <w:rFonts w:ascii="Arial" w:hAnsi="Arial"/>
          <w:b w:val="0"/>
          <w:i/>
          <w:sz w:val="19"/>
        </w:rPr>
        <w:t>Token-Verkaufspreis</w:t>
      </w:r>
      <w:r>
        <w:rPr>
          <w:rFonts w:ascii="Arial" w:hAnsi="Arial"/>
          <w:b w:val="0"/>
          <w:i w:val="0"/>
          <w:sz w:val="19"/>
        </w:rPr>
        <w:t xml:space="preserve"> oder am </w:t>
      </w:r>
      <w:r>
        <w:rPr>
          <w:rFonts w:ascii="Arial" w:hAnsi="Arial"/>
          <w:b w:val="0"/>
          <w:i/>
          <w:sz w:val="19"/>
        </w:rPr>
        <w:t>Produktumsatz</w:t>
      </w:r>
      <w:r>
        <w:rPr>
          <w:rFonts w:ascii="Arial" w:hAnsi="Arial"/>
          <w:b w:val="0"/>
          <w:i w:val="0"/>
          <w:sz w:val="19"/>
        </w:rPr>
        <w:t xml:space="preserve"> der KI-Angebote bemessen (jeweils der höhere Wert), für </w:t>
      </w:r>
      <w:r>
        <w:rPr>
          <w:rFonts w:ascii="Arial" w:hAnsi="Arial"/>
          <w:b w:val="0"/>
          <w:i/>
          <w:sz w:val="19"/>
        </w:rPr>
        <w:t>open-weight</w:t>
      </w:r>
      <w:r>
        <w:rPr>
          <w:rFonts w:ascii="Arial" w:hAnsi="Arial"/>
          <w:b w:val="0"/>
          <w:i w:val="0"/>
          <w:sz w:val="19"/>
        </w:rPr>
        <w:t xml:space="preserve">-Modelle greift die Abgabe erst auf der Einsatzebene, sobald ein Unternehmen die Modelle zur Reduktion von Personalkosten verwendet. Der Steuersatz wäre nach Konjunktiv gemäß § 4.2 Claude.md unemployment-elastisch ausgelegt und stiege ausdrücklich, sobald die US-Arbeitslosenquote die 5-Prozent-Marke überschreitet; das Aufkommen fließt vollständig in eine neu zu errichtende </w:t>
      </w:r>
      <w:r>
        <w:rPr>
          <w:rFonts w:ascii="Arial" w:hAnsi="Arial"/>
          <w:b w:val="0"/>
          <w:i/>
          <w:sz w:val="19"/>
        </w:rPr>
        <w:t>Work Protection Administration</w:t>
      </w:r>
      <w:r>
        <w:rPr>
          <w:rFonts w:ascii="Arial" w:hAnsi="Arial"/>
          <w:b w:val="0"/>
          <w:i w:val="0"/>
          <w:sz w:val="19"/>
        </w:rPr>
        <w:t xml:space="preserve"> (WPA), die nach dem Vorbild der New-Deal-</w:t>
      </w:r>
      <w:r>
        <w:rPr>
          <w:rFonts w:ascii="Arial" w:hAnsi="Arial"/>
          <w:b w:val="0"/>
          <w:i/>
          <w:sz w:val="19"/>
        </w:rPr>
        <w:t>Works Progress Administration</w:t>
      </w:r>
      <w:r>
        <w:rPr>
          <w:rFonts w:ascii="Arial" w:hAnsi="Arial"/>
          <w:b w:val="0"/>
          <w:i w:val="0"/>
          <w:sz w:val="19"/>
        </w:rPr>
        <w:t xml:space="preserve"> Bundeszuschüsse an Bundesstaaten, Kommunen, Stämme, gemeinnützige Träger, Gewerkschaften und Bildungseinrichtungen für Wohnraum, Infrastruktur, Kinder- und Altenpflege vergibt. Als tragende Verbände wurden nach der Casar-Presseerklärung die </w:t>
      </w:r>
      <w:r>
        <w:rPr>
          <w:rFonts w:ascii="Arial" w:hAnsi="Arial"/>
          <w:b w:val="0"/>
          <w:i/>
          <w:sz w:val="19"/>
        </w:rPr>
        <w:t>American Federation of Teachers</w:t>
      </w:r>
      <w:r>
        <w:rPr>
          <w:rFonts w:ascii="Arial" w:hAnsi="Arial"/>
          <w:b w:val="0"/>
          <w:i w:val="0"/>
          <w:sz w:val="19"/>
        </w:rPr>
        <w:t xml:space="preserve"> (AFT), die </w:t>
      </w:r>
      <w:r>
        <w:rPr>
          <w:rFonts w:ascii="Arial" w:hAnsi="Arial"/>
          <w:b w:val="0"/>
          <w:i/>
          <w:sz w:val="19"/>
        </w:rPr>
        <w:t>American Federation of State, County, and Municipal Employees</w:t>
      </w:r>
      <w:r>
        <w:rPr>
          <w:rFonts w:ascii="Arial" w:hAnsi="Arial"/>
          <w:b w:val="0"/>
          <w:i w:val="0"/>
          <w:sz w:val="19"/>
        </w:rPr>
        <w:t xml:space="preserve"> (AFSCME), </w:t>
      </w:r>
      <w:r>
        <w:rPr>
          <w:rFonts w:ascii="Arial" w:hAnsi="Arial"/>
          <w:b w:val="0"/>
          <w:i/>
          <w:sz w:val="19"/>
        </w:rPr>
        <w:t>Groundwork Action</w:t>
      </w:r>
      <w:r>
        <w:rPr>
          <w:rFonts w:ascii="Arial" w:hAnsi="Arial"/>
          <w:b w:val="0"/>
          <w:i w:val="0"/>
          <w:sz w:val="19"/>
        </w:rPr>
        <w:t xml:space="preserve"> und </w:t>
      </w:r>
      <w:r>
        <w:rPr>
          <w:rFonts w:ascii="Arial" w:hAnsi="Arial"/>
          <w:b w:val="0"/>
          <w:i/>
          <w:sz w:val="19"/>
        </w:rPr>
        <w:t>Demand Progress Action</w:t>
      </w:r>
      <w:r>
        <w:rPr>
          <w:rFonts w:ascii="Arial" w:hAnsi="Arial"/>
          <w:b w:val="0"/>
          <w:i w:val="0"/>
          <w:sz w:val="19"/>
        </w:rPr>
        <w:t xml:space="preserve"> benannt. Casar wird mit dem Zitat referiert, „we will not let AI billionaires get rich by putting you out of work" und die betroffenen Konzerne müssten „pay their fair share". Für die in diesem Abschnitt aufgenommene Governance-Perspektive markiert der Vorstoß eine neue Zwischenposition: Anders als beim </w:t>
      </w:r>
      <w:r>
        <w:rPr>
          <w:rFonts w:ascii="Arial" w:hAnsi="Arial"/>
          <w:b w:val="0"/>
          <w:i/>
          <w:sz w:val="19"/>
        </w:rPr>
        <w:t>American A.I. Sovereign Wealth Fund Act</w:t>
      </w:r>
      <w:r>
        <w:rPr>
          <w:rFonts w:ascii="Arial" w:hAnsi="Arial"/>
          <w:b w:val="0"/>
          <w:i w:val="0"/>
          <w:sz w:val="19"/>
        </w:rPr>
        <w:t xml:space="preserve"> (Bestandsanknüpfung an ausstehendes Stammkapital) wird die Bemessungsgrundlage explizit an </w:t>
      </w:r>
      <w:r>
        <w:rPr>
          <w:rFonts w:ascii="Arial" w:hAnsi="Arial"/>
          <w:b w:val="0"/>
          <w:i/>
          <w:sz w:val="19"/>
        </w:rPr>
        <w:t>Umsatz-</w:t>
      </w:r>
      <w:r>
        <w:rPr>
          <w:rFonts w:ascii="Arial" w:hAnsi="Arial"/>
          <w:b w:val="0"/>
          <w:i w:val="0"/>
          <w:sz w:val="19"/>
        </w:rPr>
        <w:t xml:space="preserve"> und </w:t>
      </w:r>
      <w:r>
        <w:rPr>
          <w:rFonts w:ascii="Arial" w:hAnsi="Arial"/>
          <w:b w:val="0"/>
          <w:i/>
          <w:sz w:val="19"/>
        </w:rPr>
        <w:t>Nutzungsflüssen</w:t>
      </w:r>
      <w:r>
        <w:rPr>
          <w:rFonts w:ascii="Arial" w:hAnsi="Arial"/>
          <w:b w:val="0"/>
          <w:i w:val="0"/>
          <w:sz w:val="19"/>
        </w:rPr>
        <w:t xml:space="preserve"> der KI-Modelle sowie an der </w:t>
      </w:r>
      <w:r>
        <w:rPr>
          <w:rFonts w:ascii="Arial" w:hAnsi="Arial"/>
          <w:b w:val="0"/>
          <w:i/>
          <w:sz w:val="19"/>
        </w:rPr>
        <w:t>Substitutionsentscheidung</w:t>
      </w:r>
      <w:r>
        <w:rPr>
          <w:rFonts w:ascii="Arial" w:hAnsi="Arial"/>
          <w:b w:val="0"/>
          <w:i w:val="0"/>
          <w:sz w:val="19"/>
        </w:rPr>
        <w:t xml:space="preserve"> des Anwenders angesetzt (Konjunktivpflicht nach § 4.2 Claude.md, da der Gesetzentwurf im republikanisch geführten Repräsentantenhaus keine erkennbare Mehrheit vorfindet). Für die Deutschland-These (§ 8.3) und die dortige Präferenz für wertschöpfungs- statt bestands­orientierte Zugriffe schärft der Vorstoß den strukturellen Kontrast zum bestands­orientierten </w:t>
      </w:r>
      <w:r>
        <w:rPr>
          <w:rFonts w:ascii="Arial" w:hAnsi="Arial"/>
          <w:b w:val="0"/>
          <w:i/>
          <w:sz w:val="19"/>
        </w:rPr>
        <w:t>American A.I. Sovereign Wealth Fund Act</w:t>
      </w:r>
      <w:r>
        <w:rPr>
          <w:rFonts w:ascii="Arial" w:hAnsi="Arial"/>
          <w:b w:val="0"/>
          <w:i w:val="0"/>
          <w:sz w:val="19"/>
        </w:rPr>
        <w:t xml:space="preserve">: Die </w:t>
      </w:r>
      <w:r>
        <w:rPr>
          <w:rFonts w:ascii="Arial" w:hAnsi="Arial"/>
          <w:b w:val="0"/>
          <w:i/>
          <w:sz w:val="19"/>
        </w:rPr>
        <w:t>AI-Tax-and-Work-Protection</w:t>
      </w:r>
      <w:r>
        <w:rPr>
          <w:rFonts w:ascii="Arial" w:hAnsi="Arial"/>
          <w:b w:val="0"/>
          <w:i w:val="0"/>
          <w:sz w:val="19"/>
        </w:rPr>
        <w:t xml:space="preserve">-Konstruktion setzt an derselben Wertschöpfungs­schicht an, die die inländische deutsche Debatte über eine Wertschöpfungsabgabe (§ 5.1) seit den 1970er-Jahren adressiert, und ergänzt zugleich einen expliziten </w:t>
      </w:r>
      <w:r>
        <w:rPr>
          <w:rFonts w:ascii="Arial" w:hAnsi="Arial"/>
          <w:b w:val="0"/>
          <w:i/>
          <w:sz w:val="19"/>
        </w:rPr>
        <w:t>Zweckbindungs</w:t>
      </w:r>
      <w:r>
        <w:rPr>
          <w:rFonts w:ascii="Arial" w:hAnsi="Arial"/>
          <w:b w:val="0"/>
          <w:i w:val="0"/>
          <w:sz w:val="19"/>
        </w:rPr>
        <w:t>-Mechanismus (WPA-Fonds), der als konzeptioneller Vergleichspunkt zu einer möglichen inländischen Teilhabefonds-Konstruktion (§ 8.3) herangezogen werden kann. Zugleich verdeutlicht die Konjunktions­struktur (Anwendungs- statt reine Anbieter­schicht, unemployment-elastischer Tarif) die in § 9.2 skizzierten Abgrenzungs- und Nachweisprobleme, die eine tokenpreis-basierte Anknüpfung ohne robuste maschinenlesbare Meldepflicht mit sich brächte.</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findet am 12. Juni 2026 statt, die 2./3. Lesung folgt am 10. Juli 2026 in namentlicher Abstimmung mit 318 zu 284 Stimmen (Bundestag, Kalenderwoche 28); der zweite Bundesratsdurchgang findet am selben 10. Juli 2026 statt und billigt das Gesetz — ein von den Ländern Saarland, Bremen, Hamburg, Mecklenburg-Vorpommern, Niedersachsen und Sachsen-Anhalt gestellter Antrag auf Anrufung des Vermittlungsausschusses scheitert an der Zweidrittelmehrheit, nachdem die Bundesregierung in einer Protokollerklärung Zugeständnisse zusichert (rund 550 Millionen Euro zusätzliche Krankenhausmittel, davon 100 Millionen für Universitätskliniken ab 2027 und 450 Millionen über einen erhöhten Rechnungszuschlag, Angleichung der Kostenaufwuchsgrenze 2027–2029, Abbau von Bürokratie einschließlich PPR 2.0 und Pflegepersonaluntergrenzen sowie erweiterte Ausnahmen vom 15,5-%-Herstellerabschlag im Pharmabereich bis Januar 2027 und ein interministerielles Fachgremium bis Ende September 2026) — das Gesetz kann damit ohne weitere parlamentarische Behandlung in Kraft treten.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jc w:val="both"/>
      </w:pPr>
      <w:r>
        <w:rPr>
          <w:rFonts w:ascii="Arial" w:hAnsi="Arial"/>
          <w:b/>
          <w:i w:val="0"/>
          <w:sz w:val="19"/>
        </w:rPr>
        <w:t>Regierungserklärung Bundeskanzler Merz zur Zwischenbilanz und Reformpaket (9. Juli 2026):</w:t>
      </w:r>
      <w:r>
        <w:rPr>
          <w:rFonts w:ascii="Arial" w:hAnsi="Arial"/>
          <w:b w:val="0"/>
          <w:i w:val="0"/>
          <w:sz w:val="19"/>
        </w:rPr>
        <w:t xml:space="preserve"> Am 9. Juli 2026 hat Bundeskanzler Friedrich Merz in der 89. Sitzung des 21. Deutschen Bundestages eine Regierungserklärung „zur aktuellen politischen Lage" abgegeben und dabei eine positive Zwischenbilanz der Union-SPD-Koalition nach 14 Monaten Amtszeit gezogen. Für die in § 5.1 und § 5.2 diskutierte Reformschiene ist der Auftritt in zweifacher Hinsicht relevant. Erstens hat Merz das im Koalitionsausschuss am 1./2. Juli 2026 beschlossene 34-Punkte-Programm „für Aufschwung und Beschäftigung" als „substanzielles Paket, das in seiner Größenordnung in den vergangenen Jahren von keiner Bundesregierung so angepackt wurde" charakterisiert; das Programm verklammert die Reformen der Steuer, der gesetzlichen Rentenversicherung, der gesetzlichen Krankenversicherung und des Arbeitsmarkts und bezieht ausdrücklich die vollständige Umsetzung der 33 Empfehlungen der Alterssicherungskommission (Bericht vom 23. Juni 2026) mit ein — die legislative Umsetzung soll dem Kanzler zufolge bis Ende 2026 abgeschlossen sein. Zweitens hat Merz für die deutsche KI-Wirtschaft Zahlen vom </w:t>
      </w:r>
      <w:r>
        <w:rPr>
          <w:rFonts w:ascii="Arial" w:hAnsi="Arial"/>
          <w:b w:val="0"/>
          <w:i/>
          <w:sz w:val="19"/>
        </w:rPr>
        <w:t>Startup-Verband</w:t>
      </w:r>
      <w:r>
        <w:rPr>
          <w:rFonts w:ascii="Arial" w:hAnsi="Arial"/>
          <w:b w:val="0"/>
          <w:i w:val="0"/>
          <w:sz w:val="19"/>
        </w:rPr>
        <w:t xml:space="preserve"> zitiert, wonach im ersten Halbjahr 2026 in Deutschland über 3.000 neue Unternehmen gegründet wurden — nahezu so viele wie im gesamten Jahr 2025 — und „mehr als ein Drittel" davon einen direkten KI-Bezug aufweise; er hat den Vorgang mit der Inbetriebnahme des in Dresden entstehenden Halbleiterwerks („nach eigener Charakterisierung weltweit größte Halbleiterproduktion") als Beleg dafür verknüpft, dass Deutschland „an den Wertschöpfungsketten der Zukunft nicht nur teilnehmen, sondern auch profitieren und gewinnen" könne und wolle. Für die in § 5.1 vorgeschlagene wertschöpfungsseitige Verbreiterung der Sozialstaatsfinanzierung und für die in Kapitel 8 entwickelte Deutschland-These (Veredelungsstrategie, § 8.2) liefert die Regierungserklärung damit eine aktuelle Standort­einordnung, die den in § 5.2 dokumentierten Reformzeitplan flankiert; eine spezifische fiskalische Robotersteuer oder KI-Abgabe ist im Regierungsprogramm dagegen weiterhin nicht vorgesehen.</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pPr>
        <w:jc w:val="both"/>
      </w:pPr>
      <w:r>
        <w:rPr>
          <w:rFonts w:ascii="Arial" w:hAnsi="Arial"/>
          <w:b/>
          <w:i w:val="0"/>
          <w:sz w:val="19"/>
        </w:rPr>
        <w:t>Anthropic-IPO-Vorbereitung (Bloomberg, 15. Juli 2026):</w:t>
      </w:r>
      <w:r>
        <w:rPr>
          <w:rFonts w:ascii="Arial" w:hAnsi="Arial"/>
          <w:b w:val="0"/>
          <w:i w:val="0"/>
          <w:sz w:val="19"/>
        </w:rPr>
        <w:t xml:space="preserve"> Nach Bloomberg-Bericht­erstattung vom 15. Juli 2026 bereite </w:t>
      </w:r>
      <w:r>
        <w:rPr>
          <w:rFonts w:ascii="Arial" w:hAnsi="Arial"/>
          <w:b w:val="0"/>
          <w:i/>
          <w:sz w:val="19"/>
        </w:rPr>
        <w:t>Anthropic</w:t>
      </w:r>
      <w:r>
        <w:rPr>
          <w:rFonts w:ascii="Arial" w:hAnsi="Arial"/>
          <w:b w:val="0"/>
          <w:i w:val="0"/>
          <w:sz w:val="19"/>
        </w:rPr>
        <w:t xml:space="preserve"> eine Serie von IPO-Investoren­meetings vor („Anthropic Is Said to Plan IPO Investor Meetings as Listing Nears"). Die Sekundärmarkt-Bewertung des Unternehmens habe zum 14. Juli 2026 rund 1,11 bis 1,14 Billionen US-Dollar erreicht (nach 965 Milliarden US-Dollar in der letzten primären Runde und einer im Mai 2026 gemeldeten Bewertung von rund 96,5 Milliarden US-Dollar noch vor der jüngsten Aufwertung); auf Prognose­plattformen (Polymarket) läge die höchste Wahrscheinlichkeit für einen IPO-Ticker bei $ANTH (46 bis 48 %), auf ein Emissions­zieldatum im vierten Quartal 2026 (Median­schätzung November 2026) entfalle rund 78 % Wahrscheinlichkeit; als Konsortial­banken würden Goldman Sachs (52–55 % Prognose als Lead-Underwriter), JPMorgan und Morgan Stanley geführt, das Emissions­volumen zeichne sich auf über 60 Milliarden US-Dollar ab. Für die in § 5.4 skizzierte Fondslogik und für die in Kapitel 8 entwickelte Teilhabefrage ist der Vorgang in doppelter Hinsicht relevant. Erstens würde eine Börsen­notierung von Anthropic — spiegelbildlich zum am 8. Juni 2026 vertraulich eingereichten OpenAI-</w:t>
      </w:r>
      <w:r>
        <w:rPr>
          <w:rFonts w:ascii="Arial" w:hAnsi="Arial"/>
          <w:b w:val="0"/>
          <w:i/>
          <w:sz w:val="19"/>
        </w:rPr>
        <w:t>S-1</w:t>
      </w:r>
      <w:r>
        <w:rPr>
          <w:rFonts w:ascii="Arial" w:hAnsi="Arial"/>
          <w:b w:val="0"/>
          <w:i w:val="0"/>
          <w:sz w:val="19"/>
        </w:rPr>
        <w:t xml:space="preserve"> — die Marktkapitalisierung eines zweiten US-Frontier-Anbieters öffentlich handelbar machen und damit die von Sanders-</w:t>
      </w:r>
      <w:r>
        <w:rPr>
          <w:rFonts w:ascii="Arial" w:hAnsi="Arial"/>
          <w:b w:val="0"/>
          <w:i/>
          <w:sz w:val="19"/>
        </w:rPr>
        <w:t>American A.I. Sovereign Wealth Fund Act</w:t>
      </w:r>
      <w:r>
        <w:rPr>
          <w:rFonts w:ascii="Arial" w:hAnsi="Arial"/>
          <w:b w:val="0"/>
          <w:i w:val="0"/>
          <w:sz w:val="19"/>
        </w:rPr>
        <w:t xml:space="preserve"> (§ 4.5) unterstellte 50-%-Zwangs­abgabe und den OpenAI-Gegenvorschlag von Sam Altman (freiwillige 5-%-Equity-Dotierung, § 4.5) auf eine breitere Aktionärs­basis ausweiten; die dokumentierte Bewertungs­spreizung binnen weniger Wochen (Mai 96,5 Mrd. USD → Juli 1,11–1,14 Bio. USD) unterstreicht dabei erneut die in § 8.2 aufgenommene </w:t>
      </w:r>
      <w:r>
        <w:rPr>
          <w:rFonts w:ascii="Arial" w:hAnsi="Arial"/>
          <w:b w:val="0"/>
          <w:i/>
          <w:sz w:val="19"/>
        </w:rPr>
        <w:t>fiskalische Volatilität einer bestands­orientierten Umverteilungs­logik</w:t>
      </w:r>
      <w:r>
        <w:rPr>
          <w:rFonts w:ascii="Arial" w:hAnsi="Arial"/>
          <w:b w:val="0"/>
          <w:i w:val="0"/>
          <w:sz w:val="19"/>
        </w:rPr>
        <w:t>, die an aktuellen Marktkapitalisierungen einzelner Frontier-Anbieter anknüpft. Zweitens verstärkt der Vorgang das Argument für den in § 8.3 vorgeschlagenen Zugriff auf inländische KI-</w:t>
      </w:r>
      <w:r>
        <w:rPr>
          <w:rFonts w:ascii="Arial" w:hAnsi="Arial"/>
          <w:b w:val="0"/>
          <w:i/>
          <w:sz w:val="19"/>
        </w:rPr>
        <w:t>Wertschöpfung</w:t>
      </w:r>
      <w:r>
        <w:rPr>
          <w:rFonts w:ascii="Arial" w:hAnsi="Arial"/>
          <w:b w:val="0"/>
          <w:i w:val="0"/>
          <w:sz w:val="19"/>
        </w:rPr>
        <w:t xml:space="preserve"> statt auf Anbieter-Marktkapitalisierungen: Die Fondslogik bleibt auch dann tragfähig, wenn einzelne Anbieter — durch Börsengang, Sekundär­markt-Bewegung oder Trade-Secret-Verfahren (§ 8.2) — massive Bewertungs­verschiebungen erfahren. Die Anthropic-IPO-Vorbereitung ist damit für die Deutschland-These kein Anlass zur Nachahmung, sondern eine weitere Bestätigung der Robustheits­überlegenheit einer wertschöpfungs­bezogenen gegenüber einer bewertungs­bezogenen Zugriffsarchitektur.</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jc w:val="both"/>
      </w:pPr>
      <w:r>
        <w:rPr>
          <w:rFonts w:ascii="Arial" w:hAnsi="Arial"/>
          <w:b/>
          <w:i w:val="0"/>
          <w:sz w:val="19"/>
        </w:rPr>
        <w:t>Aktualisierung (3. August 2026) — Domestic Production Tax Credit („Korean IRA"):</w:t>
      </w:r>
      <w:r>
        <w:rPr>
          <w:rFonts w:ascii="Arial" w:hAnsi="Arial"/>
          <w:b w:val="0"/>
          <w:i w:val="0"/>
          <w:sz w:val="19"/>
        </w:rPr>
        <w:t xml:space="preserve">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En Bloomingbit</w:t>
      </w:r>
      <w:r>
        <w:rPr>
          <w:rFonts w:ascii="Arial" w:hAnsi="Arial"/>
          <w:b w:val="0"/>
          <w:i w:val="0"/>
          <w:sz w:val="19"/>
        </w:rPr>
        <w:t xml:space="preserve"> und der südkoreanischen </w:t>
      </w:r>
      <w:r>
        <w:rPr>
          <w:rFonts w:ascii="Arial" w:hAnsi="Arial"/>
          <w:b w:val="0"/>
          <w:i/>
          <w:sz w:val="19"/>
        </w:rPr>
        <w:t>Kyunghyang Shinmun</w:t>
      </w:r>
      <w:r>
        <w:rPr>
          <w:rFonts w:ascii="Arial" w:hAnsi="Arial"/>
          <w:b w:val="0"/>
          <w:i w:val="0"/>
          <w:sz w:val="19"/>
        </w:rPr>
        <w:t xml:space="preserve"> (jeweils 3. August 2026) hat das südkoreanische Finanzministerium (</w:t>
      </w:r>
      <w:r>
        <w:rPr>
          <w:rFonts w:ascii="Arial" w:hAnsi="Arial"/>
          <w:b w:val="0"/>
          <w:i/>
          <w:sz w:val="19"/>
        </w:rPr>
        <w:t>Ministry of Economy and Finance</w:t>
      </w:r>
      <w:r>
        <w:rPr>
          <w:rFonts w:ascii="Arial" w:hAnsi="Arial"/>
          <w:b w:val="0"/>
          <w:i w:val="0"/>
          <w:sz w:val="19"/>
        </w:rPr>
        <w:t xml:space="preserve">, MOEF) am 3. August 2026 als Teil des 2026-Steuerreformpakets („2026 Special Taxation Act") einen erstmalig produktionsvolumen- statt investitionsbasierten Steuerkredit für sechs strategisch definierte Industriesektoren vorgeschlagen: Solarenergie, Windenergie, Sekundärbatterien, Halbleiter, kritische Materialien und </w:t>
      </w:r>
      <w:r>
        <w:rPr>
          <w:rFonts w:ascii="Arial" w:hAnsi="Arial"/>
          <w:b w:val="0"/>
          <w:i/>
          <w:sz w:val="19"/>
        </w:rPr>
        <w:t>AI robot components</w:t>
      </w:r>
      <w:r>
        <w:rPr>
          <w:rFonts w:ascii="Arial" w:hAnsi="Arial"/>
          <w:b w:val="0"/>
          <w:i w:val="0"/>
          <w:sz w:val="19"/>
        </w:rPr>
        <w:t xml:space="preserve">. Die Bemessung erfolgt nach den in Korea produzierten und abgesetzten Stückzahlen (multipliziert mit einem industrie- und produktkategorien­spezifischen Standardkredit pro Einheit), mit regionalen Multiplikatoren von 1,0 bis 1,5 (höherer Faktor für Produktion außerhalb der Seoul-Metropolregion) und einer Obergrenze von 50 % der qualifizierten Produktionskosten; die Anrechnung erfolgt gegen die Einkommen- bzw. Körperschaftsteuer. Vorgesehene Laufzeit: 1. Januar 2027 bis 31. Dezember 2036. Die Konkretisierung förderfähiger Produkte, Kostenkategorien und Kreditsätze soll nach </w:t>
      </w:r>
      <w:r>
        <w:rPr>
          <w:rFonts w:ascii="Arial" w:hAnsi="Arial"/>
          <w:b w:val="0"/>
          <w:i/>
          <w:sz w:val="19"/>
        </w:rPr>
        <w:t>Korea JoongAng Daily</w:t>
      </w:r>
      <w:r>
        <w:rPr>
          <w:rFonts w:ascii="Arial" w:hAnsi="Arial"/>
          <w:b w:val="0"/>
          <w:i w:val="0"/>
          <w:sz w:val="19"/>
        </w:rPr>
        <w:t xml:space="preserve"> mit der Novellierung der Durchführungsverordnung im Februar 2027 erfolgen; die Zustimmung der </w:t>
      </w:r>
      <w:r>
        <w:rPr>
          <w:rFonts w:ascii="Arial" w:hAnsi="Arial"/>
          <w:b w:val="0"/>
          <w:i/>
          <w:sz w:val="19"/>
        </w:rPr>
        <w:t>Nationalversammlung</w:t>
      </w:r>
      <w:r>
        <w:rPr>
          <w:rFonts w:ascii="Arial" w:hAnsi="Arial"/>
          <w:b w:val="0"/>
          <w:i w:val="0"/>
          <w:sz w:val="19"/>
        </w:rPr>
        <w:t xml:space="preserve"> stehe im Konjunktiv (Konjunktivpflicht nach § 4.2 Claude.md). Für die vorliegende Steuerdebatte ist der Vorgang in dreifacher Hinsicht relevant: Erstens vollzieht Südkorea damit die konzeptionelle Wende von der 2017-er Reduktion vorhandener Automatisierungsabzüge zur aktiven, KI-spezifisch adressierten Produktionsförderung — die Robotersteuer-nahe Signallogik der ursprünglichen Reform tritt hinter eine industriepolitische Onshoring-Logik zurück und verlagert den Schwerpunkt vom fiskalischen Zugriff auf Automatisierung zur fiskalischen Anreizung inländischer KI-Robotik-Wertschöpfung. Zweitens wählt Südkorea eine dem US-</w:t>
      </w:r>
      <w:r>
        <w:rPr>
          <w:rFonts w:ascii="Arial" w:hAnsi="Arial"/>
          <w:b w:val="0"/>
          <w:i/>
          <w:sz w:val="19"/>
        </w:rPr>
        <w:t>Inflation Reduction Act</w:t>
      </w:r>
      <w:r>
        <w:rPr>
          <w:rFonts w:ascii="Arial" w:hAnsi="Arial"/>
          <w:b w:val="0"/>
          <w:i w:val="0"/>
          <w:sz w:val="19"/>
        </w:rPr>
        <w:t xml:space="preserve"> nachempfundene, produktionsvolumen­basierte Anknüpfung an einer physischen Wertschöpfungsstufe (Komponentenfertigung), nicht an Ertrags- oder Investitionsgrößen — ein Anknüpfungspunkt, der der in § 5.1 und § 8.3 skizzierten wertschöpfungs- statt ertrags­orientierten Zugriffslogik strukturell näher liegt als der klassischen Robotersteuer-Debatte. Drittens ist der Vorgang ein direkter internationaler Referenzpunkt für die deutsche </w:t>
      </w:r>
      <w:r>
        <w:rPr>
          <w:rFonts w:ascii="Arial" w:hAnsi="Arial"/>
          <w:b w:val="0"/>
          <w:i/>
          <w:sz w:val="19"/>
        </w:rPr>
        <w:t>Veredelungsstrategie</w:t>
      </w:r>
      <w:r>
        <w:rPr>
          <w:rFonts w:ascii="Arial" w:hAnsi="Arial"/>
          <w:b w:val="0"/>
          <w:i w:val="0"/>
          <w:sz w:val="19"/>
        </w:rPr>
        <w:t xml:space="preserve"> (§ 8.2): Beide Ansätze setzen an der nachgelagerten Fertigungs- und Anwendungs­schicht der KI-Wertschöpfung an, nicht am Basismodell selbst; Südkorea flankiert damit die in § 8 entwickelte Position empirisch, ohne sie zu übernehmen — die südkoreanische Instrumentierung bleibt eine (potentiell subventionswirksame) Steuerermäßigung, während die Deutschland-These eine (potentiell aufkommenserzeugende) wertschöpfungs­orientierte Nutzungsabgabe vorsieht. Politisch bleibt die Umsetzung an die Zustimmung der Nationalversammlung und die Novellierung der Durchführungsverordnung gebunden.</w:t>
      </w:r>
    </w:p>
    <w:p>
      <w:pPr>
        <w:jc w:val="both"/>
      </w:pPr>
      <w:r>
        <w:rPr>
          <w:rFonts w:ascii="Arial" w:hAnsi="Arial"/>
          <w:b/>
          <w:i w:val="0"/>
          <w:sz w:val="19"/>
        </w:rPr>
        <w:t>Aktualisierung (14. August 2026) — AI Transition Response Contribution („AI 전환 대응 분담금"):</w:t>
      </w:r>
      <w:r>
        <w:rPr>
          <w:rFonts w:ascii="Arial" w:hAnsi="Arial"/>
          <w:b w:val="0"/>
          <w:i w:val="0"/>
          <w:sz w:val="19"/>
        </w:rPr>
        <w:t xml:space="preserve"> Nur elf Tage nach der MOEF-Steuerreformvorlage hat die Abgeordnete </w:t>
      </w:r>
      <w:r>
        <w:rPr>
          <w:rFonts w:ascii="Arial" w:hAnsi="Arial"/>
          <w:b w:val="0"/>
          <w:i/>
          <w:sz w:val="19"/>
        </w:rPr>
        <w:t>Lee Hae-min</w:t>
      </w:r>
      <w:r>
        <w:rPr>
          <w:rFonts w:ascii="Arial" w:hAnsi="Arial"/>
          <w:b w:val="0"/>
          <w:i w:val="0"/>
          <w:sz w:val="19"/>
        </w:rPr>
        <w:t xml:space="preserve"> (이해민, </w:t>
      </w:r>
      <w:r>
        <w:rPr>
          <w:rFonts w:ascii="Arial" w:hAnsi="Arial"/>
          <w:b w:val="0"/>
          <w:i/>
          <w:sz w:val="19"/>
        </w:rPr>
        <w:t>Rebuilding Korea Party</w:t>
      </w:r>
      <w:r>
        <w:rPr>
          <w:rFonts w:ascii="Arial" w:hAnsi="Arial"/>
          <w:b w:val="0"/>
          <w:i w:val="0"/>
          <w:sz w:val="19"/>
        </w:rPr>
        <w:t xml:space="preserve"> / 조국혁신당) am 14. August 2026 in der </w:t>
      </w:r>
      <w:r>
        <w:rPr>
          <w:rFonts w:ascii="Arial" w:hAnsi="Arial"/>
          <w:b w:val="0"/>
          <w:i/>
          <w:sz w:val="19"/>
        </w:rPr>
        <w:t>Nationalversammlung</w:t>
      </w:r>
      <w:r>
        <w:rPr>
          <w:rFonts w:ascii="Arial" w:hAnsi="Arial"/>
          <w:b w:val="0"/>
          <w:i w:val="0"/>
          <w:sz w:val="19"/>
        </w:rPr>
        <w:t xml:space="preserve"> gemeinsam mit </w:t>
      </w:r>
      <w:r>
        <w:rPr>
          <w:rFonts w:ascii="Arial" w:hAnsi="Arial"/>
          <w:b w:val="0"/>
          <w:i/>
          <w:sz w:val="19"/>
        </w:rPr>
        <w:t>Lee Joo-hee</w:t>
      </w:r>
      <w:r>
        <w:rPr>
          <w:rFonts w:ascii="Arial" w:hAnsi="Arial"/>
          <w:b w:val="0"/>
          <w:i w:val="0"/>
          <w:sz w:val="19"/>
        </w:rPr>
        <w:t xml:space="preserve"> (이주희, </w:t>
      </w:r>
      <w:r>
        <w:rPr>
          <w:rFonts w:ascii="Arial" w:hAnsi="Arial"/>
          <w:b w:val="0"/>
          <w:i/>
          <w:sz w:val="19"/>
        </w:rPr>
        <w:t>Democratic Party of Korea</w:t>
      </w:r>
      <w:r>
        <w:rPr>
          <w:rFonts w:ascii="Arial" w:hAnsi="Arial"/>
          <w:b w:val="0"/>
          <w:i w:val="0"/>
          <w:sz w:val="19"/>
        </w:rPr>
        <w:t xml:space="preserve"> / 더불어민주당) ein Drei-Gesetzes-Paket vorgelegt, das strukturell in die Gegenrichtung zielt: erstens einen </w:t>
      </w:r>
      <w:r>
        <w:rPr>
          <w:rFonts w:ascii="Arial" w:hAnsi="Arial"/>
          <w:b w:val="0"/>
          <w:i/>
          <w:sz w:val="19"/>
        </w:rPr>
        <w:t>Basic Society Act for AI Transition Response</w:t>
      </w:r>
      <w:r>
        <w:rPr>
          <w:rFonts w:ascii="Arial" w:hAnsi="Arial"/>
          <w:b w:val="0"/>
          <w:i w:val="0"/>
          <w:sz w:val="19"/>
        </w:rPr>
        <w:t xml:space="preserve"> („AI 전환 대응을 위한 기본사회법안"), zweitens eine Änderung des </w:t>
      </w:r>
      <w:r>
        <w:rPr>
          <w:rFonts w:ascii="Arial" w:hAnsi="Arial"/>
          <w:b w:val="0"/>
          <w:i/>
          <w:sz w:val="19"/>
        </w:rPr>
        <w:t>National Finance Act</w:t>
      </w:r>
      <w:r>
        <w:rPr>
          <w:rFonts w:ascii="Arial" w:hAnsi="Arial"/>
          <w:b w:val="0"/>
          <w:i w:val="0"/>
          <w:sz w:val="19"/>
        </w:rPr>
        <w:t xml:space="preserve"> (국가재정법 일부개정법률안) und drittens eine Änderung des </w:t>
      </w:r>
      <w:r>
        <w:rPr>
          <w:rFonts w:ascii="Arial" w:hAnsi="Arial"/>
          <w:b w:val="0"/>
          <w:i/>
          <w:sz w:val="19"/>
        </w:rPr>
        <w:t>Basic Act on Levy Management</w:t>
      </w:r>
      <w:r>
        <w:rPr>
          <w:rFonts w:ascii="Arial" w:hAnsi="Arial"/>
          <w:b w:val="0"/>
          <w:i w:val="0"/>
          <w:sz w:val="19"/>
        </w:rPr>
        <w:t xml:space="preserve"> (부담금 관리 기본법 일부개정법률안). Kernstück ist die Einführung einer </w:t>
      </w:r>
      <w:r>
        <w:rPr>
          <w:rFonts w:ascii="Arial" w:hAnsi="Arial"/>
          <w:b w:val="0"/>
          <w:i/>
          <w:sz w:val="19"/>
        </w:rPr>
        <w:t>AI Transition Response Contribution</w:t>
      </w:r>
      <w:r>
        <w:rPr>
          <w:rFonts w:ascii="Arial" w:hAnsi="Arial"/>
          <w:b w:val="0"/>
          <w:i w:val="0"/>
          <w:sz w:val="19"/>
        </w:rPr>
        <w:t xml:space="preserve"> („AI 전환 대응 분담금"), die nach übereinstimmender Berichterstattung von </w:t>
      </w:r>
      <w:r>
        <w:rPr>
          <w:rFonts w:ascii="Arial" w:hAnsi="Arial"/>
          <w:b w:val="0"/>
          <w:i/>
          <w:sz w:val="19"/>
        </w:rPr>
        <w:t>edaily</w:t>
      </w:r>
      <w:r>
        <w:rPr>
          <w:rFonts w:ascii="Arial" w:hAnsi="Arial"/>
          <w:b w:val="0"/>
          <w:i w:val="0"/>
          <w:sz w:val="19"/>
        </w:rPr>
        <w:t xml:space="preserve">, </w:t>
      </w:r>
      <w:r>
        <w:rPr>
          <w:rFonts w:ascii="Arial" w:hAnsi="Arial"/>
          <w:b w:val="0"/>
          <w:i/>
          <w:sz w:val="19"/>
        </w:rPr>
        <w:t>ZDNet Korea</w:t>
      </w:r>
      <w:r>
        <w:rPr>
          <w:rFonts w:ascii="Arial" w:hAnsi="Arial"/>
          <w:b w:val="0"/>
          <w:i w:val="0"/>
          <w:sz w:val="19"/>
        </w:rPr>
        <w:t xml:space="preserve">, </w:t>
      </w:r>
      <w:r>
        <w:rPr>
          <w:rFonts w:ascii="Arial" w:hAnsi="Arial"/>
          <w:b w:val="0"/>
          <w:i/>
          <w:sz w:val="19"/>
        </w:rPr>
        <w:t>bloter</w:t>
      </w:r>
      <w:r>
        <w:rPr>
          <w:rFonts w:ascii="Arial" w:hAnsi="Arial"/>
          <w:b w:val="0"/>
          <w:i w:val="0"/>
          <w:sz w:val="19"/>
        </w:rPr>
        <w:t xml:space="preserve">, </w:t>
      </w:r>
      <w:r>
        <w:rPr>
          <w:rFonts w:ascii="Arial" w:hAnsi="Arial"/>
          <w:b w:val="0"/>
          <w:i/>
          <w:sz w:val="19"/>
        </w:rPr>
        <w:t>디지털데일리</w:t>
      </w:r>
      <w:r>
        <w:rPr>
          <w:rFonts w:ascii="Arial" w:hAnsi="Arial"/>
          <w:b w:val="0"/>
          <w:i w:val="0"/>
          <w:sz w:val="19"/>
        </w:rPr>
        <w:t xml:space="preserve"> und der englischsprachigen Rezeption von </w:t>
      </w:r>
      <w:r>
        <w:rPr>
          <w:rFonts w:ascii="Arial" w:hAnsi="Arial"/>
          <w:b w:val="0"/>
          <w:i/>
          <w:sz w:val="19"/>
        </w:rPr>
        <w:t>TechTimes</w:t>
      </w:r>
      <w:r>
        <w:rPr>
          <w:rFonts w:ascii="Arial" w:hAnsi="Arial"/>
          <w:b w:val="0"/>
          <w:i w:val="0"/>
          <w:sz w:val="19"/>
        </w:rPr>
        <w:t xml:space="preserve"> (14./15. August 2026) auf jene Arbeitgeber erhoben würde, deren Einsatz von KI und Automatisierung eine wesentliche substituierende Wirkung auf Beschäftigung oder Aufgabenzuschnitt entfaltet; die Konkretisierung des Auslöseschwellenwerts (Beschäftigungs- oder Aufgabenreduktion je Einsatz) bliebe der </w:t>
      </w:r>
      <w:r>
        <w:rPr>
          <w:rFonts w:ascii="Arial" w:hAnsi="Arial"/>
          <w:b w:val="0"/>
          <w:i/>
          <w:sz w:val="19"/>
        </w:rPr>
        <w:t>präsidialen Durchführungsverordnung</w:t>
      </w:r>
      <w:r>
        <w:rPr>
          <w:rFonts w:ascii="Arial" w:hAnsi="Arial"/>
          <w:b w:val="0"/>
          <w:i w:val="0"/>
          <w:sz w:val="19"/>
        </w:rPr>
        <w:t xml:space="preserve"> vorbehalten. Aufkommen fließt in einen neu einzurichtenden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aus dem Umschulung, Kompetenzentwicklung, Vermittlung in neue Beschäftigung und eine Mindest­einkommens­absicherung finanziert werden sollen; Arbeitgeber, die Beschäftigung sichern oder ausweiten sowie besonders belastungsbegrenzte Betriebe können Ermäßigungen oder Befreiungen in Anspruch nehmen. Politisch tritt das Paket unter dem Etikett der </w:t>
      </w:r>
      <w:r>
        <w:rPr>
          <w:rFonts w:ascii="Arial" w:hAnsi="Arial"/>
          <w:b w:val="0"/>
          <w:i/>
          <w:sz w:val="19"/>
        </w:rPr>
        <w:t>Basic Society</w:t>
      </w:r>
      <w:r>
        <w:rPr>
          <w:rFonts w:ascii="Arial" w:hAnsi="Arial"/>
          <w:b w:val="0"/>
          <w:i w:val="0"/>
          <w:sz w:val="19"/>
        </w:rPr>
        <w:t xml:space="preserve"> auf und wird von Lee Hae-min ausdrücklich nicht als Verzögerungs-, sondern als </w:t>
      </w:r>
      <w:r>
        <w:rPr>
          <w:rFonts w:ascii="Arial" w:hAnsi="Arial"/>
          <w:b w:val="0"/>
          <w:i/>
          <w:sz w:val="19"/>
        </w:rPr>
        <w:t>Ausgleichs­instrument</w:t>
      </w:r>
      <w:r>
        <w:rPr>
          <w:rFonts w:ascii="Arial" w:hAnsi="Arial"/>
          <w:b w:val="0"/>
          <w:i w:val="0"/>
          <w:sz w:val="19"/>
        </w:rPr>
        <w:t xml:space="preserve"> der KI-Transformation eingeordnet; die parlamentarische Behandlung steht im Konjunktiv (Konjunktivpflicht nach § 4.2 Claude.md). Für die Steuerdebatte des vorliegenden Papiers ist der Vorschlag in vier Hinsichten bemerkenswert. Erstens verschiebt er die </w:t>
      </w:r>
      <w:r>
        <w:rPr>
          <w:rFonts w:ascii="Arial" w:hAnsi="Arial"/>
          <w:b w:val="0"/>
          <w:i/>
          <w:sz w:val="19"/>
        </w:rPr>
        <w:t>Anknüpfung</w:t>
      </w:r>
      <w:r>
        <w:rPr>
          <w:rFonts w:ascii="Arial" w:hAnsi="Arial"/>
          <w:b w:val="0"/>
          <w:i w:val="0"/>
          <w:sz w:val="19"/>
        </w:rPr>
        <w:t xml:space="preserve"> der Abgabe von der Anbieter- auf die </w:t>
      </w:r>
      <w:r>
        <w:rPr>
          <w:rFonts w:ascii="Arial" w:hAnsi="Arial"/>
          <w:b w:val="0"/>
          <w:i/>
          <w:sz w:val="19"/>
        </w:rPr>
        <w:t>Deployer-Ebene</w:t>
      </w:r>
      <w:r>
        <w:rPr>
          <w:rFonts w:ascii="Arial" w:hAnsi="Arial"/>
          <w:b w:val="0"/>
          <w:i w:val="0"/>
          <w:sz w:val="19"/>
        </w:rPr>
        <w:t xml:space="preserve"> (Arbeitgeber, der KI einsetzt und Beschäftigung reduziert) und ist damit die erste nationale Gesetzgebung, die einen KI-Verdrängungs­beitrag </w:t>
      </w:r>
      <w:r>
        <w:rPr>
          <w:rFonts w:ascii="Arial" w:hAnsi="Arial"/>
          <w:b w:val="0"/>
          <w:i/>
          <w:sz w:val="19"/>
        </w:rPr>
        <w:t>unmittelbar</w:t>
      </w:r>
      <w:r>
        <w:rPr>
          <w:rFonts w:ascii="Arial" w:hAnsi="Arial"/>
          <w:b w:val="0"/>
          <w:i w:val="0"/>
          <w:sz w:val="19"/>
        </w:rPr>
        <w:t xml:space="preserve"> an die Personalentscheidung des Nutzers und nicht an Umsatz, Token-Absatz, Modellvertrieb oder Rechenzentrums-Verbrauch der Anbieterseite koppelt — ein Zugriffspunkt, der der aus § 4.5 und § 9.1 bekannten Deployer-Kausalattribution des US-</w:t>
      </w:r>
      <w:r>
        <w:rPr>
          <w:rFonts w:ascii="Arial" w:hAnsi="Arial"/>
          <w:b w:val="0"/>
          <w:i/>
          <w:sz w:val="19"/>
        </w:rPr>
        <w:t>AI Tax and Work Protection Act</w:t>
      </w:r>
      <w:r>
        <w:rPr>
          <w:rFonts w:ascii="Arial" w:hAnsi="Arial"/>
          <w:b w:val="0"/>
          <w:i w:val="0"/>
          <w:sz w:val="19"/>
        </w:rPr>
        <w:t xml:space="preserve"> strukturell nahe steht, ihn aber vom Anbieter-Excise-Zugriff (H.R. 10044) auf einen reinen </w:t>
      </w:r>
      <w:r>
        <w:rPr>
          <w:rFonts w:ascii="Arial" w:hAnsi="Arial"/>
          <w:b w:val="0"/>
          <w:i/>
          <w:sz w:val="19"/>
        </w:rPr>
        <w:t>Beschäftigungs­kausalitäts</w:t>
      </w:r>
      <w:r>
        <w:rPr>
          <w:rFonts w:ascii="Arial" w:hAnsi="Arial"/>
          <w:b w:val="0"/>
          <w:i w:val="0"/>
          <w:sz w:val="19"/>
        </w:rPr>
        <w:t xml:space="preserve">-Zugriff reduziert. Zweitens fügt Südkorea damit dem in § 6.1 dokumentierten </w:t>
      </w:r>
      <w:r>
        <w:rPr>
          <w:rFonts w:ascii="Arial" w:hAnsi="Arial"/>
          <w:b w:val="0"/>
          <w:i/>
          <w:sz w:val="19"/>
        </w:rPr>
        <w:t>Domestic Production Tax Credit</w:t>
      </w:r>
      <w:r>
        <w:rPr>
          <w:rFonts w:ascii="Arial" w:hAnsi="Arial"/>
          <w:b w:val="0"/>
          <w:i w:val="0"/>
          <w:sz w:val="19"/>
        </w:rPr>
        <w:t xml:space="preserve"> vom 3. August 2026 nur elf Tage später ein </w:t>
      </w:r>
      <w:r>
        <w:rPr>
          <w:rFonts w:ascii="Arial" w:hAnsi="Arial"/>
          <w:b w:val="0"/>
          <w:i/>
          <w:sz w:val="19"/>
        </w:rPr>
        <w:t>Aufkommen­serzeugendes</w:t>
      </w:r>
      <w:r>
        <w:rPr>
          <w:rFonts w:ascii="Arial" w:hAnsi="Arial"/>
          <w:b w:val="0"/>
          <w:i w:val="0"/>
          <w:sz w:val="19"/>
        </w:rPr>
        <w:t xml:space="preserve"> Gegenstück hinzu: Die Robotik-Wertschöpfung wird auf der Fertigungsschicht steuerlich </w:t>
      </w:r>
      <w:r>
        <w:rPr>
          <w:rFonts w:ascii="Arial" w:hAnsi="Arial"/>
          <w:b w:val="0"/>
          <w:i/>
          <w:sz w:val="19"/>
        </w:rPr>
        <w:t>begünstigt</w:t>
      </w:r>
      <w:r>
        <w:rPr>
          <w:rFonts w:ascii="Arial" w:hAnsi="Arial"/>
          <w:b w:val="0"/>
          <w:i w:val="0"/>
          <w:sz w:val="19"/>
        </w:rPr>
        <w:t xml:space="preserve">, während ihre substituierende Anwendung auf der Beschäftigungs­schicht durch eine parafiskalische Abgabe </w:t>
      </w:r>
      <w:r>
        <w:rPr>
          <w:rFonts w:ascii="Arial" w:hAnsi="Arial"/>
          <w:b w:val="0"/>
          <w:i/>
          <w:sz w:val="19"/>
        </w:rPr>
        <w:t>belastet</w:t>
      </w:r>
      <w:r>
        <w:rPr>
          <w:rFonts w:ascii="Arial" w:hAnsi="Arial"/>
          <w:b w:val="0"/>
          <w:i w:val="0"/>
          <w:sz w:val="19"/>
        </w:rPr>
        <w:t xml:space="preserve"> wird — die südkoreanische Politik operiert in derselben Steuerreform­periode auf beiden Seiten der Wertschöpfungskette und liefert damit einen Zwillingsfall zur in § 5.1 und § 8.3 skizzierten Kombination aus Standort­förderung und wertschöpfungs­orientierter Nutzungsabgabe. Drittens folgt die Zweckbindung des </w:t>
      </w:r>
      <w:r>
        <w:rPr>
          <w:rFonts w:ascii="Arial" w:hAnsi="Arial"/>
          <w:b w:val="0"/>
          <w:i/>
          <w:sz w:val="19"/>
        </w:rPr>
        <w:t>Basic Society Support Fund</w:t>
      </w:r>
      <w:r>
        <w:rPr>
          <w:rFonts w:ascii="Arial" w:hAnsi="Arial"/>
          <w:b w:val="0"/>
          <w:i w:val="0"/>
          <w:sz w:val="19"/>
        </w:rPr>
        <w:t xml:space="preserve"> — Umschulung, Wiedereingliederung, Mindest­einkommens­absicherung — funktional dem in § 5.1, § 5.2 und § 10.2 diskutierten Verwendungszweck der Wertschöpfungsabgabe und liegt näher an der bundesdeutschen Wertschöpfungs­abgabe- und Bürgerversicherungs­debatte als am US-Vorbild der </w:t>
      </w:r>
      <w:r>
        <w:rPr>
          <w:rFonts w:ascii="Arial" w:hAnsi="Arial"/>
          <w:b w:val="0"/>
          <w:i/>
          <w:sz w:val="19"/>
        </w:rPr>
        <w:t>Work Protection Administration</w:t>
      </w:r>
      <w:r>
        <w:rPr>
          <w:rFonts w:ascii="Arial" w:hAnsi="Arial"/>
          <w:b w:val="0"/>
          <w:i w:val="0"/>
          <w:sz w:val="19"/>
        </w:rPr>
        <w:t xml:space="preserve"> (§ 4.5). Viertens setzt der Auslösemechanismus (Beschäftigungs- oder Aufgabenreduktion) die in § 9.1 diskutierte </w:t>
      </w:r>
      <w:r>
        <w:rPr>
          <w:rFonts w:ascii="Arial" w:hAnsi="Arial"/>
          <w:b w:val="0"/>
          <w:i/>
          <w:sz w:val="19"/>
        </w:rPr>
        <w:t>Deployer-Kausal­attribution</w:t>
      </w:r>
      <w:r>
        <w:rPr>
          <w:rFonts w:ascii="Arial" w:hAnsi="Arial"/>
          <w:b w:val="0"/>
          <w:i w:val="0"/>
          <w:sz w:val="19"/>
        </w:rPr>
        <w:t xml:space="preserve"> in operatives Recht um und bietet damit — bei parlamentarischer Verabschiedung — eine erste empirisch beobachtbare Verwaltungspraxis für die Attributionsfrage, die in der deutschen Debatte bislang als offen gilt. Politisch bleibt die Umsetzung an die Zustimmung der Nationalversammlung, die </w:t>
      </w:r>
      <w:r>
        <w:rPr>
          <w:rFonts w:ascii="Arial" w:hAnsi="Arial"/>
          <w:b w:val="0"/>
          <w:i/>
          <w:sz w:val="19"/>
        </w:rPr>
        <w:t>präsidiale Durchführungsverordnung</w:t>
      </w:r>
      <w:r>
        <w:rPr>
          <w:rFonts w:ascii="Arial" w:hAnsi="Arial"/>
          <w:b w:val="0"/>
          <w:i w:val="0"/>
          <w:sz w:val="19"/>
        </w:rPr>
        <w:t xml:space="preserve"> zum Auslöseschwellenwert und die Novellierung des Verwaltungs- und Erhebungsapparats gebunden.</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pPr>
        <w:jc w:val="both"/>
      </w:pPr>
      <w:r>
        <w:rPr>
          <w:rFonts w:ascii="Arial" w:hAnsi="Arial"/>
          <w:b/>
          <w:i w:val="0"/>
          <w:sz w:val="19"/>
        </w:rPr>
        <w:t>GeDIG-Kabinettsbeschluss vom 15. Juli 2026:</w:t>
      </w:r>
      <w:r>
        <w:rPr>
          <w:rFonts w:ascii="Arial" w:hAnsi="Arial"/>
          <w:b w:val="0"/>
          <w:i w:val="0"/>
          <w:sz w:val="19"/>
        </w:rPr>
        <w:t xml:space="preserve"> Am 15. Juli 2026 hat das Bundeskabinett den Entwurf des </w:t>
      </w:r>
      <w:r>
        <w:rPr>
          <w:rFonts w:ascii="Arial" w:hAnsi="Arial"/>
          <w:b w:val="0"/>
          <w:i/>
          <w:sz w:val="19"/>
        </w:rPr>
        <w:t>Gesetzes für Daten und digitale Innovation im Gesundheitswesen</w:t>
      </w:r>
      <w:r>
        <w:rPr>
          <w:rFonts w:ascii="Arial" w:hAnsi="Arial"/>
          <w:b w:val="0"/>
          <w:i w:val="0"/>
          <w:sz w:val="19"/>
        </w:rPr>
        <w:t xml:space="preserve"> (GeDIG) beschlossen — nach dem Digitalgesetz (DigiG) und dem Gesundheitsdatennutzungsgesetz (GDNG) der dritte Baustein der Digitalisierungsstrategie des Bundesministeriums für Gesundheit (BMG). Der Kabinettsbeschluss unterbricht die im Vorlauf über achtzehn Läufe hinweg dokumentierte Serie ohne belastbaren KI-spezifischen G-BA-/gematik-/BfArM-Beschluss und verankert erstmals konkrete KI-Anwendungspfade im gesetzlichen Rahmen der elektronischen Patientenakte (ePA). Nach Auskunft des BMG (Pressemitteilung vom 15. Juli 2026) erhalten Krankenkassen die Möglichkeit, ihren Versicherten „KI-gestützte Angebote" innerhalb der ePA anzubieten, darunter eine „versichertenverständliche Aufbereitung von Befunden aus der ePA" und individualisierte Beipackzettel; parallel dürfen Krankenkassen zeitlich befristete Reallabore für innovative Datenverarbeitungsansätze in Prävention und Versorgungssteuerung betreiben. Die gematik erhält erweiterte Zuständigkeiten und kann Anwendungen und Dienste künftig direkt am Markt beschaffen, um die im Digitalisierungsprozess dokumentierte Vielfalt an Anbietervarianten (nach BMG rund „25 Störungen pro Monat" 2025) zu bündeln; für Leistungserbringer wird der Anschluss an die Telematikinfrastruktur bis 1. September 2029 ausgeweitet, digitale Impfnachweise starten Mitte 2027, eine Volltextsuche in der ePA Anfang 2027. Das Gesamtpaket ist mit einer jährlichen Entlastungswirkung von rund 445 Millionen Euro ausgewiesen (Gesamtpaket 600 Millionen Euro einschließlich flankierender Maßnahmen). Für die hier geführte sektorspezifische Perspektive ist der Vorgang in doppelter Hinsicht relevant. Erstens öffnet der Gesetzgeber die Erstattungs- und Trägerlogik der gesetzlichen Krankenversicherung für KI-gestützte Anwendungen — bislang jenseits selektivvertraglicher Modelle und einzelner DiGA-Zulassungen ohne breiten Regelversorgungspfad. Zweitens verankert er die </w:t>
      </w:r>
      <w:r>
        <w:rPr>
          <w:rFonts w:ascii="Arial" w:hAnsi="Arial"/>
          <w:b w:val="0"/>
          <w:i/>
          <w:sz w:val="19"/>
        </w:rPr>
        <w:t>Reallabor</w:t>
      </w:r>
      <w:r>
        <w:rPr>
          <w:rFonts w:ascii="Arial" w:hAnsi="Arial"/>
          <w:b w:val="0"/>
          <w:i w:val="0"/>
          <w:sz w:val="19"/>
        </w:rPr>
        <w:t>-Logik in der GKV-Datenverarbeitung und schafft damit einen abgegrenzten Rahmen für die Entwicklung KI-gestützter Versorgungsanwendungen unter Aufsicht — inhaltlich parallel zu dem in § 4.4 dokumentierten KI-Reallabor-Auftrag der Bundesnetzagentur nach dem KI-MIG. Der Beschluss ist noch nicht Gesetz: Die parlamentarische Behandlung im Deutschen Bundestag und der Bundesrats-Durchgang stehen aus; die Bundesregierung hätte einen Inkrafttretens­termin nicht explizit benannt (Konjunktiv nach § 4.2 Claude.md). Für die Steuer- und Wertschöpfungsdebatte des Gesundheitswesens folgt aus dem Kabinettsbeschluss, dass eine wachsende KI-Anwendungsbasis innerhalb der GKV-Regelversorgung entsteht, ohne dass die in § 7.2 dokumentierte Frage nach der Verlagerung von KI-Wertschöpfung in ausländische Cloud-Wertschöpfungsketten (Hyperscaler-SaaS) zunächst adressiert wird — ein Punkt, der für Folgeläufe zur Beobachtung markiert bleibt.</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Nur einen Monat später — am 30. Juli 2026, drei Wochen nach der allgemeinen Freigabe des </w:t>
      </w:r>
      <w:r>
        <w:rPr>
          <w:rFonts w:ascii="Arial" w:hAnsi="Arial"/>
          <w:b w:val="0"/>
          <w:i/>
          <w:sz w:val="19"/>
        </w:rPr>
        <w:t>GPT-5.6</w:t>
      </w:r>
      <w:r>
        <w:rPr>
          <w:rFonts w:ascii="Arial" w:hAnsi="Arial"/>
          <w:b w:val="0"/>
          <w:i w:val="0"/>
          <w:sz w:val="19"/>
        </w:rPr>
        <w:t xml:space="preserve">-Modells am 9. Juli 2026 — verstärkte OpenAI diese Bewegung mit einer preislichen Nachjustierung im laufenden Zyklus: </w:t>
      </w:r>
      <w:r>
        <w:rPr>
          <w:rFonts w:ascii="Arial" w:hAnsi="Arial"/>
          <w:b w:val="0"/>
          <w:i/>
          <w:sz w:val="19"/>
        </w:rPr>
        <w:t>GPT-5.6 Luna</w:t>
      </w:r>
      <w:r>
        <w:rPr>
          <w:rFonts w:ascii="Arial" w:hAnsi="Arial"/>
          <w:b w:val="0"/>
          <w:i w:val="0"/>
          <w:sz w:val="19"/>
        </w:rPr>
        <w:t xml:space="preserve"> wurde um 80 % gesenkt (Input von 1,00 auf 0,20 US-Dollar, Output von 6,00 auf 1,20 US-Dollar je Million Token), </w:t>
      </w:r>
      <w:r>
        <w:rPr>
          <w:rFonts w:ascii="Arial" w:hAnsi="Arial"/>
          <w:b w:val="0"/>
          <w:i/>
          <w:sz w:val="19"/>
        </w:rPr>
        <w:t>GPT-5.6 Terra</w:t>
      </w:r>
      <w:r>
        <w:rPr>
          <w:rFonts w:ascii="Arial" w:hAnsi="Arial"/>
          <w:b w:val="0"/>
          <w:i w:val="0"/>
          <w:sz w:val="19"/>
        </w:rPr>
        <w:t xml:space="preserve"> um 20 % (Input von 2,50 auf 2,00 US-Dollar, Output von 15,00 auf 12,00 US-Dollar je Million Token), während das Flaggschiff </w:t>
      </w:r>
      <w:r>
        <w:rPr>
          <w:rFonts w:ascii="Arial" w:hAnsi="Arial"/>
          <w:b w:val="0"/>
          <w:i/>
          <w:sz w:val="19"/>
        </w:rPr>
        <w:t>GPT-5.6 Sol</w:t>
      </w:r>
      <w:r>
        <w:rPr>
          <w:rFonts w:ascii="Arial" w:hAnsi="Arial"/>
          <w:b w:val="0"/>
          <w:i w:val="0"/>
          <w:sz w:val="19"/>
        </w:rPr>
        <w:t xml:space="preserve"> preisstabil blieb (5,00 US-Dollar je Million Input- beziehungsweise 30,00 US-Dollar je Million Output-Token) und um einen kostenpflichtigen </w:t>
      </w:r>
      <w:r>
        <w:rPr>
          <w:rFonts w:ascii="Arial" w:hAnsi="Arial"/>
          <w:b w:val="0"/>
          <w:i/>
          <w:sz w:val="19"/>
        </w:rPr>
        <w:t>Fast</w:t>
      </w:r>
      <w:r>
        <w:rPr>
          <w:rFonts w:ascii="Arial" w:hAnsi="Arial"/>
          <w:b w:val="0"/>
          <w:i w:val="0"/>
          <w:sz w:val="19"/>
        </w:rPr>
        <w:t>-Modus im API-Zugriff ergänzt wurde (bis zu 2,5-fache Ausführungsgeschwindigkeit bei doppeltem Preis). CEO Sam Altman positionierte die Ankündigung auf der Plattform X als „major price cuts today", das Unternehmen begründete den Schritt mit internen Effizienzgewinnen (nach eigenen Angaben 20 % Kostenreduktion pro Token und eine Token-Effizienzsteigerung von über 15 % durch Modellverbesserungen) und mit einer signifikant kostensensitiveren Enterprise-Nachfrage; die Fachberichterstattung (VentureBeat, CNBC, Axios, Yahoo Finance, ExplainX, Cryptonomist) verweist zugleich auf den Wettbewerbsdruck durch chinesische Open-Weight-Modelle (</w:t>
      </w:r>
      <w:r>
        <w:rPr>
          <w:rFonts w:ascii="Arial" w:hAnsi="Arial"/>
          <w:b w:val="0"/>
          <w:i/>
          <w:sz w:val="19"/>
        </w:rPr>
        <w:t>DeepSeek V4 Pro</w:t>
      </w:r>
      <w:r>
        <w:rPr>
          <w:rFonts w:ascii="Arial" w:hAnsi="Arial"/>
          <w:b w:val="0"/>
          <w:i w:val="0"/>
          <w:sz w:val="19"/>
        </w:rPr>
        <w:t xml:space="preserve"> zu 0,435 / 0,87 US-Dollar je Million Token mit 75-Prozent-Rabattaktion, </w:t>
      </w:r>
      <w:r>
        <w:rPr>
          <w:rFonts w:ascii="Arial" w:hAnsi="Arial"/>
          <w:b w:val="0"/>
          <w:i/>
          <w:sz w:val="19"/>
        </w:rPr>
        <w:t>Kimi K3</w:t>
      </w:r>
      <w:r>
        <w:rPr>
          <w:rFonts w:ascii="Arial" w:hAnsi="Arial"/>
          <w:b w:val="0"/>
          <w:i w:val="0"/>
          <w:sz w:val="19"/>
        </w:rPr>
        <w:t xml:space="preserve"> zu 3 / 15 US-Dollar je Million Token;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 Zugleich verdichtet der Preisschritt die in § 8.2 dokumentierte Beobachtung, dass die Verteilung der KI-Renten in der Modellschicht — unter dem Druck chinesischer Anbieter — zunehmend weniger über das Preisniveau der etablierten Frontier-Anbieter, sondern über deren Effizienz-, Fast-Access- und Volumenprämien läuft.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 Am 17. Juli 2026 wird die zum 9. Juli 2026 avisierte Freigabe des vollständig neu aufgesetzten </w:t>
      </w:r>
      <w:r>
        <w:rPr>
          <w:rFonts w:ascii="Arial" w:hAnsi="Arial"/>
          <w:b w:val="0"/>
          <w:i/>
          <w:sz w:val="19"/>
        </w:rPr>
        <w:t>Gemini 3.5 Pro</w:t>
      </w:r>
      <w:r>
        <w:rPr>
          <w:rFonts w:ascii="Arial" w:hAnsi="Arial"/>
          <w:b w:val="0"/>
          <w:i w:val="0"/>
          <w:sz w:val="19"/>
        </w:rPr>
        <w:t xml:space="preserve"> nach übereinstimmender Berichterstattung (TechTimes 13. Juli 2026, BigGo Finance 13. Juli 2026, HackerNoon 13. Juli 2026, Enterprise DNA, ZoomBangla, Memeburn) vollzogen; Google DeepMind hätte das Modell auf ein Kontextfenster von zwei Millionen Token, einen </w:t>
      </w:r>
      <w:r>
        <w:rPr>
          <w:rFonts w:ascii="Arial" w:hAnsi="Arial"/>
          <w:b w:val="0"/>
          <w:i/>
          <w:sz w:val="19"/>
        </w:rPr>
        <w:t>Deep-Think-Reasoning-Layer</w:t>
      </w:r>
      <w:r>
        <w:rPr>
          <w:rFonts w:ascii="Arial" w:hAnsi="Arial"/>
          <w:b w:val="0"/>
          <w:i w:val="0"/>
          <w:sz w:val="19"/>
        </w:rPr>
        <w:t xml:space="preserve"> für komplexe Mehrschritt-Aufgaben und ein autonomes Werkzeug- und Coding-Verhalten aufgesetzt, wobei sowohl Zeitpunkt als auch technische Spezifikationen nach Angaben der berichtenden Medien noch nicht durch eine offizielle Google-Mitteilung bestätigt seien (Konjunktiv nach § 4.2 Claude.md). Zugriff auf den </w:t>
      </w:r>
      <w:r>
        <w:rPr>
          <w:rFonts w:ascii="Arial" w:hAnsi="Arial"/>
          <w:b w:val="0"/>
          <w:i/>
          <w:sz w:val="19"/>
        </w:rPr>
        <w:t>Deep-Think</w:t>
      </w:r>
      <w:r>
        <w:rPr>
          <w:rFonts w:ascii="Arial" w:hAnsi="Arial"/>
          <w:b w:val="0"/>
          <w:i w:val="0"/>
          <w:sz w:val="19"/>
        </w:rPr>
        <w:t xml:space="preserve">-Modus bliebe zunächst dem </w:t>
      </w:r>
      <w:r>
        <w:rPr>
          <w:rFonts w:ascii="Arial" w:hAnsi="Arial"/>
          <w:b w:val="0"/>
          <w:i/>
          <w:sz w:val="19"/>
        </w:rPr>
        <w:t>Gemini-Ultra</w:t>
      </w:r>
      <w:r>
        <w:rPr>
          <w:rFonts w:ascii="Arial" w:hAnsi="Arial"/>
          <w:b w:val="0"/>
          <w:i w:val="0"/>
          <w:sz w:val="19"/>
        </w:rPr>
        <w:t xml:space="preserve">-Tarif zum monatlichen Preis von 250 US-Dollar vorbehalten, während die reguläre Modellstufe über die </w:t>
      </w:r>
      <w:r>
        <w:rPr>
          <w:rFonts w:ascii="Arial" w:hAnsi="Arial"/>
          <w:b w:val="0"/>
          <w:i/>
          <w:sz w:val="19"/>
        </w:rPr>
        <w:t>Gemini</w:t>
      </w:r>
      <w:r>
        <w:rPr>
          <w:rFonts w:ascii="Arial" w:hAnsi="Arial"/>
          <w:b w:val="0"/>
          <w:i w:val="0"/>
          <w:sz w:val="19"/>
        </w:rPr>
        <w:t xml:space="preserve">-API zugänglich sein soll; im Aggregator </w:t>
      </w:r>
      <w:r>
        <w:rPr>
          <w:rFonts w:ascii="Arial" w:hAnsi="Arial"/>
          <w:b w:val="0"/>
          <w:i/>
          <w:sz w:val="19"/>
        </w:rPr>
        <w:t>OpenRouter</w:t>
      </w:r>
      <w:r>
        <w:rPr>
          <w:rFonts w:ascii="Arial" w:hAnsi="Arial"/>
          <w:b w:val="0"/>
          <w:i w:val="0"/>
          <w:sz w:val="19"/>
        </w:rPr>
        <w:t xml:space="preserve"> seien für die Vorlauf-Wochen keine offiziellen </w:t>
      </w:r>
      <w:r>
        <w:rPr>
          <w:rFonts w:ascii="Arial" w:hAnsi="Arial"/>
          <w:b w:val="0"/>
          <w:i/>
          <w:sz w:val="19"/>
        </w:rPr>
        <w:t>gemini-3.5-pro</w:t>
      </w:r>
      <w:r>
        <w:rPr>
          <w:rFonts w:ascii="Arial" w:hAnsi="Arial"/>
          <w:b w:val="0"/>
          <w:i w:val="0"/>
          <w:sz w:val="19"/>
        </w:rPr>
        <w:t xml:space="preserve">-Endpunkte gelistet gewesen. Für die in diesem Kapitel entwickelte Rohstoff-Analogie ergänzt der Vorgang die Angebotsseite der US-Frontier um eine weitere Modellstufe und verdichtet zeitlich mit der GPT-5.6-Freigabe (9. Juli 2026), dem </w:t>
      </w:r>
      <w:r>
        <w:rPr>
          <w:rFonts w:ascii="Arial" w:hAnsi="Arial"/>
          <w:b w:val="0"/>
          <w:i/>
          <w:sz w:val="19"/>
        </w:rPr>
        <w:t>Muse-Spark-1.1</w:t>
      </w:r>
      <w:r>
        <w:rPr>
          <w:rFonts w:ascii="Arial" w:hAnsi="Arial"/>
          <w:b w:val="0"/>
          <w:i w:val="0"/>
          <w:sz w:val="19"/>
        </w:rPr>
        <w:t xml:space="preserve">-Launch (9. Juli 2026) und der Grok-4.5-Freigabe (8. Juli 2026) eine über einen Zeitraum von rund zehn Tagen konzentrierte Serie von Frontier-Freigaben — ein weiterer Beleg der geografisch konzentrierten Basismodellproduktion und ihrer beschleunigten Iterationsfrequenz. Für die in § 8.3 skizzierten Zugriffspfade auf inländische KI-Wertschöpfung folgt daraus keine unmittelbare Änderung; die europäische Anwenderseite bleibt in dieser Modellstufe nachgelagert, und die im Preisniveau (250-US-Dollar-Tier für </w:t>
      </w:r>
      <w:r>
        <w:rPr>
          <w:rFonts w:ascii="Arial" w:hAnsi="Arial"/>
          <w:b w:val="0"/>
          <w:i/>
          <w:sz w:val="19"/>
        </w:rPr>
        <w:t>Deep Think</w:t>
      </w:r>
      <w:r>
        <w:rPr>
          <w:rFonts w:ascii="Arial" w:hAnsi="Arial"/>
          <w:b w:val="0"/>
          <w:i w:val="0"/>
          <w:sz w:val="19"/>
        </w:rPr>
        <w:t xml:space="preserve">) beobachtbare Rückkehr einer </w:t>
      </w:r>
      <w:r>
        <w:rPr>
          <w:rFonts w:ascii="Arial" w:hAnsi="Arial"/>
          <w:b w:val="0"/>
          <w:i/>
          <w:sz w:val="19"/>
        </w:rPr>
        <w:t>aufwärts</w:t>
      </w:r>
      <w:r>
        <w:rPr>
          <w:rFonts w:ascii="Arial" w:hAnsi="Arial"/>
          <w:b w:val="0"/>
          <w:i w:val="0"/>
          <w:sz w:val="19"/>
        </w:rPr>
        <w:t xml:space="preserve"> gerichteten Preisspreizung am oberen Ende bestätigt die in § 8.2 dokumentierte Differenzierung zwischen supply-constrained Frontier-Klasse und deflationärer Workhorse-Klasse.</w:t>
      </w:r>
    </w:p>
    <w:p>
      <w:pPr>
        <w:jc w:val="both"/>
      </w:pPr>
      <w:r>
        <w:rPr>
          <w:rFonts w:ascii="Arial" w:hAnsi="Arial"/>
          <w:b w:val="0"/>
          <w:i w:val="0"/>
          <w:sz w:val="19"/>
        </w:rPr>
        <w:t xml:space="preserve">Am 10. Juli 2026 tritt neben die intra-Frontier-Bewegung erstmals ein prominenter Rechtskonflikt zwischen einem US-Konsumelektronik-Konzern und einem US-Frontier-Anbieter über die Talent-Basis: </w:t>
      </w:r>
      <w:r>
        <w:rPr>
          <w:rFonts w:ascii="Arial" w:hAnsi="Arial"/>
          <w:b w:val="0"/>
          <w:i/>
          <w:sz w:val="19"/>
        </w:rPr>
        <w:t>Apple</w:t>
      </w:r>
      <w:r>
        <w:rPr>
          <w:rFonts w:ascii="Arial" w:hAnsi="Arial"/>
          <w:b w:val="0"/>
          <w:i w:val="0"/>
          <w:sz w:val="19"/>
        </w:rPr>
        <w:t xml:space="preserve"> reichte beim United States District Court for the Northern District of California eine 41 Seiten umfassende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ein (Bloomberg, CNBC, Axios, Engadget, TechCrunch, Cybersecurity News; Aktenzeichen zum 10. Juli 2026 in Auszügen wiedergegeben). Apple stützt die Klage auf den Vorwurf systematischer Trade-Secret-Aneignung „auf jeder Ebene, von </w:t>
      </w:r>
      <w:r>
        <w:rPr>
          <w:rFonts w:ascii="Arial" w:hAnsi="Arial"/>
          <w:b w:val="0"/>
          <w:i/>
          <w:sz w:val="19"/>
        </w:rPr>
        <w:t>members of technical staff</w:t>
      </w:r>
      <w:r>
        <w:rPr>
          <w:rFonts w:ascii="Arial" w:hAnsi="Arial"/>
          <w:b w:val="0"/>
          <w:i w:val="0"/>
          <w:sz w:val="19"/>
        </w:rPr>
        <w:t xml:space="preserve"> bis zum </w:t>
      </w:r>
      <w:r>
        <w:rPr>
          <w:rFonts w:ascii="Arial" w:hAnsi="Arial"/>
          <w:b w:val="0"/>
          <w:i/>
          <w:sz w:val="19"/>
        </w:rPr>
        <w:t>Chief Hardware Officer</w:t>
      </w:r>
      <w:r>
        <w:rPr>
          <w:rFonts w:ascii="Arial" w:hAnsi="Arial"/>
          <w:b w:val="0"/>
          <w:i w:val="0"/>
          <w:sz w:val="19"/>
        </w:rPr>
        <w:t xml:space="preserve">, und in Abstimmung mit </w:t>
      </w:r>
      <w:r>
        <w:rPr>
          <w:rFonts w:ascii="Arial" w:hAnsi="Arial"/>
          <w:b w:val="0"/>
          <w:i/>
          <w:sz w:val="19"/>
        </w:rPr>
        <w:t>business partners</w:t>
      </w:r>
      <w:r>
        <w:rPr>
          <w:rFonts w:ascii="Arial" w:hAnsi="Arial"/>
          <w:b w:val="0"/>
          <w:i w:val="0"/>
          <w:sz w:val="19"/>
        </w:rPr>
        <w:t xml:space="preserve">", und flankiert sie mit der Angabe, dass inzwischen über 400 ehemalige Apple-Beschäftigte bei OpenAI arbeiteten. Zu den in der Klageschrift genannten Einzelvorwürfen zählen die Aufforderung an Bewerberinnen und Bewerber, „actual parts" aus Apple-Beständen zu </w:t>
      </w:r>
      <w:r>
        <w:rPr>
          <w:rFonts w:ascii="Arial" w:hAnsi="Arial"/>
          <w:b w:val="0"/>
          <w:i/>
          <w:sz w:val="19"/>
        </w:rPr>
        <w:t>Show-and-Tell</w:t>
      </w:r>
      <w:r>
        <w:rPr>
          <w:rFonts w:ascii="Arial" w:hAnsi="Arial"/>
          <w:b w:val="0"/>
          <w:i w:val="0"/>
          <w:sz w:val="19"/>
        </w:rPr>
        <w:t xml:space="preserve">-Interviews mitzubringen, das Fortbestehen eines dienstlich ausgegebenen Apple-Notebooks nach Beschäftigungsende und ein Zugriff auf über </w:t>
      </w:r>
      <w:r>
        <w:rPr>
          <w:rFonts w:ascii="Arial" w:hAnsi="Arial"/>
          <w:b w:val="0"/>
          <w:i/>
          <w:sz w:val="19"/>
        </w:rPr>
        <w:t>Dutzend</w:t>
      </w:r>
      <w:r>
        <w:rPr>
          <w:rFonts w:ascii="Arial" w:hAnsi="Arial"/>
          <w:b w:val="0"/>
          <w:i w:val="0"/>
          <w:sz w:val="19"/>
        </w:rPr>
        <w:t xml:space="preserve"> interne Apple-Dateien nach Wechsel zu OpenAI sowie die interne Weitergabe eines Apple-Offboarding-Dokuments mit Umgehungsanleitungen für Apple-Exit-Sicherheitskontrollen. Für die in diesem Kapitel entwickelte Rohstoff-Analogie ergänzt der Vorgang die Talent-Bestandsdimension aus dem DeepMind-Fall um eine explizit </w:t>
      </w:r>
      <w:r>
        <w:rPr>
          <w:rFonts w:ascii="Arial" w:hAnsi="Arial"/>
          <w:b w:val="0"/>
          <w:i/>
          <w:sz w:val="19"/>
        </w:rPr>
        <w:t>rechtsförmige</w:t>
      </w:r>
      <w:r>
        <w:rPr>
          <w:rFonts w:ascii="Arial" w:hAnsi="Arial"/>
          <w:b w:val="0"/>
          <w:i w:val="0"/>
          <w:sz w:val="19"/>
        </w:rPr>
        <w:t xml:space="preserve"> Ebene: Die humanen Talent-Bestände der Frontier-Modelle bewegen sich nicht nur ökonomisch, sondern zunehmend auch in Auseinandersetzungen um </w:t>
      </w:r>
      <w:r>
        <w:rPr>
          <w:rFonts w:ascii="Arial" w:hAnsi="Arial"/>
          <w:b w:val="0"/>
          <w:i/>
          <w:sz w:val="19"/>
        </w:rPr>
        <w:t>Trade Secrets</w:t>
      </w:r>
      <w:r>
        <w:rPr>
          <w:rFonts w:ascii="Arial" w:hAnsi="Arial"/>
          <w:b w:val="0"/>
          <w:i w:val="0"/>
          <w:sz w:val="19"/>
        </w:rPr>
        <w:t>, deren Ausgang die Marktstruktur — insbesondere im Übergang Frontier-Modell / KI-Hardware — mitprägen kann. Für die Deutschland-These (§ 8.3) unterstützt der Vorgang die These der fiskalischen Volatilität einer bestands­orientierten Umverteilung: Sobald Marktkapitalisierungen einzelner Frontier-Anbieter zusätzlich durch Trade-Secret-Verfahren adressierbar werden, verstärkt sich das Argument für wertschöpfungsbezogene statt marktkapitalisierungs­bezogene Zugriffe.</w:t>
      </w:r>
    </w:p>
    <w:p>
      <w:pPr>
        <w:jc w:val="both"/>
      </w:pPr>
      <w:r>
        <w:rPr>
          <w:rFonts w:ascii="Arial" w:hAnsi="Arial"/>
          <w:b w:val="0"/>
          <w:i w:val="0"/>
          <w:sz w:val="19"/>
        </w:rPr>
        <w:t xml:space="preserve">Zeitgleich zum DeepMind-Vorgang verdichtet sich ein weiteres Signal an der Modell- und Deployment-Front: Am 9. Juli 2026 hat OpenAI seine im Juni angekündigte </w:t>
      </w:r>
      <w:r>
        <w:rPr>
          <w:rFonts w:ascii="Arial" w:hAnsi="Arial"/>
          <w:b w:val="0"/>
          <w:i/>
          <w:sz w:val="19"/>
        </w:rPr>
        <w:t>GPT-5.6</w:t>
      </w:r>
      <w:r>
        <w:rPr>
          <w:rFonts w:ascii="Arial" w:hAnsi="Arial"/>
          <w:b w:val="0"/>
          <w:i w:val="0"/>
          <w:sz w:val="19"/>
        </w:rPr>
        <w:t xml:space="preserve">-Reihe mit den drei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und </w:t>
      </w:r>
      <w:r>
        <w:rPr>
          <w:rFonts w:ascii="Arial" w:hAnsi="Arial"/>
          <w:b w:val="0"/>
          <w:i/>
          <w:sz w:val="19"/>
        </w:rPr>
        <w:t>Luna</w:t>
      </w:r>
      <w:r>
        <w:rPr>
          <w:rFonts w:ascii="Arial" w:hAnsi="Arial"/>
          <w:b w:val="0"/>
          <w:i w:val="0"/>
          <w:sz w:val="19"/>
        </w:rPr>
        <w:t xml:space="preserve"> für die Öffentlichkeit freigegeben, nachdem eine erste Preview-Kohorte am 26. Juni 2026 angelaufen war. Die Spitzenstufe </w:t>
      </w:r>
      <w:r>
        <w:rPr>
          <w:rFonts w:ascii="Arial" w:hAnsi="Arial"/>
          <w:b w:val="0"/>
          <w:i/>
          <w:sz w:val="19"/>
        </w:rPr>
        <w:t>Sol</w:t>
      </w:r>
      <w:r>
        <w:rPr>
          <w:rFonts w:ascii="Arial" w:hAnsi="Arial"/>
          <w:b w:val="0"/>
          <w:i w:val="0"/>
          <w:sz w:val="19"/>
        </w:rPr>
        <w:t xml:space="preserve"> wird nach Herstellerangaben und übereinstimmender Fachberichterstattung (Nextgov, Engadget, BigGo Finance, Value Add Pulse, techjacksolutions) im Juli 2026 zusätzlich auf Cerebras-Wafer-Scale-Hardware ausgerollt und erreicht dort Inferenzgeschwindigkeiten von bis zu 750 Token pro Sekunde — etwa das Zehnfache typischer NVIDIA-GPU-Deployments produktiver Frontier-Modelle. Die Standard-API-Preise (Sol 5 US-Dollar pro Million Input-Token, 30 US-Dollar pro Million Output-Token; Cache-Reads 0,50 US-Dollar; </w:t>
      </w:r>
      <w:r>
        <w:rPr>
          <w:rFonts w:ascii="Arial" w:hAnsi="Arial"/>
          <w:b w:val="0"/>
          <w:i/>
          <w:sz w:val="19"/>
        </w:rPr>
        <w:t>Terra</w:t>
      </w:r>
      <w:r>
        <w:rPr>
          <w:rFonts w:ascii="Arial" w:hAnsi="Arial"/>
          <w:b w:val="0"/>
          <w:i w:val="0"/>
          <w:sz w:val="19"/>
        </w:rPr>
        <w:t xml:space="preserve"> mit annähernder GPT-5.5-Leistung zum halben Sol-Satz; </w:t>
      </w:r>
      <w:r>
        <w:rPr>
          <w:rFonts w:ascii="Arial" w:hAnsi="Arial"/>
          <w:b w:val="0"/>
          <w:i/>
          <w:sz w:val="19"/>
        </w:rPr>
        <w:t>Luna</w:t>
      </w:r>
      <w:r>
        <w:rPr>
          <w:rFonts w:ascii="Arial" w:hAnsi="Arial"/>
          <w:b w:val="0"/>
          <w:i w:val="0"/>
          <w:sz w:val="19"/>
        </w:rPr>
        <w:t xml:space="preserve"> als preisgünstigste Stufe) untermauern die in diesem Kapitel referierte Preis­deflation an der Inferenzfront, ohne die geografische Konzentration der Modellproduktion aufzuheben. Institutionell ist der Vorgang bemerkenswert, weil OpenAI die Modelle Ende Juni 2026 zunächst einem „kleinen Kreis vertrauenswürdiger Partner" zugänglich gemacht und die öffentliche Freigabe von einer Zustimmung der US-Bundesregierung abhängig gemacht hätte: Eine im Juni 2026 unterzeichnete AI-Cybersecurity-Executive-Order fordert die Anbieter der leistungsfähigsten Modelle auf, diese der Bundesregierung mindestens dreißig Tage vor der öffentlichen Freigabe zur sicherheitsbezogenen Überprüfung vorzulegen. Für die in § 4.5 verortete Governance-Debatte folgt daraus, dass sich neben der europäischen AI-Act-Regulierung eine informelle </w:t>
      </w:r>
      <w:r>
        <w:rPr>
          <w:rFonts w:ascii="Arial" w:hAnsi="Arial"/>
          <w:b w:val="0"/>
          <w:i/>
          <w:sz w:val="19"/>
        </w:rPr>
        <w:t>US-Vor-Freigabe-Praxis</w:t>
      </w:r>
      <w:r>
        <w:rPr>
          <w:rFonts w:ascii="Arial" w:hAnsi="Arial"/>
          <w:b w:val="0"/>
          <w:i w:val="0"/>
          <w:sz w:val="19"/>
        </w:rPr>
        <w:t xml:space="preserve"> etabliert, in der Frontier-Anbieter und US-Regierung einen sicherheitsbezogenen Vorlauf koordinieren — mit unmittelbarer Rückwirkung auf die Verfügbarkeit importierter KI-Modelle in europäischen Anwendungen und damit auf die von der Deutschland-These (§ 8.3) unterstellten stabilen Zugriffspfade auf inländische KI-Wertschöpfung.</w:t>
      </w:r>
    </w:p>
    <w:p>
      <w:pPr>
        <w:jc w:val="both"/>
      </w:pPr>
      <w:r>
        <w:rPr>
          <w:rFonts w:ascii="Arial" w:hAnsi="Arial"/>
          <w:b w:val="0"/>
          <w:i w:val="0"/>
          <w:sz w:val="19"/>
        </w:rPr>
        <w:t xml:space="preserve">Einen Tag vorher (8. Juli 2026) hatte </w:t>
      </w:r>
      <w:r>
        <w:rPr>
          <w:rFonts w:ascii="Arial" w:hAnsi="Arial"/>
          <w:b w:val="0"/>
          <w:i/>
          <w:sz w:val="19"/>
        </w:rPr>
        <w:t>SpaceXAI</w:t>
      </w:r>
      <w:r>
        <w:rPr>
          <w:rFonts w:ascii="Arial" w:hAnsi="Arial"/>
          <w:b w:val="0"/>
          <w:i w:val="0"/>
          <w:sz w:val="19"/>
        </w:rPr>
        <w:t xml:space="preserve"> — die aus dem Rebrand von xAI im Februar 2026 hervorgegangene AI-Tochter von SpaceX — </w:t>
      </w:r>
      <w:r>
        <w:rPr>
          <w:rFonts w:ascii="Arial" w:hAnsi="Arial"/>
          <w:b w:val="0"/>
          <w:i/>
          <w:sz w:val="19"/>
        </w:rPr>
        <w:t>Grok 4.5</w:t>
      </w:r>
      <w:r>
        <w:rPr>
          <w:rFonts w:ascii="Arial" w:hAnsi="Arial"/>
          <w:b w:val="0"/>
          <w:i w:val="0"/>
          <w:sz w:val="19"/>
        </w:rPr>
        <w:t xml:space="preserve"> als „Opus-Klasse"-Modell öffentlich freigegeben (Bloomberg, TechCrunch, Axios, MarkTechPost, Memeburn, FourWeekMBA): gemeinsam mit </w:t>
      </w:r>
      <w:r>
        <w:rPr>
          <w:rFonts w:ascii="Arial" w:hAnsi="Arial"/>
          <w:b w:val="0"/>
          <w:i/>
          <w:sz w:val="19"/>
        </w:rPr>
        <w:t>Cursor</w:t>
      </w:r>
      <w:r>
        <w:rPr>
          <w:rFonts w:ascii="Arial" w:hAnsi="Arial"/>
          <w:b w:val="0"/>
          <w:i w:val="0"/>
          <w:sz w:val="19"/>
        </w:rPr>
        <w:t xml:space="preserve"> trainiertes Mixture-of-Experts-Modell für Programmier-, Agent- und Wissensarbeit, verfügbar über Grok Build, Cursor und die SpaceXAI-API. Der Einstiegspreis liegt bei 2 US-Dollar pro Million Input-Token und 6 US-Dollar pro Million Output-Token; für die schnellere Variante bei 4 beziehungsweise 18 US-Dollar; Cache-Read 0,50 US-Dollar. Am 14. Juli 2026 verweist Elon Musk auf einen Platz eins von Grok 4.5 im </w:t>
      </w:r>
      <w:r>
        <w:rPr>
          <w:rFonts w:ascii="Arial" w:hAnsi="Arial"/>
          <w:b w:val="0"/>
          <w:i/>
          <w:sz w:val="19"/>
        </w:rPr>
        <w:t>Long-Horizon Terminal-Bench</w:t>
      </w:r>
      <w:r>
        <w:rPr>
          <w:rFonts w:ascii="Arial" w:hAnsi="Arial"/>
          <w:b w:val="0"/>
          <w:i w:val="0"/>
          <w:sz w:val="19"/>
        </w:rPr>
        <w:t xml:space="preserve"> für ausgedehnte Agent-Aufgaben (Reuters, The Register); am selben Tag dokumentiert ein Sicherheitsforscher, dass Grok Build ganze Nutzer-Codebasen unautorisiert in die SpaceXAI-Cloud übertragen hatte, was zu einer serverseitigen Abschaltung und einer öffentlichen Zusage der vollständigen Löschung führte (The Register 14. Juli 2026, TechTimes 14. Juli 2026). Für die in diesem Kapitel geführte Diskussion ergänzt der Vorgang die Rohstoff-Analogie um eine strukturelle Nuance: Die Angebotsseite an der US-Frontier verdichtet sich um einen weiteren, dem SpaceX-Konzernverbund unterstellten Anbieter — mit Preispunkten, die spürbar unter denen von </w:t>
      </w:r>
      <w:r>
        <w:rPr>
          <w:rFonts w:ascii="Arial" w:hAnsi="Arial"/>
          <w:b w:val="0"/>
          <w:i/>
          <w:sz w:val="19"/>
        </w:rPr>
        <w:t>OpenAI GPT-5.6 Sol</w:t>
      </w:r>
      <w:r>
        <w:rPr>
          <w:rFonts w:ascii="Arial" w:hAnsi="Arial"/>
          <w:b w:val="0"/>
          <w:i w:val="0"/>
          <w:sz w:val="19"/>
        </w:rPr>
        <w:t xml:space="preserve"> (5/30 US-Dollar) und </w:t>
      </w:r>
      <w:r>
        <w:rPr>
          <w:rFonts w:ascii="Arial" w:hAnsi="Arial"/>
          <w:b w:val="0"/>
          <w:i/>
          <w:sz w:val="19"/>
        </w:rPr>
        <w:t>Anthropic Claude Opus 4.8</w:t>
      </w:r>
      <w:r>
        <w:rPr>
          <w:rFonts w:ascii="Arial" w:hAnsi="Arial"/>
          <w:b w:val="0"/>
          <w:i w:val="0"/>
          <w:sz w:val="19"/>
        </w:rPr>
        <w:t xml:space="preserve"> (5/25 US-Dollar) liegen, aber über den </w:t>
      </w:r>
      <w:r>
        <w:rPr>
          <w:rFonts w:ascii="Arial" w:hAnsi="Arial"/>
          <w:b w:val="0"/>
          <w:i/>
          <w:sz w:val="19"/>
        </w:rPr>
        <w:t>Meta-Muse-Spark-1.1</w:t>
      </w:r>
      <w:r>
        <w:rPr>
          <w:rFonts w:ascii="Arial" w:hAnsi="Arial"/>
          <w:b w:val="0"/>
          <w:i w:val="0"/>
          <w:sz w:val="19"/>
        </w:rPr>
        <w:t xml:space="preserve">- und </w:t>
      </w:r>
      <w:r>
        <w:rPr>
          <w:rFonts w:ascii="Arial" w:hAnsi="Arial"/>
          <w:b w:val="0"/>
          <w:i/>
          <w:sz w:val="19"/>
        </w:rPr>
        <w:t>Claude-Sonnet-5</w:t>
      </w:r>
      <w:r>
        <w:rPr>
          <w:rFonts w:ascii="Arial" w:hAnsi="Arial"/>
          <w:b w:val="0"/>
          <w:i w:val="0"/>
          <w:sz w:val="19"/>
        </w:rPr>
        <w:t xml:space="preserve">-Sätzen (1,25/4,25 bzw. 2/10 US-Dollar) und damit die in § 8.2 dokumentierte Preisspreizung zwischen supply-constrained Frontier-Klasse (aufwärts, </w:t>
      </w:r>
      <w:r>
        <w:rPr>
          <w:rFonts w:ascii="Arial" w:hAnsi="Arial"/>
          <w:b w:val="0"/>
          <w:i/>
          <w:sz w:val="19"/>
        </w:rPr>
        <w:t>Fable 5</w:t>
      </w:r>
      <w:r>
        <w:rPr>
          <w:rFonts w:ascii="Arial" w:hAnsi="Arial"/>
          <w:b w:val="0"/>
          <w:i w:val="0"/>
          <w:sz w:val="19"/>
        </w:rPr>
        <w:t xml:space="preserve">) und Workhorse-Klasse (abwärts) auf einer weiteren Modellstufe ausdifferenzieren. Gleichzeitig unterstreicht der </w:t>
      </w:r>
      <w:r>
        <w:rPr>
          <w:rFonts w:ascii="Arial" w:hAnsi="Arial"/>
          <w:b w:val="0"/>
          <w:i/>
          <w:sz w:val="19"/>
        </w:rPr>
        <w:t>Grok-Build</w:t>
      </w:r>
      <w:r>
        <w:rPr>
          <w:rFonts w:ascii="Arial" w:hAnsi="Arial"/>
          <w:b w:val="0"/>
          <w:i w:val="0"/>
          <w:sz w:val="19"/>
        </w:rPr>
        <w:t>-Zwischenfall vom 14. Juli 2026 die Robustheits­anforderungen, die die Deutschland-These (§ 8.3) an eine wertschöpfungsbezogene Anknüpfung importierter Frontier-Modelle stellt: Ohne belastbare Absicherung der Datenflüsse bleibt die inländische KI-Wertschöpfung an Verfügbarkeits- und Vertrauens­risiken einzelner externer Anbieter gekoppelt.</w:t>
      </w:r>
    </w:p>
    <w:p>
      <w:pPr>
        <w:jc w:val="both"/>
      </w:pPr>
      <w:r>
        <w:rPr>
          <w:rFonts w:ascii="Arial" w:hAnsi="Arial"/>
          <w:b w:val="0"/>
          <w:i w:val="0"/>
          <w:sz w:val="19"/>
        </w:rPr>
        <w:t xml:space="preserve">Am selben Tag (14. Juli 2026) verdichtet sich in einem TechCrunch-Beitrag von Rebecca Bellan („The real AI race may no longer be at the frontier") eine strukturell wichtige Beobachtung zur Marktstruktur, die die Rohstoff-Analogie um eine weitere Nuance ergänzt. Danach entfielen im Frühjahr 2026 bereits rund 41 % der Modell-Downloads auf </w:t>
      </w:r>
      <w:r>
        <w:rPr>
          <w:rFonts w:ascii="Arial" w:hAnsi="Arial"/>
          <w:b w:val="0"/>
          <w:i/>
          <w:sz w:val="19"/>
        </w:rPr>
        <w:t>Hugging Face</w:t>
      </w:r>
      <w:r>
        <w:rPr>
          <w:rFonts w:ascii="Arial" w:hAnsi="Arial"/>
          <w:b w:val="0"/>
          <w:i w:val="0"/>
          <w:sz w:val="19"/>
        </w:rPr>
        <w:t xml:space="preserve"> auf chinesische </w:t>
      </w:r>
      <w:r>
        <w:rPr>
          <w:rFonts w:ascii="Arial" w:hAnsi="Arial"/>
          <w:b w:val="0"/>
          <w:i/>
          <w:sz w:val="19"/>
        </w:rPr>
        <w:t>Open-Weight</w:t>
      </w:r>
      <w:r>
        <w:rPr>
          <w:rFonts w:ascii="Arial" w:hAnsi="Arial"/>
          <w:b w:val="0"/>
          <w:i w:val="0"/>
          <w:sz w:val="19"/>
        </w:rPr>
        <w:t xml:space="preserve">-Modelle; nach Angaben von </w:t>
      </w:r>
      <w:r>
        <w:rPr>
          <w:rFonts w:ascii="Arial" w:hAnsi="Arial"/>
          <w:b w:val="0"/>
          <w:i/>
          <w:sz w:val="19"/>
        </w:rPr>
        <w:t>Vercel</w:t>
      </w:r>
      <w:r>
        <w:rPr>
          <w:rFonts w:ascii="Arial" w:hAnsi="Arial"/>
          <w:b w:val="0"/>
          <w:i w:val="0"/>
          <w:sz w:val="19"/>
        </w:rPr>
        <w:t xml:space="preserve"> liefen im Juni 2026 rund 33 % der KI-Anfragen der Plattform über Open-Weight-Modelle; auf der Aggregator-Plattform </w:t>
      </w:r>
      <w:r>
        <w:rPr>
          <w:rFonts w:ascii="Arial" w:hAnsi="Arial"/>
          <w:b w:val="0"/>
          <w:i/>
          <w:sz w:val="19"/>
        </w:rPr>
        <w:t>OpenRouter</w:t>
      </w:r>
      <w:r>
        <w:rPr>
          <w:rFonts w:ascii="Arial" w:hAnsi="Arial"/>
          <w:b w:val="0"/>
          <w:i w:val="0"/>
          <w:sz w:val="19"/>
        </w:rPr>
        <w:t xml:space="preserve"> belegten alle sechs am häufigsten genutzten Modelle den Top-Rängen Angebote von </w:t>
      </w:r>
      <w:r>
        <w:rPr>
          <w:rFonts w:ascii="Arial" w:hAnsi="Arial"/>
          <w:b w:val="0"/>
          <w:i/>
          <w:sz w:val="19"/>
        </w:rPr>
        <w:t>Tencent</w:t>
      </w:r>
      <w:r>
        <w:rPr>
          <w:rFonts w:ascii="Arial" w:hAnsi="Arial"/>
          <w:b w:val="0"/>
          <w:i w:val="0"/>
          <w:sz w:val="19"/>
        </w:rPr>
        <w:t xml:space="preserve">, </w:t>
      </w:r>
      <w:r>
        <w:rPr>
          <w:rFonts w:ascii="Arial" w:hAnsi="Arial"/>
          <w:b w:val="0"/>
          <w:i/>
          <w:sz w:val="19"/>
        </w:rPr>
        <w:t>Xiaomi</w:t>
      </w:r>
      <w:r>
        <w:rPr>
          <w:rFonts w:ascii="Arial" w:hAnsi="Arial"/>
          <w:b w:val="0"/>
          <w:i w:val="0"/>
          <w:sz w:val="19"/>
        </w:rPr>
        <w:t xml:space="preserve">, </w:t>
      </w:r>
      <w:r>
        <w:rPr>
          <w:rFonts w:ascii="Arial" w:hAnsi="Arial"/>
          <w:b w:val="0"/>
          <w:i/>
          <w:sz w:val="19"/>
        </w:rPr>
        <w:t>DeepSeek</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und </w:t>
      </w:r>
      <w:r>
        <w:rPr>
          <w:rFonts w:ascii="Arial" w:hAnsi="Arial"/>
          <w:b w:val="0"/>
          <w:i/>
          <w:sz w:val="19"/>
        </w:rPr>
        <w:t>Z.ai</w:t>
      </w:r>
      <w:r>
        <w:rPr>
          <w:rFonts w:ascii="Arial" w:hAnsi="Arial"/>
          <w:b w:val="0"/>
          <w:i w:val="0"/>
          <w:sz w:val="19"/>
        </w:rPr>
        <w:t xml:space="preserve">, während </w:t>
      </w:r>
      <w:r>
        <w:rPr>
          <w:rFonts w:ascii="Arial" w:hAnsi="Arial"/>
          <w:b w:val="0"/>
          <w:i/>
          <w:sz w:val="19"/>
        </w:rPr>
        <w:t>Anthropic Claude Opus 4.7</w:t>
      </w:r>
      <w:r>
        <w:rPr>
          <w:rFonts w:ascii="Arial" w:hAnsi="Arial"/>
          <w:b w:val="0"/>
          <w:i w:val="0"/>
          <w:sz w:val="19"/>
        </w:rPr>
        <w:t xml:space="preserve"> nur auf Platz 7 lag; die Gesamtzahl öffentlich gelisteter Modelle auf </w:t>
      </w:r>
      <w:r>
        <w:rPr>
          <w:rFonts w:ascii="Arial" w:hAnsi="Arial"/>
          <w:b w:val="0"/>
          <w:i/>
          <w:sz w:val="19"/>
        </w:rPr>
        <w:t>Hugging Face</w:t>
      </w:r>
      <w:r>
        <w:rPr>
          <w:rFonts w:ascii="Arial" w:hAnsi="Arial"/>
          <w:b w:val="0"/>
          <w:i w:val="0"/>
          <w:sz w:val="19"/>
        </w:rPr>
        <w:t xml:space="preserve"> erreichte drei Millionen. </w:t>
      </w:r>
      <w:r>
        <w:rPr>
          <w:rFonts w:ascii="Arial" w:hAnsi="Arial"/>
          <w:b w:val="0"/>
          <w:i/>
          <w:sz w:val="19"/>
        </w:rPr>
        <w:t>Hugging-Face</w:t>
      </w:r>
      <w:r>
        <w:rPr>
          <w:rFonts w:ascii="Arial" w:hAnsi="Arial"/>
          <w:b w:val="0"/>
          <w:i w:val="0"/>
          <w:sz w:val="19"/>
        </w:rPr>
        <w:t>-CEO Clem Delangue prognostiziert, dass Frontier-Modelle mittelfristig auf hochwertige Aufgaben beschränkt bleiben und der überwiegende Teil der Produktions-Workloads von Open-Weight-Modellen bedient werde; Microsoft-CEO Satya Nadella warnt vor Single-Provider-Abhängigkeit und fordert Datenhoheit für Unternehmen. Für die Rohstoff-Analogie folgt daraus eine spezifisch europäische Implikation: Die Verlagerung der produktiven Nutzung in Richtung Open-Weight-Modelle verringert die strukturelle Import-Abhängigkeit Deutschlands und der EU von den US-Frontier-Anbietern, ohne die Rohstoff-Konzentration bei Compute-Hardware, Trainings-Kapazitäten und Talent-Basis aufzuheben; für die in § 8.3 skizzierten Zugriffspfade (Wertschöpfungsabgabe, Digitalabgabe, Datenrenten) bedeutet die Verschiebung, dass ein wachsender Teil der inländischen KI-Wertschöpfung an frei verfügbaren Modell-Substraten ansetzt — mit entsprechend robusterer Verfügbarkeit gegenüber US-Export­kontrollen (vgl. Fable-5-Episode, § 4.5), aber zugleich verminderter direkter Abschöpfungs­fläche über Anbieter-Umsätze. Die Veredelungs­strategie (unten) gewinnt damit zusätzlich an Plausibilität: Nicht der Zugriff auf die Frontier, sondern die branchen- und daten­spezifische Anreicherung offener Basismodelle wird zum operativen Kern einer deutschen KI-Wertschöpfung.</w:t>
      </w:r>
    </w:p>
    <w:p>
      <w:pPr>
        <w:jc w:val="both"/>
      </w:pPr>
      <w:r>
        <w:rPr>
          <w:rFonts w:ascii="Arial" w:hAnsi="Arial"/>
          <w:b w:val="0"/>
          <w:i w:val="0"/>
          <w:sz w:val="19"/>
        </w:rPr>
        <w:t xml:space="preserve">Diese Marktverlagerungs-These wird durch die am 16. Juli 2026 vollzogene Freigabe von </w:t>
      </w:r>
      <w:r>
        <w:rPr>
          <w:rFonts w:ascii="Arial" w:hAnsi="Arial"/>
          <w:b w:val="0"/>
          <w:i/>
          <w:sz w:val="19"/>
        </w:rPr>
        <w:t>Kimi K3</w:t>
      </w:r>
      <w:r>
        <w:rPr>
          <w:rFonts w:ascii="Arial" w:hAnsi="Arial"/>
          <w:b w:val="0"/>
          <w:i w:val="0"/>
          <w:sz w:val="19"/>
        </w:rPr>
        <w:t xml:space="preserve"> durch das chinesische Unternehmen </w:t>
      </w:r>
      <w:r>
        <w:rPr>
          <w:rFonts w:ascii="Arial" w:hAnsi="Arial"/>
          <w:b w:val="0"/>
          <w:i/>
          <w:sz w:val="19"/>
        </w:rPr>
        <w:t>Moonshot AI</w:t>
      </w:r>
      <w:r>
        <w:rPr>
          <w:rFonts w:ascii="Arial" w:hAnsi="Arial"/>
          <w:b w:val="0"/>
          <w:i w:val="0"/>
          <w:sz w:val="19"/>
        </w:rPr>
        <w:t xml:space="preserve"> (Peking) auf einer weiteren Ebene bestätigt und zugleich präzisiert (VentureBeat, Fortune, TechCrunch, People's Daily, Warp2Search, MLQ News, The Decoder, Simon Willison): </w:t>
      </w:r>
      <w:r>
        <w:rPr>
          <w:rFonts w:ascii="Arial" w:hAnsi="Arial"/>
          <w:b w:val="0"/>
          <w:i/>
          <w:sz w:val="19"/>
        </w:rPr>
        <w:t>Kimi K3</w:t>
      </w:r>
      <w:r>
        <w:rPr>
          <w:rFonts w:ascii="Arial" w:hAnsi="Arial"/>
          <w:b w:val="0"/>
          <w:i w:val="0"/>
          <w:sz w:val="19"/>
        </w:rPr>
        <w:t xml:space="preserve"> wird als „first open 3-trillion-parameter-class AI model" mit rund 2,8 Billionen Gesamtparametern in einer Mixture-of-Experts-Architektur vorgestellt und ist damit nach Angaben der Berichterstattung das bisher größte offen zugängliche Modell überhaupt; ein Kontextfenster von einer Million Token, native Bildverarbeitung und zwei Modellvarianten (</w:t>
      </w:r>
      <w:r>
        <w:rPr>
          <w:rFonts w:ascii="Arial" w:hAnsi="Arial"/>
          <w:b w:val="0"/>
          <w:i/>
          <w:sz w:val="19"/>
        </w:rPr>
        <w:t>K3 Max</w:t>
      </w:r>
      <w:r>
        <w:rPr>
          <w:rFonts w:ascii="Arial" w:hAnsi="Arial"/>
          <w:b w:val="0"/>
          <w:i w:val="0"/>
          <w:sz w:val="19"/>
        </w:rPr>
        <w:t xml:space="preserve"> für Chat- und Agent-Aufgaben; </w:t>
      </w:r>
      <w:r>
        <w:rPr>
          <w:rFonts w:ascii="Arial" w:hAnsi="Arial"/>
          <w:b w:val="0"/>
          <w:i/>
          <w:sz w:val="19"/>
        </w:rPr>
        <w:t>K3 Swarm Max</w:t>
      </w:r>
      <w:r>
        <w:rPr>
          <w:rFonts w:ascii="Arial" w:hAnsi="Arial"/>
          <w:b w:val="0"/>
          <w:i w:val="0"/>
          <w:sz w:val="19"/>
        </w:rPr>
        <w:t xml:space="preserve"> für hoch-parallele Verarbeitung) begleiten den Launch, wobei die vollständige </w:t>
      </w:r>
      <w:r>
        <w:rPr>
          <w:rFonts w:ascii="Arial" w:hAnsi="Arial"/>
          <w:b w:val="0"/>
          <w:i/>
          <w:sz w:val="19"/>
        </w:rPr>
        <w:t>Open-Weight</w:t>
      </w:r>
      <w:r>
        <w:rPr>
          <w:rFonts w:ascii="Arial" w:hAnsi="Arial"/>
          <w:b w:val="0"/>
          <w:i w:val="0"/>
          <w:sz w:val="19"/>
        </w:rPr>
        <w:t xml:space="preserve">-Veröffentlichung für den 27. Juli 2026 angekündigt ist. Im </w:t>
      </w:r>
      <w:r>
        <w:rPr>
          <w:rFonts w:ascii="Arial" w:hAnsi="Arial"/>
          <w:b w:val="0"/>
          <w:i/>
          <w:sz w:val="19"/>
        </w:rPr>
        <w:t>Artificial-Analysis-Intelligence-Index</w:t>
      </w:r>
      <w:r>
        <w:rPr>
          <w:rFonts w:ascii="Arial" w:hAnsi="Arial"/>
          <w:b w:val="0"/>
          <w:i w:val="0"/>
          <w:sz w:val="19"/>
        </w:rPr>
        <w:t xml:space="preserve"> erreicht </w:t>
      </w:r>
      <w:r>
        <w:rPr>
          <w:rFonts w:ascii="Arial" w:hAnsi="Arial"/>
          <w:b w:val="0"/>
          <w:i/>
          <w:sz w:val="19"/>
        </w:rPr>
        <w:t>Kimi K3</w:t>
      </w:r>
      <w:r>
        <w:rPr>
          <w:rFonts w:ascii="Arial" w:hAnsi="Arial"/>
          <w:b w:val="0"/>
          <w:i w:val="0"/>
          <w:sz w:val="19"/>
        </w:rPr>
        <w:t xml:space="preserve"> nach unabhängiger Messung 57 Punkte und rangiert damit auf Platz 4 knapp über </w:t>
      </w:r>
      <w:r>
        <w:rPr>
          <w:rFonts w:ascii="Arial" w:hAnsi="Arial"/>
          <w:b w:val="0"/>
          <w:i/>
          <w:sz w:val="19"/>
        </w:rPr>
        <w:t>Claude Opus 4.8</w:t>
      </w:r>
      <w:r>
        <w:rPr>
          <w:rFonts w:ascii="Arial" w:hAnsi="Arial"/>
          <w:b w:val="0"/>
          <w:i w:val="0"/>
          <w:sz w:val="19"/>
        </w:rPr>
        <w:t xml:space="preserve"> (56), aber weiterhin unter </w:t>
      </w:r>
      <w:r>
        <w:rPr>
          <w:rFonts w:ascii="Arial" w:hAnsi="Arial"/>
          <w:b w:val="0"/>
          <w:i/>
          <w:sz w:val="19"/>
        </w:rPr>
        <w:t>OpenAI GPT-5.6 Sol</w:t>
      </w:r>
      <w:r>
        <w:rPr>
          <w:rFonts w:ascii="Arial" w:hAnsi="Arial"/>
          <w:b w:val="0"/>
          <w:i w:val="0"/>
          <w:sz w:val="19"/>
        </w:rPr>
        <w:t xml:space="preserve"> (58,9) und </w:t>
      </w:r>
      <w:r>
        <w:rPr>
          <w:rFonts w:ascii="Arial" w:hAnsi="Arial"/>
          <w:b w:val="0"/>
          <w:i/>
          <w:sz w:val="19"/>
        </w:rPr>
        <w:t>Claude Fable 5</w:t>
      </w:r>
      <w:r>
        <w:rPr>
          <w:rFonts w:ascii="Arial" w:hAnsi="Arial"/>
          <w:b w:val="0"/>
          <w:i w:val="0"/>
          <w:sz w:val="19"/>
        </w:rPr>
        <w:t xml:space="preserve"> (59,9). Ökonomisch bemerkenswert ist die Preissetzung: </w:t>
      </w:r>
      <w:r>
        <w:rPr>
          <w:rFonts w:ascii="Arial" w:hAnsi="Arial"/>
          <w:b w:val="0"/>
          <w:i/>
          <w:sz w:val="19"/>
        </w:rPr>
        <w:t>Moonshot AI</w:t>
      </w:r>
      <w:r>
        <w:rPr>
          <w:rFonts w:ascii="Arial" w:hAnsi="Arial"/>
          <w:b w:val="0"/>
          <w:i w:val="0"/>
          <w:sz w:val="19"/>
        </w:rPr>
        <w:t xml:space="preserve"> verlangt für die API-Nutzung 3 US-Dollar pro Million Input- und 15 US-Dollar pro Million Output-Token (Cache-Read 0,30 US-Dollar), womit die Sätze dem Standardpreis von </w:t>
      </w:r>
      <w:r>
        <w:rPr>
          <w:rFonts w:ascii="Arial" w:hAnsi="Arial"/>
          <w:b w:val="0"/>
          <w:i/>
          <w:sz w:val="19"/>
        </w:rPr>
        <w:t>Claude Sonnet 5</w:t>
      </w:r>
      <w:r>
        <w:rPr>
          <w:rFonts w:ascii="Arial" w:hAnsi="Arial"/>
          <w:b w:val="0"/>
          <w:i w:val="0"/>
          <w:sz w:val="19"/>
        </w:rPr>
        <w:t xml:space="preserve"> entsprechen und deutlich über den Preispunkten früherer chinesischer Open-Weight-Anbieter (</w:t>
      </w:r>
      <w:r>
        <w:rPr>
          <w:rFonts w:ascii="Arial" w:hAnsi="Arial"/>
          <w:b w:val="0"/>
          <w:i/>
          <w:sz w:val="19"/>
        </w:rPr>
        <w:t>DeepSeek</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liegen; </w:t>
      </w:r>
      <w:r>
        <w:rPr>
          <w:rFonts w:ascii="Arial" w:hAnsi="Arial"/>
          <w:b w:val="0"/>
          <w:i/>
          <w:sz w:val="19"/>
        </w:rPr>
        <w:t>The Decoder</w:t>
      </w:r>
      <w:r>
        <w:rPr>
          <w:rFonts w:ascii="Arial" w:hAnsi="Arial"/>
          <w:b w:val="0"/>
          <w:i w:val="0"/>
          <w:sz w:val="19"/>
        </w:rPr>
        <w:t xml:space="preserve"> fasst die Preispunkte in der Formulierung „signaling the end of super cheap Chinese AI" zusammen. Für die in diesem Kapitel geführte Rohstoff-Analogie sind zwei Implikationen hervorzuheben: Erstens bestätigt der Vorgang, dass die Open-Weight-Verlagerung nicht mehr allein durch Preisunterbietung, sondern zunehmend auch durch Kapazitätsführerschaft auf einer Ebene erfolgt, die bislang den US-Frontier-Anbietern vorbehalten war — was die europäische Veredelungs­logik (unten) auf einer breiteren Modellbasis abstützt. Zweitens setzt die Preis-Konvergenz chinesischer Anbieter Richtung US-Workhorse-Niveau die in § 8.2 dokumentierte deflationäre Dynamik einer Grenze aus: Solange die Trainings- und Compute-Kosten weiter steigen, ist die scheinbar unbegrenzte Preisdeflation an der Inferenzfront eine Funktion der Wettbewerbsintensität, nicht der Produktionskosten — ein weiterer Grund, warum § 8.3 die stabilere Anknüpfung an inländische Wertschöpfung anstelle importbezogener Umsatz-Erfassung präferiert. Für die Deutschland-These (§ 8.3) folgt daraus, dass die Open-Weight-Zugriffspfade auf inländische KI-Wertschöpfung zwar an Substanz gewinnen, sich aber nicht länger auf eine dauerhaft günstige Import-Ökonomie chinesischer Modelle verlassen können.</w:t>
      </w:r>
    </w:p>
    <w:p>
      <w:pPr>
        <w:jc w:val="both"/>
      </w:pPr>
      <w:r>
        <w:rPr>
          <w:rFonts w:ascii="Arial" w:hAnsi="Arial"/>
          <w:b w:val="0"/>
          <w:i w:val="0"/>
          <w:sz w:val="19"/>
        </w:rPr>
        <w:t xml:space="preserve">Zeitlich parallel zur GPT-5.6-Freigabe (9. Juli 2026) hat Meta über </w:t>
      </w:r>
      <w:r>
        <w:rPr>
          <w:rFonts w:ascii="Arial" w:hAnsi="Arial"/>
          <w:b w:val="0"/>
          <w:i/>
          <w:sz w:val="19"/>
        </w:rPr>
        <w:t>Meta Superintelligence Labs</w:t>
      </w:r>
      <w:r>
        <w:rPr>
          <w:rFonts w:ascii="Arial" w:hAnsi="Arial"/>
          <w:b w:val="0"/>
          <w:i w:val="0"/>
          <w:sz w:val="19"/>
        </w:rPr>
        <w:t xml:space="preserve"> das agentische Multimodalmodell </w:t>
      </w:r>
      <w:r>
        <w:rPr>
          <w:rFonts w:ascii="Arial" w:hAnsi="Arial"/>
          <w:b w:val="0"/>
          <w:i/>
          <w:sz w:val="19"/>
        </w:rPr>
        <w:t>Muse Spark 1.1</w:t>
      </w:r>
      <w:r>
        <w:rPr>
          <w:rFonts w:ascii="Arial" w:hAnsi="Arial"/>
          <w:b w:val="0"/>
          <w:i w:val="0"/>
          <w:sz w:val="19"/>
        </w:rPr>
        <w:t xml:space="preserve"> über eine kostenpflichtige </w:t>
      </w:r>
      <w:r>
        <w:rPr>
          <w:rFonts w:ascii="Arial" w:hAnsi="Arial"/>
          <w:b w:val="0"/>
          <w:i/>
          <w:sz w:val="19"/>
        </w:rPr>
        <w:t>Meta Model API</w:t>
      </w:r>
      <w:r>
        <w:rPr>
          <w:rFonts w:ascii="Arial" w:hAnsi="Arial"/>
          <w:b w:val="0"/>
          <w:i w:val="0"/>
          <w:sz w:val="19"/>
        </w:rPr>
        <w:t xml:space="preserve"> freigegeben (Fortune, CNBC, TechCrunch, Datacamp, AI Weekly, Storyboard18): Kontextfenster 1 Million Token, aktives Kontextmanagement, spezifische Fortschritte in Werkzeug- und Rechnerbedienung, Programmieren und multimodalem Verständnis. Der Einstiegspreis liegt bei 1,25 US-Dollar pro Million Input-Token und 4,25 US-Dollar pro Million Output-Token — nach Berichterstattung von TechTimes und Quartz rund ein Viertel bis ein Drittel des vergleichbaren Anthropic-/OpenAI-Preisniveaus (Anthropic </w:t>
      </w:r>
      <w:r>
        <w:rPr>
          <w:rFonts w:ascii="Arial" w:hAnsi="Arial"/>
          <w:b w:val="0"/>
          <w:i/>
          <w:sz w:val="19"/>
        </w:rPr>
        <w:t>Claude Sonnet 5</w:t>
      </w:r>
      <w:r>
        <w:rPr>
          <w:rFonts w:ascii="Arial" w:hAnsi="Arial"/>
          <w:b w:val="0"/>
          <w:i w:val="0"/>
          <w:sz w:val="19"/>
        </w:rPr>
        <w:t xml:space="preserve"> 2/10 US-Dollar Einführungspreis, OpenAI </w:t>
      </w:r>
      <w:r>
        <w:rPr>
          <w:rFonts w:ascii="Arial" w:hAnsi="Arial"/>
          <w:b w:val="0"/>
          <w:i/>
          <w:sz w:val="19"/>
        </w:rPr>
        <w:t>GPT-5.6 Sol</w:t>
      </w:r>
      <w:r>
        <w:rPr>
          <w:rFonts w:ascii="Arial" w:hAnsi="Arial"/>
          <w:b w:val="0"/>
          <w:i w:val="0"/>
          <w:sz w:val="19"/>
        </w:rPr>
        <w:t xml:space="preserve"> 5/30 US-Dollar). Fortune ordnet den Vorstoß in eine breitere KI-Beschleunigung unter Alexandr Wang ein, TechCrunch verweist auf die Positionierung als Herausforderer im agentischen Programmier-Segment. Für die in diesem Kapitel geführte Diskussion ist der Vorgang in doppelter Hinsicht relevant: Er bestätigt die Preis­deflation an der Inferenzfront auf einer weiteren Modellstufe und verdichtet die Angebotsseite an der US-Frontier — mit zusätzlicher struktureller Symmetrie zwischen Personalabbau (Meta-Streichungen 20. Mai 2026, § 1.1) und paralleler Modell- und Compute-Offensive (Chip-Produktion September 2026, § 8.2) —, ohne die geografische Konzentration der Basismodellproduktion aufzuheben. Für die in § 8.3 skizzierten Zugriffspfade auf inländische KI-Wertschöpfung schreibt sich damit das Muster fort, dass die im Inland realisierte Wertschöpfung an die Verfügbarkeit dieser Modelle gekoppelt bleibt und dieselben Robustheits­anforderungen (Fable-5-Episode, § 4.5) auch für die neu hinzutretenden Anbieter greifen.</w:t>
      </w:r>
    </w:p>
    <w:p>
      <w:pPr>
        <w:jc w:val="both"/>
      </w:pPr>
      <w:r>
        <w:rPr>
          <w:rFonts w:ascii="Arial" w:hAnsi="Arial"/>
          <w:b w:val="0"/>
          <w:i w:val="0"/>
          <w:sz w:val="19"/>
        </w:rPr>
        <w:t xml:space="preserve">Zugleich verdichtet sich die Custom-Silicon-Achse der Frontier-Anbieter zu einer eigenständigen Rohstoff­konzentrations­ebene, die nach der Berichterstattung von </w:t>
      </w:r>
      <w:r>
        <w:rPr>
          <w:rFonts w:ascii="Arial" w:hAnsi="Arial"/>
          <w:b w:val="0"/>
          <w:i/>
          <w:sz w:val="19"/>
        </w:rPr>
        <w:t>TechTimes</w:t>
      </w:r>
      <w:r>
        <w:rPr>
          <w:rFonts w:ascii="Arial" w:hAnsi="Arial"/>
          <w:b w:val="0"/>
          <w:i w:val="0"/>
          <w:sz w:val="19"/>
        </w:rPr>
        <w:t xml:space="preserve"> (17. Juli 2026, aufgenommen von </w:t>
      </w:r>
      <w:r>
        <w:rPr>
          <w:rFonts w:ascii="Arial" w:hAnsi="Arial"/>
          <w:b w:val="0"/>
          <w:i/>
          <w:sz w:val="19"/>
        </w:rPr>
        <w:t>Yahoo Finance</w:t>
      </w:r>
      <w:r>
        <w:rPr>
          <w:rFonts w:ascii="Arial" w:hAnsi="Arial"/>
          <w:b w:val="0"/>
          <w:i w:val="0"/>
          <w:sz w:val="19"/>
        </w:rPr>
        <w:t xml:space="preserve"> und </w:t>
      </w:r>
      <w:r>
        <w:rPr>
          <w:rFonts w:ascii="Arial" w:hAnsi="Arial"/>
          <w:b w:val="0"/>
          <w:i/>
          <w:sz w:val="19"/>
        </w:rPr>
        <w:t>The Motley Fool</w:t>
      </w:r>
      <w:r>
        <w:rPr>
          <w:rFonts w:ascii="Arial" w:hAnsi="Arial"/>
          <w:b w:val="0"/>
          <w:i w:val="0"/>
          <w:sz w:val="19"/>
        </w:rPr>
        <w:t xml:space="preserve">) und ergänzenden Angaben aus </w:t>
      </w:r>
      <w:r>
        <w:rPr>
          <w:rFonts w:ascii="Arial" w:hAnsi="Arial"/>
          <w:b w:val="0"/>
          <w:i/>
          <w:sz w:val="19"/>
        </w:rPr>
        <w:t>Reuters</w:t>
      </w:r>
      <w:r>
        <w:rPr>
          <w:rFonts w:ascii="Arial" w:hAnsi="Arial"/>
          <w:b w:val="0"/>
          <w:i w:val="0"/>
          <w:sz w:val="19"/>
        </w:rPr>
        <w:t xml:space="preserve"> eine bemerkenswerte Design­partner-Konzentration aufweist: Das im März 2026 als </w:t>
      </w:r>
      <w:r>
        <w:rPr>
          <w:rFonts w:ascii="Arial" w:hAnsi="Arial"/>
          <w:b w:val="0"/>
          <w:i/>
          <w:sz w:val="19"/>
        </w:rPr>
        <w:t>V3 Iris</w:t>
      </w:r>
      <w:r>
        <w:rPr>
          <w:rFonts w:ascii="Arial" w:hAnsi="Arial"/>
          <w:b w:val="0"/>
          <w:i w:val="0"/>
          <w:sz w:val="19"/>
        </w:rPr>
        <w:t xml:space="preserve"> öffentlich vorgestellte </w:t>
      </w:r>
      <w:r>
        <w:rPr>
          <w:rFonts w:ascii="Arial" w:hAnsi="Arial"/>
          <w:b w:val="0"/>
          <w:i/>
          <w:sz w:val="19"/>
        </w:rPr>
        <w:t>MTIA-Meta-Training-and-Inference-Accelerator</w:t>
      </w:r>
      <w:r>
        <w:rPr>
          <w:rFonts w:ascii="Arial" w:hAnsi="Arial"/>
          <w:b w:val="0"/>
          <w:i w:val="0"/>
          <w:sz w:val="19"/>
        </w:rPr>
        <w:t xml:space="preserve">-Modell hat nach dem intern reviewten Reuters-Memo (aufgegriffen unter anderem durch CNBC am 9. Juli 2026, DataCenterDynamics und Yahoo Finance) die Bug-Testphase innerhalb von rund sechs Wochen ohne wesentliche Auffälligkeiten abgeschlossen; die Serienfertigung soll im September 2026 bei </w:t>
      </w:r>
      <w:r>
        <w:rPr>
          <w:rFonts w:ascii="Arial" w:hAnsi="Arial"/>
          <w:b w:val="0"/>
          <w:i/>
          <w:sz w:val="19"/>
        </w:rPr>
        <w:t>Taiwan Semiconductor Manufacturing Company</w:t>
      </w:r>
      <w:r>
        <w:rPr>
          <w:rFonts w:ascii="Arial" w:hAnsi="Arial"/>
          <w:b w:val="0"/>
          <w:i w:val="0"/>
          <w:sz w:val="19"/>
        </w:rPr>
        <w:t xml:space="preserve"> (TSMC) anlaufen. Design­partner ist </w:t>
      </w:r>
      <w:r>
        <w:rPr>
          <w:rFonts w:ascii="Arial" w:hAnsi="Arial"/>
          <w:b w:val="0"/>
          <w:i/>
          <w:sz w:val="19"/>
        </w:rPr>
        <w:t>Broadcom</w:t>
      </w:r>
      <w:r>
        <w:rPr>
          <w:rFonts w:ascii="Arial" w:hAnsi="Arial"/>
          <w:b w:val="0"/>
          <w:i w:val="0"/>
          <w:sz w:val="19"/>
        </w:rPr>
        <w:t>, das damit nach der TechTimes-Berichterstattung parallel Custom-ASICs für drei US-Frontier-Kunden entwirft —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 während </w:t>
      </w:r>
      <w:r>
        <w:rPr>
          <w:rFonts w:ascii="Arial" w:hAnsi="Arial"/>
          <w:b w:val="0"/>
          <w:i/>
          <w:sz w:val="19"/>
        </w:rPr>
        <w:t>Anthropic</w:t>
      </w:r>
      <w:r>
        <w:rPr>
          <w:rFonts w:ascii="Arial" w:hAnsi="Arial"/>
          <w:b w:val="0"/>
          <w:i w:val="0"/>
          <w:sz w:val="19"/>
        </w:rPr>
        <w:t xml:space="preserve"> nach der Bloomberg-/Information-Berichterstattung Anfang Juli 2026 mit </w:t>
      </w:r>
      <w:r>
        <w:rPr>
          <w:rFonts w:ascii="Arial" w:hAnsi="Arial"/>
          <w:b w:val="0"/>
          <w:i/>
          <w:sz w:val="19"/>
        </w:rPr>
        <w:t>Samsung Foundry</w:t>
      </w:r>
      <w:r>
        <w:rPr>
          <w:rFonts w:ascii="Arial" w:hAnsi="Arial"/>
          <w:b w:val="0"/>
          <w:i w:val="0"/>
          <w:sz w:val="19"/>
        </w:rPr>
        <w:t xml:space="preserve"> über einen 2-nm-Custom-Chip verhandelt und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sowie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Nach den in derselben Berichterstattung wiedergegebenen Aggregat­angaben kontrollieren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zusammen rund 95 % des Custom-AI-ASIC-Co-Design-Markts; </w:t>
      </w:r>
      <w:r>
        <w:rPr>
          <w:rFonts w:ascii="Arial" w:hAnsi="Arial"/>
          <w:b w:val="0"/>
          <w:i/>
          <w:sz w:val="19"/>
        </w:rPr>
        <w:t>Broadcom</w:t>
      </w:r>
      <w:r>
        <w:rPr>
          <w:rFonts w:ascii="Arial" w:hAnsi="Arial"/>
          <w:b w:val="0"/>
          <w:i w:val="0"/>
          <w:sz w:val="19"/>
        </w:rPr>
        <w:t xml:space="preserve"> meldet für das FY-2026-Q2 rund 10,8 Milliarden US-Dollar AI-Halbleiter-Umsatz (+143 % gegenüber dem Vorjahresquartal). Für die in diesem Kapitel geführte Rohstoff-Analogie ergänzt der Vorgang die geografische Compute-Konzentration um eine Design­partner-Konzentration: Ein einzelner US-Halbleiter­dienstleister entwirft die Custom-Inferenz-Silicon der drei wichtigsten Hyperscaler bei zugleich einer einzigen ausländischen Fertigung (TSMC), was die </w:t>
      </w:r>
      <w:r>
        <w:rPr>
          <w:rFonts w:ascii="Arial" w:hAnsi="Arial"/>
          <w:b w:val="0"/>
          <w:i/>
          <w:sz w:val="19"/>
        </w:rPr>
        <w:t>Kyber</w:t>
      </w:r>
      <w:r>
        <w:rPr>
          <w:rFonts w:ascii="Arial" w:hAnsi="Arial"/>
          <w:b w:val="0"/>
          <w:i w:val="0"/>
          <w:sz w:val="19"/>
        </w:rPr>
        <w:t>-Engpass-Beobachtung (§ 8.2, PCB-Midplane-Verzögerung) um einen strukturell gleichartigen Konzentrations­befund auf der Custom-ASIC-Ebene ergänzt. Für die Deutschland-These (§ 8.3) folgt daraus, dass die stabileren wertschöpfungs­bezogenen Zugriffe an inländischer Substanz gewinnen, während die Anknüpfung an Marktkapitalisierungen einzelner Frontier-Anbieter (Sanders-</w:t>
      </w:r>
      <w:r>
        <w:rPr>
          <w:rFonts w:ascii="Arial" w:hAnsi="Arial"/>
          <w:b w:val="0"/>
          <w:i/>
          <w:sz w:val="19"/>
        </w:rPr>
        <w:t>American A.I. Sovereign Wealth Fund Act</w:t>
      </w:r>
      <w:r>
        <w:rPr>
          <w:rFonts w:ascii="Arial" w:hAnsi="Arial"/>
          <w:b w:val="0"/>
          <w:i w:val="0"/>
          <w:sz w:val="19"/>
        </w:rPr>
        <w:t xml:space="preserve">) durch die Design-Konzentration bei </w:t>
      </w:r>
      <w:r>
        <w:rPr>
          <w:rFonts w:ascii="Arial" w:hAnsi="Arial"/>
          <w:b w:val="0"/>
          <w:i/>
          <w:sz w:val="19"/>
        </w:rPr>
        <w:t>Broadcom</w:t>
      </w:r>
      <w:r>
        <w:rPr>
          <w:rFonts w:ascii="Arial" w:hAnsi="Arial"/>
          <w:b w:val="0"/>
          <w:i w:val="0"/>
          <w:sz w:val="19"/>
        </w:rPr>
        <w:t xml:space="preserve"> eine zusätzliche Volatilitätsschicht erhält: Ein Kausalitätsschock in einer einzigen Design-Lieferkette kann die Frontier-Umsätze mehrerer Anbieter simultan berühren, was den bestandsbezogenen Zugriff zusätzlich fragilisiert.</w:t>
      </w:r>
    </w:p>
    <w:p>
      <w:pPr>
        <w:jc w:val="both"/>
      </w:pPr>
      <w:r>
        <w:rPr>
          <w:rFonts w:ascii="Arial" w:hAnsi="Arial"/>
          <w:b w:val="0"/>
          <w:i w:val="0"/>
          <w:sz w:val="19"/>
        </w:rPr>
        <w:t xml:space="preserve">Auf der Trainingsdaten-Ebene der KI-Wertschöpfungskette hat am 20. Juli 2026 US-Bezirksrichterin Araceli Martinez-Olguin am United States District Court for the Northern District of California nach dem altersbedingten Rückzug von Richter William Alsup den zwischen </w:t>
      </w:r>
      <w:r>
        <w:rPr>
          <w:rFonts w:ascii="Arial" w:hAnsi="Arial"/>
          <w:b w:val="0"/>
          <w:i/>
          <w:sz w:val="19"/>
        </w:rPr>
        <w:t>Anthropic</w:t>
      </w:r>
      <w:r>
        <w:rPr>
          <w:rFonts w:ascii="Arial" w:hAnsi="Arial"/>
          <w:b w:val="0"/>
          <w:i w:val="0"/>
          <w:sz w:val="19"/>
        </w:rPr>
        <w:t xml:space="preserve"> und einer Sammelklägergemeinschaft von Autorinnen, Autoren und Verlegern (Verfahrensname </w:t>
      </w:r>
      <w:r>
        <w:rPr>
          <w:rFonts w:ascii="Arial" w:hAnsi="Arial"/>
          <w:b w:val="0"/>
          <w:i/>
          <w:sz w:val="19"/>
        </w:rPr>
        <w:t>Bartz et al. v. Anthropic</w:t>
      </w:r>
      <w:r>
        <w:rPr>
          <w:rFonts w:ascii="Arial" w:hAnsi="Arial"/>
          <w:b w:val="0"/>
          <w:i w:val="0"/>
          <w:sz w:val="19"/>
        </w:rPr>
        <w:t>) ausgehandelten 1,5-Milliarden-Dollar-Vergleich endgültig genehmigt (TechCrunch, hothardware, Yahoo Finance, Publishers Weekly, TechTimes, Benzinga, Claims Journal). Nach übereinstimmender Berichterstattung handelt es sich um den größten Copyright-Vergleich in der US-Rechtsgeschichte: Rund 500.000 Werke von Autoren und Verlegern werden mit rund 3.000 US-Dollar pro Werk vergütet; der Vergleich schließt Objekt- und Verfahrensverzeichnis ohne rechtsbindende Präzedenzwirkung für andere Verfahren gegen KI-Anbieter ab. Der Streitgegenstand liegt nicht im KI-Training als solchem, sondern in der Beschaffungslogik: Richter Alsup hatte im Vorlauf entschieden, dass das Training auf legal erworbenen urheberrechtlich geschützten Texten unter die US-Fair-Use-Doktrin fällt, das systematische Herunterladen und Speichern von mehr als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hingegen nicht — Richterin Martinez-Olguin genehmigte den Vergleich nun trotz Einwendungen einzelner Klägerinnen und Kläger, denen die Zahlung zu gering erschien. Für die in diesem Kapitel geführte Rohstoff-Analogie und die Veredelungsstrategie der Deutschland-These sind zwei Implikationen zu markieren: Erstens etabliert der Vergleich einen ersten großmaßstäblichen monetären Referenzwert für die </w:t>
      </w:r>
      <w:r>
        <w:rPr>
          <w:rFonts w:ascii="Arial" w:hAnsi="Arial"/>
          <w:b w:val="0"/>
          <w:i/>
          <w:sz w:val="19"/>
        </w:rPr>
        <w:t>Trainingsdaten</w:t>
      </w:r>
      <w:r>
        <w:rPr>
          <w:rFonts w:ascii="Arial" w:hAnsi="Arial"/>
          <w:b w:val="0"/>
          <w:i w:val="0"/>
          <w:sz w:val="19"/>
        </w:rPr>
        <w:t xml:space="preserve">-Ebene der KI-Wertschöpfungskette (rund 3.000 US-Dollar pro Werk × 500.000 Werke ≈ 1,5 Milliarden US-Dollar) — ein Rechenzeichen, das die bislang zu weiten Teilen unentgoltene Rohstoffnutzung im generativen KI-Sektor erstmals in einer justiziablen Größenordnung sichtbar macht. Zweitens verläuft der Vergleich am </w:t>
      </w:r>
      <w:r>
        <w:rPr>
          <w:rFonts w:ascii="Arial" w:hAnsi="Arial"/>
          <w:b w:val="0"/>
          <w:i/>
          <w:sz w:val="19"/>
        </w:rPr>
        <w:t>Ort der Rohstoffproduktion</w:t>
      </w:r>
      <w:r>
        <w:rPr>
          <w:rFonts w:ascii="Arial" w:hAnsi="Arial"/>
          <w:b w:val="0"/>
          <w:i w:val="0"/>
          <w:sz w:val="19"/>
        </w:rPr>
        <w:t xml:space="preserve"> (Autorinnen, Autoren und Verlage) und nicht am </w:t>
      </w:r>
      <w:r>
        <w:rPr>
          <w:rFonts w:ascii="Arial" w:hAnsi="Arial"/>
          <w:b w:val="0"/>
          <w:i/>
          <w:sz w:val="19"/>
        </w:rPr>
        <w:t>Ort der Veredelungsrendite</w:t>
      </w:r>
      <w:r>
        <w:rPr>
          <w:rFonts w:ascii="Arial" w:hAnsi="Arial"/>
          <w:b w:val="0"/>
          <w:i w:val="0"/>
          <w:sz w:val="19"/>
        </w:rPr>
        <w:t xml:space="preserve"> (Frontier-Anbieter), wodurch die in § 8.3 formulierte Teilhabefonds-Logik einer öffentlich-institutionellen Beteiligung an der Veredelungsrendite konzeptionell ergänzt, nicht ersetzt wird: Zivilrechtliche Vergütungen an Rohstoffproduzenten und öffentlich-rechtliche Zugriffe auf Veredelungsrenten adressieren unterschiedliche Ebenen derselben Wertschöpfungskette. Ohne bindende Präzedenzwirkung entfaltet der Vergleich seine strukturelle Wirkung vor allem als Signalwert an die weiterhin anhängigen Sammelklagen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die dortigen wirtschaftlichen Größenordnungen bleiben zunächst offen, das monetäre Rechenzeichen — und die Trennung zwischen Trainings-Fair-Use einerseits und rechtswidriger Beschaffung andererseits — ist mit dem Vergleich vom 20. Juli 2026 nun gesetzt.</w:t>
      </w:r>
    </w:p>
    <w:p>
      <w:pPr>
        <w:jc w:val="both"/>
      </w:pPr>
      <w:r>
        <w:rPr>
          <w:rFonts w:ascii="Arial" w:hAnsi="Arial"/>
          <w:b w:val="0"/>
          <w:i w:val="0"/>
          <w:sz w:val="19"/>
        </w:rPr>
        <w:t xml:space="preserve">Auf der physisch-robotischen Ebene derselben Frontier-Capex-Achse verdichtete der </w:t>
      </w:r>
      <w:r>
        <w:rPr>
          <w:rFonts w:ascii="Arial" w:hAnsi="Arial"/>
          <w:b w:val="0"/>
          <w:i/>
          <w:sz w:val="19"/>
        </w:rPr>
        <w:t>Tesla</w:t>
      </w:r>
      <w:r>
        <w:rPr>
          <w:rFonts w:ascii="Arial" w:hAnsi="Arial"/>
          <w:b w:val="0"/>
          <w:i w:val="0"/>
          <w:sz w:val="19"/>
        </w:rPr>
        <w:t xml:space="preserve">-Q2-2026-Earnings-Call am 22. Juli 2026 (Ankündigungsberichterstattung: Seeking Alpha, MarketScreener, CNBC, Not-a-Tesla-App, Yahoo Finance, BigGo Finance) das bislang offene Kapitel humanoider Produktionsrobotik: Tesla hat den ursprünglichen </w:t>
      </w:r>
      <w:r>
        <w:rPr>
          <w:rFonts w:ascii="Arial" w:hAnsi="Arial"/>
          <w:b w:val="0"/>
          <w:i/>
          <w:sz w:val="19"/>
        </w:rPr>
        <w:t>Model-S</w:t>
      </w:r>
      <w:r>
        <w:rPr>
          <w:rFonts w:ascii="Arial" w:hAnsi="Arial"/>
          <w:b w:val="0"/>
          <w:i w:val="0"/>
          <w:sz w:val="19"/>
        </w:rPr>
        <w:t>/</w:t>
      </w:r>
      <w:r>
        <w:rPr>
          <w:rFonts w:ascii="Arial" w:hAnsi="Arial"/>
          <w:b w:val="0"/>
          <w:i/>
          <w:sz w:val="19"/>
        </w:rPr>
        <w:t>Model-X</w:t>
      </w:r>
      <w:r>
        <w:rPr>
          <w:rFonts w:ascii="Arial" w:hAnsi="Arial"/>
          <w:b w:val="0"/>
          <w:i w:val="0"/>
          <w:sz w:val="19"/>
        </w:rPr>
        <w:t xml:space="preserve">-Montagelinien-Abbau in Fremont innerhalb von rund 46 Tagen abgeschlossen und danach die </w:t>
      </w:r>
      <w:r>
        <w:rPr>
          <w:rFonts w:ascii="Arial" w:hAnsi="Arial"/>
          <w:b w:val="0"/>
          <w:i/>
          <w:sz w:val="19"/>
        </w:rPr>
        <w:t>Optimus-Gen-3</w:t>
      </w:r>
      <w:r>
        <w:rPr>
          <w:rFonts w:ascii="Arial" w:hAnsi="Arial"/>
          <w:b w:val="0"/>
          <w:i w:val="0"/>
          <w:sz w:val="19"/>
        </w:rPr>
        <w:t xml:space="preserve">-Erstproduktionslinien installiert; die eigentliche Produktion soll nach den Konzernangaben zeitnah — bei Musk konjunktivisch: „start production soon" — anlaufen. Die Erstlinie sei nach Konzernangaben langfristig auf eine Jahres­kapazität von bis zu einer Million Roboter ausgelegt, die tatsächliche Anlaufphase werde jedoch nach Musks eigener Diagnose „quite flat and long" ausfallen — begründet mit rund 10.000 unikalen Bauteilen ohne bestehende Zulieferkette und der Selbst­einordnung als „hardest product to scale manufacturing that we've ever made at Tesla, because everything on the robot is new". Erste Roboter würden ausdrücklich zur Trainings­datensammlung und Funktions­weiter­entwicklung eingesetzt, nicht an Kunden ausgeliefert; parallel verhandelt Tesla mit Samsung und TSMC über die AI-Compute-Zulieferung für Optimus und </w:t>
      </w:r>
      <w:r>
        <w:rPr>
          <w:rFonts w:ascii="Arial" w:hAnsi="Arial"/>
          <w:b w:val="0"/>
          <w:i/>
          <w:sz w:val="19"/>
        </w:rPr>
        <w:t>Robotaxi</w:t>
      </w:r>
      <w:r>
        <w:rPr>
          <w:rFonts w:ascii="Arial" w:hAnsi="Arial"/>
          <w:b w:val="0"/>
          <w:i w:val="0"/>
          <w:sz w:val="19"/>
        </w:rPr>
        <w:t xml:space="preserve">, und Musk kündigte den Standort­auswahl-Abschluss für einen als „Terafab" bezeichneten Optimus-/AI-Fertigungs-Großstandort in absehbarer Zeit an. Ökonomisch flankiert wird der Vorgang durch eine bestätigte Full-Year-Capex-Guidance von über 25 Milliarden US-Dollar für 2026 (in Verbindung mit einer neu gesicherten 30-Milliarden-US-Dollar-Fremdfinanzierungslinie), einen im zweiten Quartal auf −1,1 Milliarden US-Dollar gedrehten Free Cashflow sowie eine parallele Robotaxi-Ausweitung auf sieben US-Metropolregionen mit rund 380.000 unbeaufsichtigten Meilen ohne meldepflichtige Vorfälle bei rund 1,5 Millionen FSD-Abonnenten. Für die Rohstoff-Analogie ist der Vorgang insofern instruktiv, als er die in § 8.2 bereits dokumentierte Compute- und Silicon-Design-Konzentration um eine im Aufbau befindliche </w:t>
      </w:r>
      <w:r>
        <w:rPr>
          <w:rFonts w:ascii="Arial" w:hAnsi="Arial"/>
          <w:b w:val="0"/>
          <w:i/>
          <w:sz w:val="19"/>
        </w:rPr>
        <w:t>physisch-robotische</w:t>
      </w:r>
      <w:r>
        <w:rPr>
          <w:rFonts w:ascii="Arial" w:hAnsi="Arial"/>
          <w:b w:val="0"/>
          <w:i w:val="0"/>
          <w:sz w:val="19"/>
        </w:rPr>
        <w:t xml:space="preserve"> Wertschöpfungs­schicht ergänzt: Wenn die im Konzernstatement genannte Kapazitätsprojektion (Ein-Millionen-Jahres-Line-Kapazität) und der Gen-3-Fremont-24/7-Zellendauereinsatz mittelfristig realisiert werden, entsteht am oberen Ende der KI-Wertschöpfungskette eine weitere geographisch stark konzentrierte Kapital­schicht (Fremont, avisierte Terafab) mit derselben Design-Partner-Konzentration (Samsung, TSMC, Broadcom) wie im Custom-Silicon-Segment — und für die Deutschland-These (§ 8.3) folgt daraus, dass die inländisch verfügbaren Anknüpfungspunkte für eine Teilhabe­abgabe im Physisch-KI-Segment schneller enger werden als in der klassischen Industrierobotik (Fanuc, KUKA, ABB), weil die Wertschöpfung im humanoiden Segment vom Zeitpunkt der Serienfertigung an mit der ausländischen Basismodell- und Chip-Produktion gekoppelt bleibt.</w:t>
      </w:r>
    </w:p>
    <w:p>
      <w:pPr>
        <w:jc w:val="both"/>
      </w:pPr>
      <w:r>
        <w:rPr>
          <w:rFonts w:ascii="Arial" w:hAnsi="Arial"/>
          <w:b w:val="0"/>
          <w:i w:val="0"/>
          <w:sz w:val="19"/>
        </w:rPr>
        <w:t xml:space="preserve">Auf der Umsatz- und Capex-Seite verdichten zwei parallel vorgelegte Hyperscaler-Zahlenwerke aus dem 48-Stunden-Fenster (22./23. Juli 2026) die in diesem Kapitel entwickelte Rohstoff-Analogie weiter — nicht nur, weil die absolute Größenordnung der Kapitalausgaben erneut steigt, sondern weil die Nachfrageseite die Anbieterseite laut Konzernangaben ihrerseits nicht bedienen kann. </w:t>
      </w:r>
      <w:r>
        <w:rPr>
          <w:rFonts w:ascii="Arial" w:hAnsi="Arial"/>
          <w:b w:val="0"/>
          <w:i/>
          <w:sz w:val="19"/>
        </w:rPr>
        <w:t>Alphabet</w:t>
      </w:r>
      <w:r>
        <w:rPr>
          <w:rFonts w:ascii="Arial" w:hAnsi="Arial"/>
          <w:b w:val="0"/>
          <w:i w:val="0"/>
          <w:sz w:val="19"/>
        </w:rPr>
        <w:t xml:space="preserve"> meldet für das zweite Quartal 2026 einen Konzernumsatz von 119,8 Milliarden US-Dollar (+24 % gegenüber Vorjahr) und einen Google-Cloud-Umsatz von 24,8 Milliarden US-Dollar (+82 %) bei einem Auftragsbestand von 514 Milliarden US-Dollar; CEO Sundar Pichai konjunktiviert, „existierende Kunden überträfen ihre Verpflichtungen um mehr als 50 %" — eine Formulierung, die die im Kapitel referierte Rohstoff-Analogie um eine mengenmäßige Nachfrage­überhitzung ergänzt. Die Full-Year-Capex-Guidance 2026 wird von zuvor 180 bis 190 Milliarden US-Dollar auf 195 bis 205 Milliarden US-Dollar angehoben — allein Alphabet erhöht damit die im Kapitel 1.1 referierte Q1-Konsens-Größenordnung des Hyperscaler-Capex (rund 130,65 Milliarden US-Dollar) auf Konzernebene um rund 15 Milliarden US-Dollar in einem Quartal; die Q2-Kapitalausgaben liegen bei 44,9 Milliarden US-Dollar (Q1 2026: 36 Milliarden US-Dollar), der Free Cashflow dreht auf −5,9 Milliarden US-Dollar (erstmals negativ seit rund zehn Jahren), rund 60 % der Capex fließen in Server, 40 % in Rechenzentren und Netzwerk. Spiegelbildlich meldet </w:t>
      </w:r>
      <w:r>
        <w:rPr>
          <w:rFonts w:ascii="Arial" w:hAnsi="Arial"/>
          <w:b w:val="0"/>
          <w:i/>
          <w:sz w:val="19"/>
        </w:rPr>
        <w:t>Intel</w:t>
      </w:r>
      <w:r>
        <w:rPr>
          <w:rFonts w:ascii="Arial" w:hAnsi="Arial"/>
          <w:b w:val="0"/>
          <w:i w:val="0"/>
          <w:sz w:val="19"/>
        </w:rPr>
        <w:t xml:space="preserve"> am 23. Juli 2026 für das Data-Center-und-AI-Segment (</w:t>
      </w:r>
      <w:r>
        <w:rPr>
          <w:rFonts w:ascii="Arial" w:hAnsi="Arial"/>
          <w:b w:val="0"/>
          <w:i/>
          <w:sz w:val="19"/>
        </w:rPr>
        <w:t>DCAI</w:t>
      </w:r>
      <w:r>
        <w:rPr>
          <w:rFonts w:ascii="Arial" w:hAnsi="Arial"/>
          <w:b w:val="0"/>
          <w:i w:val="0"/>
          <w:sz w:val="19"/>
        </w:rPr>
        <w:t xml:space="preserve">) ein Umsatzplus von 59 % auf 6,3 Milliarden US-Dollar und den stärksten Konzern­quartalszuwachs seit über 15 Jahren (16,1 Milliarden US-Dollar Gesamtumsatz, +25 %) und konjunktiviert, „AI-driven compute continues to strengthen"; die Full-Year-Capex-Guidance 2026 wird von rund 17 auf über 20 Milliarden US-Dollar angehoben, 2027 werde die Kapitalausgabe „signifikant über 2026" liegen — parallel meldet der Konzern, die vorliegenden Bestellungen für Server-Produkte „nicht vollständig erfüllen zu können". Für die in diesem Kapitel geführte Rohstoff-Analogie sind vier Implikationen zu markieren: Erstens verstärkt die neue Alphabet-Capex-Guidance die geographische Compute-Konzentrations-These um einen weiteren aggregierten Nachweis eines strukturell nicht-bedienbaren Nachfrageüberhangs auf der Cloud-Rohstoff-Ebene; die Analogie zu klassischen Rohstoffmärkten mit Nachfrageüberhitzung und mehrjährigen Investitionsvorlaufzeiten wird empirisch belastbarer. Zweitens illustriert die Intel-Meldung „cannot fulfill all customer orders" die zeitliche Rigidität der Rohstoff-Seite: Anders als in einer klassischen Kapitaltheorie mit gleichgewichtiger Marktreaktion sind die kurzfristigen Anbieter­kapazitäten für Server-Silicon, Fertigungs­tools und </w:t>
      </w:r>
      <w:r>
        <w:rPr>
          <w:rFonts w:ascii="Arial" w:hAnsi="Arial"/>
          <w:b w:val="0"/>
          <w:i/>
          <w:sz w:val="19"/>
        </w:rPr>
        <w:t>clean room space</w:t>
      </w:r>
      <w:r>
        <w:rPr>
          <w:rFonts w:ascii="Arial" w:hAnsi="Arial"/>
          <w:b w:val="0"/>
          <w:i w:val="0"/>
          <w:sz w:val="19"/>
        </w:rPr>
        <w:t xml:space="preserve"> aus produktionstechnischen Gründen nicht kurzfristig skalierbar. Drittens verstärkt die vorübergehend negative Free-Cashflow-Position bei </w:t>
      </w:r>
      <w:r>
        <w:rPr>
          <w:rFonts w:ascii="Arial" w:hAnsi="Arial"/>
          <w:b w:val="0"/>
          <w:i/>
          <w:sz w:val="19"/>
        </w:rPr>
        <w:t>Alphabet</w:t>
      </w:r>
      <w:r>
        <w:rPr>
          <w:rFonts w:ascii="Arial" w:hAnsi="Arial"/>
          <w:b w:val="0"/>
          <w:i w:val="0"/>
          <w:sz w:val="19"/>
        </w:rPr>
        <w:t xml:space="preserve"> (−5,9 Milliarden US-Dollar Q2) die in § 5.1 und § 8.3 formulierten Erwägungen zur Anknüpfung an Wertschöpfung statt Ertrag: Selbst die profitabelsten Hyperscaler zeigen an der Capex-Front eine Ertragslücke, die eine ertrags­orientierte Zugriffslogik zusätzlich fragilisiert. Viertens setzen die parallelen Anhebungen der Full-Year-Capex-Guidances bei </w:t>
      </w:r>
      <w:r>
        <w:rPr>
          <w:rFonts w:ascii="Arial" w:hAnsi="Arial"/>
          <w:b w:val="0"/>
          <w:i/>
          <w:sz w:val="19"/>
        </w:rPr>
        <w:t>Alphabet</w:t>
      </w:r>
      <w:r>
        <w:rPr>
          <w:rFonts w:ascii="Arial" w:hAnsi="Arial"/>
          <w:b w:val="0"/>
          <w:i w:val="0"/>
          <w:sz w:val="19"/>
        </w:rPr>
        <w:t xml:space="preserve"> (+15 Milliarden US-Dollar), </w:t>
      </w:r>
      <w:r>
        <w:rPr>
          <w:rFonts w:ascii="Arial" w:hAnsi="Arial"/>
          <w:b w:val="0"/>
          <w:i/>
          <w:sz w:val="19"/>
        </w:rPr>
        <w:t>Intel</w:t>
      </w:r>
      <w:r>
        <w:rPr>
          <w:rFonts w:ascii="Arial" w:hAnsi="Arial"/>
          <w:b w:val="0"/>
          <w:i w:val="0"/>
          <w:sz w:val="19"/>
        </w:rPr>
        <w:t xml:space="preserve"> (+3 Milliarden US-Dollar auf Konzern-Ebene) und </w:t>
      </w:r>
      <w:r>
        <w:rPr>
          <w:rFonts w:ascii="Arial" w:hAnsi="Arial"/>
          <w:b w:val="0"/>
          <w:i/>
          <w:sz w:val="19"/>
        </w:rPr>
        <w:t>Tesla</w:t>
      </w:r>
      <w:r>
        <w:rPr>
          <w:rFonts w:ascii="Arial" w:hAnsi="Arial"/>
          <w:b w:val="0"/>
          <w:i w:val="0"/>
          <w:sz w:val="19"/>
        </w:rPr>
        <w:t xml:space="preserve"> (&gt;25 Milliarden US-Dollar Full-Year, § 8.2) im 48-Stunden-Fenster den in § 8.2 dokumentierten Konzentrations- und Ausweitungstrend auf einer weiteren Stichtags­ebene fort, ohne die Deutschland-Position im nachgelagerten Verarbeiter-Segment (§ 8.2, unten) zu verändern. Fortlaufend zu diesem Datenpunkt hat </w:t>
      </w:r>
      <w:r>
        <w:rPr>
          <w:rFonts w:ascii="Arial" w:hAnsi="Arial"/>
          <w:b w:val="0"/>
          <w:i/>
          <w:sz w:val="19"/>
        </w:rPr>
        <w:t>Anthropic</w:t>
      </w:r>
      <w:r>
        <w:rPr>
          <w:rFonts w:ascii="Arial" w:hAnsi="Arial"/>
          <w:b w:val="0"/>
          <w:i w:val="0"/>
          <w:sz w:val="19"/>
        </w:rPr>
        <w:t xml:space="preserve"> am 24. Juli 2026 nach Berichterstattung von Axios, Quartz, MarkTechPost, tech-ish, DigitalApplied und benchlm.ai das Foundation-Modell </w:t>
      </w:r>
      <w:r>
        <w:rPr>
          <w:rFonts w:ascii="Arial" w:hAnsi="Arial"/>
          <w:b w:val="0"/>
          <w:i/>
          <w:sz w:val="19"/>
        </w:rPr>
        <w:t>Claude Opus 5</w:t>
      </w:r>
      <w:r>
        <w:rPr>
          <w:rFonts w:ascii="Arial" w:hAnsi="Arial"/>
          <w:b w:val="0"/>
          <w:i w:val="0"/>
          <w:sz w:val="19"/>
        </w:rPr>
        <w:t xml:space="preserve"> veröffentlicht — mit dem für die vorliegende Steuerdebatte relevanten Preisniveau von 5 US-Dollar je Million Input-Token und 25 US-Dollar je Million Output-Token, also der Hälfte der </w:t>
      </w:r>
      <w:r>
        <w:rPr>
          <w:rFonts w:ascii="Arial" w:hAnsi="Arial"/>
          <w:b w:val="0"/>
          <w:i/>
          <w:sz w:val="19"/>
        </w:rPr>
        <w:t>Claude Fable 5</w:t>
      </w:r>
      <w:r>
        <w:rPr>
          <w:rFonts w:ascii="Arial" w:hAnsi="Arial"/>
          <w:b w:val="0"/>
          <w:i w:val="0"/>
          <w:sz w:val="19"/>
        </w:rPr>
        <w:t xml:space="preserve">-Preise (10/50 US-Dollar) bei nach Herstellerangaben nahe dem Fable-5-Fähigkeitsniveau liegenden Leistungswerten und identischem Preisniveau zum Vorgänger </w:t>
      </w:r>
      <w:r>
        <w:rPr>
          <w:rFonts w:ascii="Arial" w:hAnsi="Arial"/>
          <w:b w:val="0"/>
          <w:i/>
          <w:sz w:val="19"/>
        </w:rPr>
        <w:t>Opus 4.8</w:t>
      </w:r>
      <w:r>
        <w:rPr>
          <w:rFonts w:ascii="Arial" w:hAnsi="Arial"/>
          <w:b w:val="0"/>
          <w:i w:val="0"/>
          <w:sz w:val="19"/>
        </w:rPr>
        <w:t xml:space="preserve">. Der Release illustriert die in § 8.2 dokumentierte deflationäre Inferenzpreis-Dynamik auf der Frontier-Modell-Achse: Innerhalb einer Modellgeneration halbieren sich die Inferenzkosten pro Fähigkeitseinheit, während die Rohstoff- und Capex-Seite (Compute, Rechenzentren, Netzwerk-Ausrüstung) in ihren absoluten Ausgaben­volumina weiter beschleunigt. Für die Deutschland-These (§ 8.2) verstärkt der Preisverfall auf der Inferenzseite bei gleichzeitiger Rohstoff-Konzentration die Position des nachgelagerten Verarbeiter-Segments doppelt — er verbilligt die für die </w:t>
      </w:r>
      <w:r>
        <w:rPr>
          <w:rFonts w:ascii="Arial" w:hAnsi="Arial"/>
          <w:b w:val="0"/>
          <w:i/>
          <w:sz w:val="19"/>
        </w:rPr>
        <w:t>Veredelungsstrategie</w:t>
      </w:r>
      <w:r>
        <w:rPr>
          <w:rFonts w:ascii="Arial" w:hAnsi="Arial"/>
          <w:b w:val="0"/>
          <w:i w:val="0"/>
          <w:sz w:val="19"/>
        </w:rPr>
        <w:t xml:space="preserve"> nötigen Basismodelle und macht die fiskalische Anknüpfung an Ertrag der Basismodell-Anbieter zunehmend unattraktiv, weil die Renten sich im Verhältnis zwischen Compute-Vorleistung und Anwender-Wertschöpfung neu verteilen.</w:t>
      </w:r>
    </w:p>
    <w:p>
      <w:pPr>
        <w:jc w:val="both"/>
      </w:pPr>
      <w:r>
        <w:rPr>
          <w:rFonts w:ascii="Arial" w:hAnsi="Arial"/>
          <w:b w:val="0"/>
          <w:i w:val="0"/>
          <w:sz w:val="19"/>
        </w:rPr>
        <w:t xml:space="preserve">Am 1. August 2026 hat </w:t>
      </w:r>
      <w:r>
        <w:rPr>
          <w:rFonts w:ascii="Arial" w:hAnsi="Arial"/>
          <w:b w:val="0"/>
          <w:i/>
          <w:sz w:val="19"/>
        </w:rPr>
        <w:t>OpenAI</w:t>
      </w:r>
      <w:r>
        <w:rPr>
          <w:rFonts w:ascii="Arial" w:hAnsi="Arial"/>
          <w:b w:val="0"/>
          <w:i w:val="0"/>
          <w:sz w:val="19"/>
        </w:rPr>
        <w:t xml:space="preserve"> nach übereinstimmender Berichterstattung (Gizmodo, TheNextWeb, Neowin, DataCamp, aitoolsreview.co.uk, Life Architect AI, thewincentral.com, thenews.com.pk, kingy.ai, digg, americanbazaaronline) in einem Blogpost mit dem Titel </w:t>
      </w:r>
      <w:r>
        <w:rPr>
          <w:rFonts w:ascii="Arial" w:hAnsi="Arial"/>
          <w:b w:val="0"/>
          <w:i/>
          <w:sz w:val="19"/>
        </w:rPr>
        <w:t>Ten advances in mathematics and theoretical computer science</w:t>
      </w:r>
      <w:r>
        <w:rPr>
          <w:rFonts w:ascii="Arial" w:hAnsi="Arial"/>
          <w:b w:val="0"/>
          <w:i w:val="0"/>
          <w:sz w:val="19"/>
        </w:rPr>
        <w:t xml:space="preserve"> einen bislang nur intern verfügbaren Modellkandidaten mit dem Arbeitsnamen </w:t>
      </w:r>
      <w:r>
        <w:rPr>
          <w:rFonts w:ascii="Arial" w:hAnsi="Arial"/>
          <w:b w:val="0"/>
          <w:i/>
          <w:sz w:val="19"/>
        </w:rPr>
        <w:t>Astra</w:t>
      </w:r>
      <w:r>
        <w:rPr>
          <w:rFonts w:ascii="Arial" w:hAnsi="Arial"/>
          <w:b w:val="0"/>
          <w:i w:val="0"/>
          <w:sz w:val="19"/>
        </w:rPr>
        <w:t xml:space="preserve"> angekündigt. Nach den in derselben Berichterstattung wiedergegebenen Angaben von OpenAI hätte eine interne Version von </w:t>
      </w:r>
      <w:r>
        <w:rPr>
          <w:rFonts w:ascii="Arial" w:hAnsi="Arial"/>
          <w:b w:val="0"/>
          <w:i/>
          <w:sz w:val="19"/>
        </w:rPr>
        <w:t>Astra</w:t>
      </w:r>
      <w:r>
        <w:rPr>
          <w:rFonts w:ascii="Arial" w:hAnsi="Arial"/>
          <w:b w:val="0"/>
          <w:i w:val="0"/>
          <w:sz w:val="19"/>
        </w:rPr>
        <w:t xml:space="preserve"> — vom Unternehmen als „our next major model" positioniert, wobei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vom 2. August 2026 offen ist, ob die Bezeichnung </w:t>
      </w:r>
      <w:r>
        <w:rPr>
          <w:rFonts w:ascii="Arial" w:hAnsi="Arial"/>
          <w:b w:val="0"/>
          <w:i/>
          <w:sz w:val="19"/>
        </w:rPr>
        <w:t>GPT-6</w:t>
      </w:r>
      <w:r>
        <w:rPr>
          <w:rFonts w:ascii="Arial" w:hAnsi="Arial"/>
          <w:b w:val="0"/>
          <w:i w:val="0"/>
          <w:sz w:val="19"/>
        </w:rPr>
        <w:t xml:space="preserve">, </w:t>
      </w:r>
      <w:r>
        <w:rPr>
          <w:rFonts w:ascii="Arial" w:hAnsi="Arial"/>
          <w:b w:val="0"/>
          <w:i/>
          <w:sz w:val="19"/>
        </w:rPr>
        <w:t>GPT-5.7</w:t>
      </w:r>
      <w:r>
        <w:rPr>
          <w:rFonts w:ascii="Arial" w:hAnsi="Arial"/>
          <w:b w:val="0"/>
          <w:i w:val="0"/>
          <w:sz w:val="19"/>
        </w:rPr>
        <w:t xml:space="preserve"> oder schlicht </w:t>
      </w:r>
      <w:r>
        <w:rPr>
          <w:rFonts w:ascii="Arial" w:hAnsi="Arial"/>
          <w:b w:val="0"/>
          <w:i/>
          <w:sz w:val="19"/>
        </w:rPr>
        <w:t>Astra</w:t>
      </w:r>
      <w:r>
        <w:rPr>
          <w:rFonts w:ascii="Arial" w:hAnsi="Arial"/>
          <w:b w:val="0"/>
          <w:i w:val="0"/>
          <w:sz w:val="19"/>
        </w:rPr>
        <w:t xml:space="preserve"> wird — zehn Ergebnisse in Mathematik und theoretischer Informatik erzielt, darunter die erste Verbesserung der allgemeinen hoch-dimensionalen Kugelpackungs-Exponenten seit 1978,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neue Schranken für fehlerkorrigierende Codes und die Permanenten­komplexität sowie Härte-Ergebnisse für das </w:t>
      </w:r>
      <w:r>
        <w:rPr>
          <w:rFonts w:ascii="Arial" w:hAnsi="Arial"/>
          <w:b w:val="0"/>
          <w:i/>
          <w:sz w:val="19"/>
        </w:rPr>
        <w:t>Closest-Vector-Problem</w:t>
      </w:r>
      <w:r>
        <w:rPr>
          <w:rFonts w:ascii="Arial" w:hAnsi="Arial"/>
          <w:b w:val="0"/>
          <w:i w:val="0"/>
          <w:sz w:val="19"/>
        </w:rPr>
        <w:t xml:space="preserve"> in der Gitter-Kryptographie (Konjunktiv nach § 4.2 Claude.md, da die formalen Nachweise noch der fachlichen Prüfung durch die Mathematik-Community unterliegen; OpenAI hat parallel eine 249-Seiten-Manuskriptsammlung, 62 Seiten narrativer Notizen sowie ein Repository mit </w:t>
      </w:r>
      <w:r>
        <w:rPr>
          <w:rFonts w:ascii="Arial" w:hAnsi="Arial"/>
          <w:b w:val="0"/>
          <w:i/>
          <w:sz w:val="19"/>
        </w:rPr>
        <w:t>Lean</w:t>
      </w:r>
      <w:r>
        <w:rPr>
          <w:rFonts w:ascii="Arial" w:hAnsi="Arial"/>
          <w:b w:val="0"/>
          <w:i w:val="0"/>
          <w:sz w:val="19"/>
        </w:rPr>
        <w:t xml:space="preserve">-Zertifikaten veröffentlicht). Ökonomisch bemerkenswert ist die von </w:t>
      </w:r>
      <w:r>
        <w:rPr>
          <w:rFonts w:ascii="Arial" w:hAnsi="Arial"/>
          <w:b w:val="0"/>
          <w:i/>
          <w:sz w:val="19"/>
        </w:rPr>
        <w:t>kingy.ai</w:t>
      </w:r>
      <w:r>
        <w:rPr>
          <w:rFonts w:ascii="Arial" w:hAnsi="Arial"/>
          <w:b w:val="0"/>
          <w:i w:val="0"/>
          <w:sz w:val="19"/>
        </w:rPr>
        <w:t xml:space="preserve"> verifizierte Rechnung, dass die zur Erzeugung der zehn Beweise notwendige Modellnutzung zu den API-Sätzen von </w:t>
      </w:r>
      <w:r>
        <w:rPr>
          <w:rFonts w:ascii="Arial" w:hAnsi="Arial"/>
          <w:b w:val="0"/>
          <w:i/>
          <w:sz w:val="19"/>
        </w:rPr>
        <w:t>GPT-5.6 Sol</w:t>
      </w:r>
      <w:r>
        <w:rPr>
          <w:rFonts w:ascii="Arial" w:hAnsi="Arial"/>
          <w:b w:val="0"/>
          <w:i w:val="0"/>
          <w:sz w:val="19"/>
        </w:rPr>
        <w:t xml:space="preserve"> (5,00 US-Dollar / 30,00 US-Dollar je Million Input-/Output-Token) rund 2.000 US-Dollar an Rechenkosten entspräche — ein Rechenzeichen, das die vergleichbare Bearbeitung durch spezialisierte Forschungsteams über Jahre hinweg im mehrfachen sechsstelligen Personalkostenbereich verortet. Für die in diesem Kapitel entwickelte Rohstoff-Analogie und die deflationäre Preisdynamik verdichtet die Astra-Ankündigung zwei Beobachtungen: Erstens bewegt sich die Angebotsseite der US-Frontier-Anbieter binnen drei Wochen nach der </w:t>
      </w:r>
      <w:r>
        <w:rPr>
          <w:rFonts w:ascii="Arial" w:hAnsi="Arial"/>
          <w:b w:val="0"/>
          <w:i/>
          <w:sz w:val="19"/>
        </w:rPr>
        <w:t>GPT-5.6</w:t>
      </w:r>
      <w:r>
        <w:rPr>
          <w:rFonts w:ascii="Arial" w:hAnsi="Arial"/>
          <w:b w:val="0"/>
          <w:i w:val="0"/>
          <w:sz w:val="19"/>
        </w:rPr>
        <w:t xml:space="preserve">-Preissenkung (30. Juli 2026) und der </w:t>
      </w:r>
      <w:r>
        <w:rPr>
          <w:rFonts w:ascii="Arial" w:hAnsi="Arial"/>
          <w:b w:val="0"/>
          <w:i/>
          <w:sz w:val="19"/>
        </w:rPr>
        <w:t>Claude-Opus-5</w:t>
      </w:r>
      <w:r>
        <w:rPr>
          <w:rFonts w:ascii="Arial" w:hAnsi="Arial"/>
          <w:b w:val="0"/>
          <w:i w:val="0"/>
          <w:sz w:val="19"/>
        </w:rPr>
        <w:t xml:space="preserve">-Freigabe (24. Juli 2026) auf eine weitere Fähigkeitsstufe, deren Anwendung auf grundlagenwissenschaftliche Aufgaben mit klaren Verifikationsansprüchen (formale Nachweise in </w:t>
      </w:r>
      <w:r>
        <w:rPr>
          <w:rFonts w:ascii="Arial" w:hAnsi="Arial"/>
          <w:b w:val="0"/>
          <w:i/>
          <w:sz w:val="19"/>
        </w:rPr>
        <w:t>Lean</w:t>
      </w:r>
      <w:r>
        <w:rPr>
          <w:rFonts w:ascii="Arial" w:hAnsi="Arial"/>
          <w:b w:val="0"/>
          <w:i w:val="0"/>
          <w:sz w:val="19"/>
        </w:rPr>
        <w:t>) — falls durch die Mathematik-Community bestätigt — den Anwendungsradius der Frontier-Modelle über bislang dokumentierte Programmier-, Recherche- und Agent-Aufgaben hinaus erweitern würde. Zweitens verlagert die Kostenrechnung „zehn Erstbeweise für rund 2.000 US-Dollar API-Ausgaben" das Argument der KI-Substitution hoch-qualifizierter Cognitive-Arbeit (bislang vor allem an Programmierung, Rechtsberatung und Kundenservice illustriert) erstmals belegbar in den Bereich der akademischen Grundlagenforschung — mit unmittelbarer Rückwirkung auf § 1.1 (Substitutions­rate wissensintensiver Berufe) und auf die in § 8.3 skizzierten Zugriffspfade: Wenn die Veredelungsrenten von KI-Systemen zunehmend in Aufgaben­feldern anfallen, deren Wertschöpfung bislang nahezu vollständig in menschliche Lohnarbeit an Universitäten, Forschungseinrichtungen und Fachverlagen floss, verstärkt sich die Anknüpfungsfähigkeit einer wertschöpfungs­orientierten Abgabe an inländische KI-Nutzung gegenüber ertragsorientierten Zugriffen auf Anbieter-Gewinne, deren geographische Zurechenbarkeit weiter unklar bleibt. Für die Deutschland-These bedeutet der Vorgang zugleich, dass die Fenster­zeit für die Aufstellung einer inländischen Veredelungs­infrastruktur — mit klarer Datenraum-, Norm- und Anknüpfungsarchitektur (§ 5.1, § 8.3) — enger wird, weil die Frontier-Anbieter in einem beschleunigten Iterations­zyklus zusätzliche Anwendungs­felder erschließen, ohne dass die europäische Anwenderseite an der Modellrenten­verteilung strukturell beteiligt wäre.</w:t>
      </w:r>
    </w:p>
    <w:p>
      <w:pPr>
        <w:jc w:val="both"/>
      </w:pPr>
      <w:r>
        <w:rPr>
          <w:rFonts w:ascii="Arial" w:hAnsi="Arial"/>
          <w:b w:val="0"/>
          <w:i w:val="0"/>
          <w:sz w:val="19"/>
        </w:rPr>
        <w:t xml:space="preserve">Am 3. August 2026 hat </w:t>
      </w:r>
      <w:r>
        <w:rPr>
          <w:rFonts w:ascii="Arial" w:hAnsi="Arial"/>
          <w:b w:val="0"/>
          <w:i/>
          <w:sz w:val="19"/>
        </w:rPr>
        <w:t>Alibaba</w:t>
      </w:r>
      <w:r>
        <w:rPr>
          <w:rFonts w:ascii="Arial" w:hAnsi="Arial"/>
          <w:b w:val="0"/>
          <w:i w:val="0"/>
          <w:sz w:val="19"/>
        </w:rPr>
        <w:t xml:space="preserve"> nach übereinstimmender Berichterstattung (South China Morning Post, Bloomberg, TNGlobal/TechNode, Quartz, MarkTechPost, Dataconomy, CGTN, The Daily Star) das Flaggschiffmodell </w:t>
      </w:r>
      <w:r>
        <w:rPr>
          <w:rFonts w:ascii="Arial" w:hAnsi="Arial"/>
          <w:b w:val="0"/>
          <w:i/>
          <w:sz w:val="19"/>
        </w:rPr>
        <w:t>Qwen3.8-Max</w:t>
      </w:r>
      <w:r>
        <w:rPr>
          <w:rFonts w:ascii="Arial" w:hAnsi="Arial"/>
          <w:b w:val="0"/>
          <w:i w:val="0"/>
          <w:sz w:val="19"/>
        </w:rPr>
        <w:t xml:space="preserve"> freigegeben — nach Herstellerangaben ein 2,4-Billionen-Parameter-Modell in </w:t>
      </w:r>
      <w:r>
        <w:rPr>
          <w:rFonts w:ascii="Arial" w:hAnsi="Arial"/>
          <w:b w:val="0"/>
          <w:i/>
          <w:sz w:val="19"/>
        </w:rPr>
        <w:t>Sparse-Mixture-of-Experts</w:t>
      </w:r>
      <w:r>
        <w:rPr>
          <w:rFonts w:ascii="Arial" w:hAnsi="Arial"/>
          <w:b w:val="0"/>
          <w:i w:val="0"/>
          <w:sz w:val="19"/>
        </w:rPr>
        <w:t xml:space="preserve">-Architektur mit rund 95 Milliarden pro Inferenzschritt aktiven Parametern, einem Kontextfenster von einer Million Token und multimodaler Ein- und Ausgabefähigkeit für Text, Bild und Video. Der Zugang erfolgt zunächst über die </w:t>
      </w:r>
      <w:r>
        <w:rPr>
          <w:rFonts w:ascii="Arial" w:hAnsi="Arial"/>
          <w:b w:val="0"/>
          <w:i/>
          <w:sz w:val="19"/>
        </w:rPr>
        <w:t>Alibaba-Cloud-Model-Studio</w:t>
      </w:r>
      <w:r>
        <w:rPr>
          <w:rFonts w:ascii="Arial" w:hAnsi="Arial"/>
          <w:b w:val="0"/>
          <w:i w:val="0"/>
          <w:sz w:val="19"/>
        </w:rPr>
        <w:t xml:space="preserve">-API sowie über die am selben Tag in die öffentliche Beta freigegebene </w:t>
      </w:r>
      <w:r>
        <w:rPr>
          <w:rFonts w:ascii="Arial" w:hAnsi="Arial"/>
          <w:b w:val="0"/>
          <w:i/>
          <w:sz w:val="19"/>
        </w:rPr>
        <w:t>QwenWork</w:t>
      </w:r>
      <w:r>
        <w:rPr>
          <w:rFonts w:ascii="Arial" w:hAnsi="Arial"/>
          <w:b w:val="0"/>
          <w:i w:val="0"/>
          <w:sz w:val="19"/>
        </w:rPr>
        <w:t xml:space="preserve">-Agent-Plattform; die vollständige </w:t>
      </w:r>
      <w:r>
        <w:rPr>
          <w:rFonts w:ascii="Arial" w:hAnsi="Arial"/>
          <w:b w:val="0"/>
          <w:i/>
          <w:sz w:val="19"/>
        </w:rPr>
        <w:t>Open-Weight</w:t>
      </w:r>
      <w:r>
        <w:rPr>
          <w:rFonts w:ascii="Arial" w:hAnsi="Arial"/>
          <w:b w:val="0"/>
          <w:i w:val="0"/>
          <w:sz w:val="19"/>
        </w:rPr>
        <w:t xml:space="preserve">-Veröffentlichung ist nach Konzernangaben für die Woche ab dem 10. August 2026 vorgesehen und markiert nach Angaben der Berichterstattung eine bewusste Rückkehr </w:t>
      </w:r>
      <w:r>
        <w:rPr>
          <w:rFonts w:ascii="Arial" w:hAnsi="Arial"/>
          <w:b w:val="0"/>
          <w:i/>
          <w:sz w:val="19"/>
        </w:rPr>
        <w:t>Alibabas</w:t>
      </w:r>
      <w:r>
        <w:rPr>
          <w:rFonts w:ascii="Arial" w:hAnsi="Arial"/>
          <w:b w:val="0"/>
          <w:i w:val="0"/>
          <w:sz w:val="19"/>
        </w:rPr>
        <w:t xml:space="preserve"> zur Open-Weight-Freigabe seiner Spitzenmodelle nach mehreren proprietär gehaltenen Zwischenreleases im ersten Halbjahr 2026. Auf Benchmark-Seite verweist </w:t>
      </w:r>
      <w:r>
        <w:rPr>
          <w:rFonts w:ascii="Arial" w:hAnsi="Arial"/>
          <w:b w:val="0"/>
          <w:i/>
          <w:sz w:val="19"/>
        </w:rPr>
        <w:t>Alibaba</w:t>
      </w:r>
      <w:r>
        <w:rPr>
          <w:rFonts w:ascii="Arial" w:hAnsi="Arial"/>
          <w:b w:val="0"/>
          <w:i w:val="0"/>
          <w:sz w:val="19"/>
        </w:rPr>
        <w:t xml:space="preserve"> auf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benchmarkseitige Rangfolgen bleiben anbietergestützt bis zur unabhängigen Nachprüfung). Für die in diesem Kapitel geführte Rohstoff-Analogie und die deflationäre Inferenzpreis-Dynamik sind drei Implikationen zu markieren: Erstens verschiebt sich mit </w:t>
      </w:r>
      <w:r>
        <w:rPr>
          <w:rFonts w:ascii="Arial" w:hAnsi="Arial"/>
          <w:b w:val="0"/>
          <w:i/>
          <w:sz w:val="19"/>
        </w:rPr>
        <w:t>Qwen3.8-Max</w:t>
      </w:r>
      <w:r>
        <w:rPr>
          <w:rFonts w:ascii="Arial" w:hAnsi="Arial"/>
          <w:b w:val="0"/>
          <w:i w:val="0"/>
          <w:sz w:val="19"/>
        </w:rPr>
        <w:t xml:space="preserve"> die im 14.-Juli-2026-</w:t>
      </w:r>
      <w:r>
        <w:rPr>
          <w:rFonts w:ascii="Arial" w:hAnsi="Arial"/>
          <w:b w:val="0"/>
          <w:i/>
          <w:sz w:val="19"/>
        </w:rPr>
        <w:t>TechCrunch</w:t>
      </w:r>
      <w:r>
        <w:rPr>
          <w:rFonts w:ascii="Arial" w:hAnsi="Arial"/>
          <w:b w:val="0"/>
          <w:i w:val="0"/>
          <w:sz w:val="19"/>
        </w:rPr>
        <w:t xml:space="preserve">-Beitrag von Rebecca Bellan referierte These „the real AI race may no longer be at the frontier" von einer Verlagerungs­these auf eine Konvergenz­these — chinesische Open-Weight-Anbieter erreichen nicht mehr nur die Workhorse-Klasse (§ 8.2, </w:t>
      </w:r>
      <w:r>
        <w:rPr>
          <w:rFonts w:ascii="Arial" w:hAnsi="Arial"/>
          <w:b w:val="0"/>
          <w:i/>
          <w:sz w:val="19"/>
        </w:rPr>
        <w:t>DeepSeek V4 Pro</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sondern binnen weniger Wochen nach </w:t>
      </w:r>
      <w:r>
        <w:rPr>
          <w:rFonts w:ascii="Arial" w:hAnsi="Arial"/>
          <w:b w:val="0"/>
          <w:i/>
          <w:sz w:val="19"/>
        </w:rPr>
        <w:t>Anthropic Claude Fable 5</w:t>
      </w:r>
      <w:r>
        <w:rPr>
          <w:rFonts w:ascii="Arial" w:hAnsi="Arial"/>
          <w:b w:val="0"/>
          <w:i w:val="0"/>
          <w:sz w:val="19"/>
        </w:rPr>
        <w:t xml:space="preserve"> auch die aktuellste Frontier-Kategorie. Zweitens setzt der geplante Open-Weight-Release die im </w:t>
      </w:r>
      <w:r>
        <w:rPr>
          <w:rFonts w:ascii="Arial" w:hAnsi="Arial"/>
          <w:b w:val="0"/>
          <w:i/>
          <w:sz w:val="19"/>
        </w:rPr>
        <w:t>Kimi-K3</w:t>
      </w:r>
      <w:r>
        <w:rPr>
          <w:rFonts w:ascii="Arial" w:hAnsi="Arial"/>
          <w:b w:val="0"/>
          <w:i w:val="0"/>
          <w:sz w:val="19"/>
        </w:rPr>
        <w:t>-Vorgang (16. Juli 2026, § 8.2) beobachtete Konvergenz auf einer strukturell weitergehenden Ebene fort: Sobald ein 2,4-Billionen-Parameter-Modell frei distribuierbar ist, verlagert sich die Wettbewerbsdynamik von der API-Preisebene auf die Inferenz-Infrastruktur- und Deployment-Ebene, an der die europäische Anwenderseite unmittelbar anschlussfähig ist. Drittens ergänzt der Vorgang die in § 4.5 dokumentierte US-Governance-Linie (Fable-5-Episode, White-House-Framework 4. August 2026) um eine offen zugängliche chinesische Frontier-Alternative, deren Verfügbarkeit weder US-Vor-Freigabe-Prüfungen noch US-Exportkontrollen unterliegt — mit unmittelbarer Rückwirkung auf die in § 8.3 skizzierten stabilen Zugriffspfade auf inländische KI-Wertschöpfung, weil eine offen zugängliche Frontier-Modellklasse die Verfügbarkeitsrisiken einer inländischen Veredelungsstrategie strukturell reduziert. Für die Deutschland-These verstärkt der Vorgang die in § 8.2 formulierte Position, dass die europäische Wertschöpfungsposition weniger an der Modellproduktion selbst als an der branchen- und daten­spezifischen Anreicherung offener Basismodelle ansetzt.</w:t>
      </w:r>
    </w:p>
    <w:p>
      <w:pPr>
        <w:jc w:val="both"/>
      </w:pPr>
      <w:r>
        <w:rPr>
          <w:rFonts w:ascii="Arial" w:hAnsi="Arial"/>
          <w:b w:val="0"/>
          <w:i w:val="0"/>
          <w:sz w:val="19"/>
        </w:rPr>
        <w:t xml:space="preserve">Am selben 5. August 2026, an dem </w:t>
      </w:r>
      <w:r>
        <w:rPr>
          <w:rFonts w:ascii="Arial" w:hAnsi="Arial"/>
          <w:b w:val="0"/>
          <w:i/>
          <w:sz w:val="19"/>
        </w:rPr>
        <w:t>Meta Superintelligence Labs</w:t>
      </w:r>
      <w:r>
        <w:rPr>
          <w:rFonts w:ascii="Arial" w:hAnsi="Arial"/>
          <w:b w:val="0"/>
          <w:i w:val="0"/>
          <w:sz w:val="19"/>
        </w:rPr>
        <w:t xml:space="preserve"> </w:t>
      </w:r>
      <w:r>
        <w:rPr>
          <w:rFonts w:ascii="Arial" w:hAnsi="Arial"/>
          <w:b w:val="0"/>
          <w:i/>
          <w:sz w:val="19"/>
        </w:rPr>
        <w:t>Muse Spark 1.2</w:t>
      </w:r>
      <w:r>
        <w:rPr>
          <w:rFonts w:ascii="Arial" w:hAnsi="Arial"/>
          <w:b w:val="0"/>
          <w:i w:val="0"/>
          <w:sz w:val="19"/>
        </w:rPr>
        <w:t xml:space="preserve"> und </w:t>
      </w:r>
      <w:r>
        <w:rPr>
          <w:rFonts w:ascii="Arial" w:hAnsi="Arial"/>
          <w:b w:val="0"/>
          <w:i/>
          <w:sz w:val="19"/>
        </w:rPr>
        <w:t>Muse Code</w:t>
      </w:r>
      <w:r>
        <w:rPr>
          <w:rFonts w:ascii="Arial" w:hAnsi="Arial"/>
          <w:b w:val="0"/>
          <w:i w:val="0"/>
          <w:sz w:val="19"/>
        </w:rPr>
        <w:t xml:space="preserve"> freigibt (siehe unten), verdichtet sich der bereits in § 8.2 dokumentierte DeepMind-Talent-Vorgang zu einer strukturellen Führungsumbildung an der Spitze eines der beiden verbliebenen US-Frontier-Anbieter neben </w:t>
      </w:r>
      <w:r>
        <w:rPr>
          <w:rFonts w:ascii="Arial" w:hAnsi="Arial"/>
          <w:b w:val="0"/>
          <w:i/>
          <w:sz w:val="19"/>
        </w:rPr>
        <w:t>OpenAI</w:t>
      </w:r>
      <w:r>
        <w:rPr>
          <w:rFonts w:ascii="Arial" w:hAnsi="Arial"/>
          <w:b w:val="0"/>
          <w:i w:val="0"/>
          <w:sz w:val="19"/>
        </w:rPr>
        <w:t>/</w:t>
      </w:r>
      <w:r>
        <w:rPr>
          <w:rFonts w:ascii="Arial" w:hAnsi="Arial"/>
          <w:b w:val="0"/>
          <w:i/>
          <w:sz w:val="19"/>
        </w:rPr>
        <w:t>Anthropic</w:t>
      </w:r>
      <w:r>
        <w:rPr>
          <w:rFonts w:ascii="Arial" w:hAnsi="Arial"/>
          <w:b w:val="0"/>
          <w:i w:val="0"/>
          <w:sz w:val="19"/>
        </w:rPr>
        <w:t>/</w:t>
      </w:r>
      <w:r>
        <w:rPr>
          <w:rFonts w:ascii="Arial" w:hAnsi="Arial"/>
          <w:b w:val="0"/>
          <w:i/>
          <w:sz w:val="19"/>
        </w:rPr>
        <w:t>Meta</w:t>
      </w:r>
      <w:r>
        <w:rPr>
          <w:rFonts w:ascii="Arial" w:hAnsi="Arial"/>
          <w:b w:val="0"/>
          <w:i w:val="0"/>
          <w:sz w:val="19"/>
        </w:rPr>
        <w:t xml:space="preserve">: Nach übereinstimmender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Bloomberg</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Gizmodo</w:t>
      </w:r>
      <w:r>
        <w:rPr>
          <w:rFonts w:ascii="Arial" w:hAnsi="Arial"/>
          <w:b w:val="0"/>
          <w:i w:val="0"/>
          <w:sz w:val="19"/>
        </w:rPr>
        <w:t xml:space="preserve">, </w:t>
      </w:r>
      <w:r>
        <w:rPr>
          <w:rFonts w:ascii="Arial" w:hAnsi="Arial"/>
          <w:b w:val="0"/>
          <w:i/>
          <w:sz w:val="19"/>
        </w:rPr>
        <w:t>Time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 und </w:t>
      </w:r>
      <w:r>
        <w:rPr>
          <w:rFonts w:ascii="Arial" w:hAnsi="Arial"/>
          <w:b w:val="0"/>
          <w:i/>
          <w:sz w:val="19"/>
        </w:rPr>
        <w:t>Dataconomy</w:t>
      </w:r>
      <w:r>
        <w:rPr>
          <w:rFonts w:ascii="Arial" w:hAnsi="Arial"/>
          <w:b w:val="0"/>
          <w:i w:val="0"/>
          <w:sz w:val="19"/>
        </w:rPr>
        <w:t xml:space="preserve"> (5./6. August 2026) tritt </w:t>
      </w:r>
      <w:r>
        <w:rPr>
          <w:rFonts w:ascii="Arial" w:hAnsi="Arial"/>
          <w:b w:val="0"/>
          <w:i/>
          <w:sz w:val="19"/>
        </w:rPr>
        <w:t>Sir Demis Hassabis</w:t>
      </w:r>
      <w:r>
        <w:rPr>
          <w:rFonts w:ascii="Arial" w:hAnsi="Arial"/>
          <w:b w:val="0"/>
          <w:i w:val="0"/>
          <w:sz w:val="19"/>
        </w:rPr>
        <w:t xml:space="preserve"> die operative Leitung von </w:t>
      </w:r>
      <w:r>
        <w:rPr>
          <w:rFonts w:ascii="Arial" w:hAnsi="Arial"/>
          <w:b w:val="0"/>
          <w:i/>
          <w:sz w:val="19"/>
        </w:rPr>
        <w:t>Google DeepMind</w:t>
      </w:r>
      <w:r>
        <w:rPr>
          <w:rFonts w:ascii="Arial" w:hAnsi="Arial"/>
          <w:b w:val="0"/>
          <w:i w:val="0"/>
          <w:sz w:val="19"/>
        </w:rPr>
        <w:t xml:space="preserve"> an </w:t>
      </w:r>
      <w:r>
        <w:rPr>
          <w:rFonts w:ascii="Arial" w:hAnsi="Arial"/>
          <w:b w:val="0"/>
          <w:i/>
          <w:sz w:val="19"/>
        </w:rPr>
        <w:t>Koray Kavukcuoglu</w:t>
      </w:r>
      <w:r>
        <w:rPr>
          <w:rFonts w:ascii="Arial" w:hAnsi="Arial"/>
          <w:b w:val="0"/>
          <w:i w:val="0"/>
          <w:sz w:val="19"/>
        </w:rPr>
        <w:t xml:space="preserve"> —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 ab, der die Einheit ab sofort als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führt; Hassabis übernimmt neu die Rolle des </w:t>
      </w:r>
      <w:r>
        <w:rPr>
          <w:rFonts w:ascii="Arial" w:hAnsi="Arial"/>
          <w:b w:val="0"/>
          <w:i/>
          <w:sz w:val="19"/>
        </w:rPr>
        <w:t>Chairman of Google DeepMind</w:t>
      </w:r>
      <w:r>
        <w:rPr>
          <w:rFonts w:ascii="Arial" w:hAnsi="Arial"/>
          <w:b w:val="0"/>
          <w:i w:val="0"/>
          <w:sz w:val="19"/>
        </w:rPr>
        <w:t xml:space="preserve"> und tritt zusätzlich als </w:t>
      </w:r>
      <w:r>
        <w:rPr>
          <w:rFonts w:ascii="Arial" w:hAnsi="Arial"/>
          <w:b w:val="0"/>
          <w:i/>
          <w:sz w:val="19"/>
        </w:rPr>
        <w:t>Chief Scientist</w:t>
      </w:r>
      <w:r>
        <w:rPr>
          <w:rFonts w:ascii="Arial" w:hAnsi="Arial"/>
          <w:b w:val="0"/>
          <w:i w:val="0"/>
          <w:sz w:val="19"/>
        </w:rPr>
        <w:t xml:space="preserve"> der Alphabet-Muttergesellschaft an. Er behält die Leitung der Alphabet-Wirkstoffforschungs-Ausgliederung </w:t>
      </w:r>
      <w:r>
        <w:rPr>
          <w:rFonts w:ascii="Arial" w:hAnsi="Arial"/>
          <w:b w:val="0"/>
          <w:i/>
          <w:sz w:val="19"/>
        </w:rPr>
        <w:t>Isomorphic Labs</w:t>
      </w:r>
      <w:r>
        <w:rPr>
          <w:rFonts w:ascii="Arial" w:hAnsi="Arial"/>
          <w:b w:val="0"/>
          <w:i w:val="0"/>
          <w:sz w:val="19"/>
        </w:rPr>
        <w:t xml:space="preserve"> und verweist zur Begründung der Rollen-Umstellung nach </w:t>
      </w:r>
      <w:r>
        <w:rPr>
          <w:rFonts w:ascii="Arial" w:hAnsi="Arial"/>
          <w:b w:val="0"/>
          <w:i/>
          <w:sz w:val="19"/>
        </w:rPr>
        <w:t>Semafor</w:t>
      </w:r>
      <w:r>
        <w:rPr>
          <w:rFonts w:ascii="Arial" w:hAnsi="Arial"/>
          <w:b w:val="0"/>
          <w:i w:val="0"/>
          <w:sz w:val="19"/>
        </w:rPr>
        <w:t xml:space="preserve">-Berichterstattung auf einen bereits seit rund einem Jahr laufenden Übergang, um sich stärker auf </w:t>
      </w:r>
      <w:r>
        <w:rPr>
          <w:rFonts w:ascii="Arial" w:hAnsi="Arial"/>
          <w:b w:val="0"/>
          <w:i/>
          <w:sz w:val="19"/>
        </w:rPr>
        <w:t>AGI-Strategie und wissenschaftliche KI-Anwendungen</w:t>
      </w:r>
      <w:r>
        <w:rPr>
          <w:rFonts w:ascii="Arial" w:hAnsi="Arial"/>
          <w:b w:val="0"/>
          <w:i w:val="0"/>
          <w:sz w:val="19"/>
        </w:rPr>
        <w:t xml:space="preserve"> konzentrieren zu können. Parallel und ebenfalls am 5. August 2026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nach der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SiliconRepublic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/Quartz und </w:t>
      </w:r>
      <w:r>
        <w:rPr>
          <w:rFonts w:ascii="Arial" w:hAnsi="Arial"/>
          <w:b w:val="0"/>
          <w:i/>
          <w:sz w:val="19"/>
        </w:rPr>
        <w:t>explainx.ai</w:t>
      </w:r>
      <w:r>
        <w:rPr>
          <w:rFonts w:ascii="Arial" w:hAnsi="Arial"/>
          <w:b w:val="0"/>
          <w:i w:val="0"/>
          <w:sz w:val="19"/>
        </w:rPr>
        <w:t xml:space="preserve"> zielt </w:t>
      </w:r>
      <w:r>
        <w:rPr>
          <w:rFonts w:ascii="Arial" w:hAnsi="Arial"/>
          <w:b w:val="0"/>
          <w:i/>
          <w:sz w:val="19"/>
        </w:rPr>
        <w:t>Discovery Loop</w:t>
      </w:r>
      <w:r>
        <w:rPr>
          <w:rFonts w:ascii="Arial" w:hAnsi="Arial"/>
          <w:b w:val="0"/>
          <w:i w:val="0"/>
          <w:sz w:val="19"/>
        </w:rPr>
        <w:t xml:space="preserve"> explizit auf einen rekursiv-selbstverbessernden KI-Stack für die Beschleunigung wissenschaftlicher Grundlagenforschung; die Initialphase soll die eigene ML-Forschungs- und Engineering-Pipeline optimieren, bevor externe wissenschaftliche Anwendungsfelder folgen (Konjunktivpflicht nach § 4.2 Claude.md, da die Selbstverbesserungs-Roadmap nach Anbieter-Angaben referiert wird und noch keiner unabhängigen Nachprüfung unterliegt). </w:t>
      </w:r>
      <w:r>
        <w:rPr>
          <w:rFonts w:ascii="Arial" w:hAnsi="Arial"/>
          <w:b w:val="0"/>
          <w:i/>
          <w:sz w:val="19"/>
        </w:rPr>
        <w:t>Google</w:t>
      </w:r>
      <w:r>
        <w:rPr>
          <w:rFonts w:ascii="Arial" w:hAnsi="Arial"/>
          <w:b w:val="0"/>
          <w:i w:val="0"/>
          <w:sz w:val="19"/>
        </w:rPr>
        <w:t xml:space="preserve"> fungiert nach der Berichterstattung als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gemeinsam die Seed-Runde. Für die in diesem Kapitel entwickelte Rohstoff-Analogie und die im Juli 2026 in § 8.2 aufgenommene </w:t>
      </w:r>
      <w:r>
        <w:rPr>
          <w:rFonts w:ascii="Arial" w:hAnsi="Arial"/>
          <w:b w:val="0"/>
          <w:i/>
          <w:sz w:val="19"/>
        </w:rPr>
        <w:t>humane Talent-Bestands­dimension</w:t>
      </w:r>
      <w:r>
        <w:rPr>
          <w:rFonts w:ascii="Arial" w:hAnsi="Arial"/>
          <w:b w:val="0"/>
          <w:i w:val="0"/>
          <w:sz w:val="19"/>
        </w:rPr>
        <w:t xml:space="preserve"> der Frontier-Renten (Shazeer → OpenAI, Jumper/Adler/Pritzel → Anthropic) verdichtet der Vorgang die Beobachtung in doppelter Hinsicht: Erstens erweist sich die Talent-Basis der Frontier-Modelle nicht nur zwischen den etablierten Frontier-Anbietern als mobil, sondern lässt binnen weniger Wochen einen der zwei Alphabet-eigenen Kern-Forschungs­kerne (Dean/Ghemawat) außerhalb des Konzerns weiter arbeiten — was die geographische US-Konzentration der Frontier-Forschung erhält, aber ihre Anbieter-Konzentration im gleichen Zug reduziert. Zweitens signalisiert die </w:t>
      </w:r>
      <w:r>
        <w:rPr>
          <w:rFonts w:ascii="Arial" w:hAnsi="Arial"/>
          <w:b w:val="0"/>
          <w:i/>
          <w:sz w:val="19"/>
        </w:rPr>
        <w:t>Chairman-plus-Chief-Scientist</w:t>
      </w:r>
      <w:r>
        <w:rPr>
          <w:rFonts w:ascii="Arial" w:hAnsi="Arial"/>
          <w:b w:val="0"/>
          <w:i w:val="0"/>
          <w:sz w:val="19"/>
        </w:rPr>
        <w:t xml:space="preserve">-Konstruktion, dass Alphabet die operative Führung der Frontier-Modellproduktion (Kavukcuoglu) und die </w:t>
      </w:r>
      <w:r>
        <w:rPr>
          <w:rFonts w:ascii="Arial" w:hAnsi="Arial"/>
          <w:b w:val="0"/>
          <w:i/>
          <w:sz w:val="19"/>
        </w:rPr>
        <w:t>AGI-Strategie</w:t>
      </w:r>
      <w:r>
        <w:rPr>
          <w:rFonts w:ascii="Arial" w:hAnsi="Arial"/>
          <w:b w:val="0"/>
          <w:i w:val="0"/>
          <w:sz w:val="19"/>
        </w:rPr>
        <w:t xml:space="preserve"> (Hassabis) organisatorisch trennt — ein Formatwechsel, der die im </w:t>
      </w:r>
      <w:r>
        <w:rPr>
          <w:rFonts w:ascii="Arial" w:hAnsi="Arial"/>
          <w:b w:val="0"/>
          <w:i/>
          <w:sz w:val="19"/>
        </w:rPr>
        <w:t>Kimi K3</w:t>
      </w:r>
      <w:r>
        <w:rPr>
          <w:rFonts w:ascii="Arial" w:hAnsi="Arial"/>
          <w:b w:val="0"/>
          <w:i w:val="0"/>
          <w:sz w:val="19"/>
        </w:rPr>
        <w:t>/</w:t>
      </w:r>
      <w:r>
        <w:rPr>
          <w:rFonts w:ascii="Arial" w:hAnsi="Arial"/>
          <w:b w:val="0"/>
          <w:i/>
          <w:sz w:val="19"/>
        </w:rPr>
        <w:t>Qwen3.8-Max</w:t>
      </w:r>
      <w:r>
        <w:rPr>
          <w:rFonts w:ascii="Arial" w:hAnsi="Arial"/>
          <w:b w:val="0"/>
          <w:i w:val="0"/>
          <w:sz w:val="19"/>
        </w:rPr>
        <w:t>/</w:t>
      </w:r>
      <w:r>
        <w:rPr>
          <w:rFonts w:ascii="Arial" w:hAnsi="Arial"/>
          <w:b w:val="0"/>
          <w:i/>
          <w:sz w:val="19"/>
        </w:rPr>
        <w:t>Muse Spark 1.2</w:t>
      </w:r>
      <w:r>
        <w:rPr>
          <w:rFonts w:ascii="Arial" w:hAnsi="Arial"/>
          <w:b w:val="0"/>
          <w:i w:val="0"/>
          <w:sz w:val="19"/>
        </w:rPr>
        <w:t>-Konvergenzbefund (§ 8.2) angelegte Verlagerung des Wettbewerbs von der Modellqualität allein auf die Deployment- und Anwendungs­ebene bestätigt. Für die Deutschland-These (§ 8.3) folgt daraus, dass eine an inländischer KI-</w:t>
      </w:r>
      <w:r>
        <w:rPr>
          <w:rFonts w:ascii="Arial" w:hAnsi="Arial"/>
          <w:b w:val="0"/>
          <w:i/>
          <w:sz w:val="19"/>
        </w:rPr>
        <w:t>Nutzung</w:t>
      </w:r>
      <w:r>
        <w:rPr>
          <w:rFonts w:ascii="Arial" w:hAnsi="Arial"/>
          <w:b w:val="0"/>
          <w:i w:val="0"/>
          <w:sz w:val="19"/>
        </w:rPr>
        <w:t xml:space="preserve"> orientierte Zugriffslogik gegenüber einer an Marktkapitalisierungen einzelner Frontier-Anbieter orientierten Zugriffslogik zusätzlich an Robustheit gewinnt: Wenn zentrale Frontier-Talent-Bestände binnen weniger Tage aus einem der beiden größten Konzern-Forschungs­kerne ausscheiden und ihre eigene Alphabet-mitfinanzierte Struktur aufbauen, wird die Marktkapitalisierung des Ursprungs­unternehmens zu einer instabilen Bemessungsgrundlage für Umverteilungs-, Sanders- und OpenAI-Selbstverpflichtungs-Ansätze im Sinne von § 4.5.</w:t>
      </w:r>
    </w:p>
    <w:p>
      <w:pPr>
        <w:jc w:val="both"/>
      </w:pPr>
      <w:r>
        <w:rPr>
          <w:rFonts w:ascii="Arial" w:hAnsi="Arial"/>
          <w:b w:val="0"/>
          <w:i w:val="0"/>
          <w:sz w:val="19"/>
        </w:rPr>
        <w:t xml:space="preserve">Zwei Tage nach dem </w:t>
      </w:r>
      <w:r>
        <w:rPr>
          <w:rFonts w:ascii="Arial" w:hAnsi="Arial"/>
          <w:b w:val="0"/>
          <w:i/>
          <w:sz w:val="19"/>
        </w:rPr>
        <w:t>Alibaba</w:t>
      </w:r>
      <w:r>
        <w:rPr>
          <w:rFonts w:ascii="Arial" w:hAnsi="Arial"/>
          <w:b w:val="0"/>
          <w:i w:val="0"/>
          <w:sz w:val="19"/>
        </w:rPr>
        <w:t xml:space="preserve">-Release hat </w:t>
      </w:r>
      <w:r>
        <w:rPr>
          <w:rFonts w:ascii="Arial" w:hAnsi="Arial"/>
          <w:b w:val="0"/>
          <w:i/>
          <w:sz w:val="19"/>
        </w:rPr>
        <w:t>Meta</w:t>
      </w:r>
      <w:r>
        <w:rPr>
          <w:rFonts w:ascii="Arial" w:hAnsi="Arial"/>
          <w:b w:val="0"/>
          <w:i w:val="0"/>
          <w:sz w:val="19"/>
        </w:rPr>
        <w:t xml:space="preserve"> am 5. August 2026 nach der eigenen </w:t>
      </w:r>
      <w:r>
        <w:rPr>
          <w:rFonts w:ascii="Arial" w:hAnsi="Arial"/>
          <w:b w:val="0"/>
          <w:i/>
          <w:sz w:val="19"/>
        </w:rPr>
        <w:t>Meta AI Research</w:t>
      </w:r>
      <w:r>
        <w:rPr>
          <w:rFonts w:ascii="Arial" w:hAnsi="Arial"/>
          <w:b w:val="0"/>
          <w:i w:val="0"/>
          <w:sz w:val="19"/>
        </w:rPr>
        <w:t xml:space="preserve">-Freigabe und übereinstimmender Berichterstattung von </w:t>
      </w:r>
      <w:r>
        <w:rPr>
          <w:rFonts w:ascii="Arial" w:hAnsi="Arial"/>
          <w:b w:val="0"/>
          <w:i/>
          <w:sz w:val="19"/>
        </w:rPr>
        <w:t>Fortune</w:t>
      </w:r>
      <w:r>
        <w:rPr>
          <w:rFonts w:ascii="Arial" w:hAnsi="Arial"/>
          <w:b w:val="0"/>
          <w:i w:val="0"/>
          <w:sz w:val="19"/>
        </w:rPr>
        <w:t>/</w:t>
      </w:r>
      <w:r>
        <w:rPr>
          <w:rFonts w:ascii="Arial" w:hAnsi="Arial"/>
          <w:b w:val="0"/>
          <w:i/>
          <w:sz w:val="19"/>
        </w:rPr>
        <w:t>Yahoo Finance</w:t>
      </w:r>
      <w:r>
        <w:rPr>
          <w:rFonts w:ascii="Arial" w:hAnsi="Arial"/>
          <w:b w:val="0"/>
          <w:i w:val="0"/>
          <w:sz w:val="19"/>
        </w:rPr>
        <w:t xml:space="preserve">, </w:t>
      </w:r>
      <w:r>
        <w:rPr>
          <w:rFonts w:ascii="Arial" w:hAnsi="Arial"/>
          <w:b w:val="0"/>
          <w:i/>
          <w:sz w:val="19"/>
        </w:rPr>
        <w:t>MarkTechPost</w:t>
      </w:r>
      <w:r>
        <w:rPr>
          <w:rFonts w:ascii="Arial" w:hAnsi="Arial"/>
          <w:b w:val="0"/>
          <w:i w:val="0"/>
          <w:sz w:val="19"/>
        </w:rPr>
        <w:t xml:space="preserve"> und </w:t>
      </w:r>
      <w:r>
        <w:rPr>
          <w:rFonts w:ascii="Arial" w:hAnsi="Arial"/>
          <w:b w:val="0"/>
          <w:i/>
          <w:sz w:val="19"/>
        </w:rPr>
        <w:t>explainx.ai</w:t>
      </w:r>
      <w:r>
        <w:rPr>
          <w:rFonts w:ascii="Arial" w:hAnsi="Arial"/>
          <w:b w:val="0"/>
          <w:i w:val="0"/>
          <w:sz w:val="19"/>
        </w:rPr>
        <w:t xml:space="preserve"> mit </w:t>
      </w:r>
      <w:r>
        <w:rPr>
          <w:rFonts w:ascii="Arial" w:hAnsi="Arial"/>
          <w:b w:val="0"/>
          <w:i/>
          <w:sz w:val="19"/>
        </w:rPr>
        <w:t>Muse Spark 1.2</w:t>
      </w:r>
      <w:r>
        <w:rPr>
          <w:rFonts w:ascii="Arial" w:hAnsi="Arial"/>
          <w:b w:val="0"/>
          <w:i w:val="0"/>
          <w:sz w:val="19"/>
        </w:rPr>
        <w:t xml:space="preserve"> die nächste Iteration seines im April 2026 unter </w:t>
      </w:r>
      <w:r>
        <w:rPr>
          <w:rFonts w:ascii="Arial" w:hAnsi="Arial"/>
          <w:b w:val="0"/>
          <w:i/>
          <w:sz w:val="19"/>
        </w:rPr>
        <w:t>Meta Superintelligence Labs</w:t>
      </w:r>
      <w:r>
        <w:rPr>
          <w:rFonts w:ascii="Arial" w:hAnsi="Arial"/>
          <w:b w:val="0"/>
          <w:i w:val="0"/>
          <w:sz w:val="19"/>
        </w:rPr>
        <w:t xml:space="preserve"> (MSL) angekündigten und am 9. Juli 2026 als </w:t>
      </w:r>
      <w:r>
        <w:rPr>
          <w:rFonts w:ascii="Arial" w:hAnsi="Arial"/>
          <w:b w:val="0"/>
          <w:i/>
          <w:sz w:val="19"/>
        </w:rPr>
        <w:t>Muse Spark 1.1</w:t>
      </w:r>
      <w:r>
        <w:rPr>
          <w:rFonts w:ascii="Arial" w:hAnsi="Arial"/>
          <w:b w:val="0"/>
          <w:i w:val="0"/>
          <w:sz w:val="19"/>
        </w:rPr>
        <w:t xml:space="preserve"> öffentlich freigegebenen Basismodells vorgestellt und flankierend erstmals einen eigenen Terminal-basierten Coding-Agenten (</w:t>
      </w:r>
      <w:r>
        <w:rPr>
          <w:rFonts w:ascii="Arial" w:hAnsi="Arial"/>
          <w:b w:val="0"/>
          <w:i/>
          <w:sz w:val="19"/>
        </w:rPr>
        <w:t>Muse Code</w:t>
      </w:r>
      <w:r>
        <w:rPr>
          <w:rFonts w:ascii="Arial" w:hAnsi="Arial"/>
          <w:b w:val="0"/>
          <w:i w:val="0"/>
          <w:sz w:val="19"/>
        </w:rPr>
        <w:t xml:space="preserve">, Beta) freigegeben. </w:t>
      </w:r>
      <w:r>
        <w:rPr>
          <w:rFonts w:ascii="Arial" w:hAnsi="Arial"/>
          <w:b w:val="0"/>
          <w:i/>
          <w:sz w:val="19"/>
        </w:rPr>
        <w:t>Muse Spark 1.2</w:t>
      </w:r>
      <w:r>
        <w:rPr>
          <w:rFonts w:ascii="Arial" w:hAnsi="Arial"/>
          <w:b w:val="0"/>
          <w:i w:val="0"/>
          <w:sz w:val="19"/>
        </w:rPr>
        <w:t xml:space="preserve"> ist nach Herstellerangaben ein auf Coding und langfristige Software-Aufgaben spezialisiertes Upgrade, das im Selbstverbesserungsverfahren aus Umgebungen trainiert wurde, die die Vorgängerversion </w:t>
      </w:r>
      <w:r>
        <w:rPr>
          <w:rFonts w:ascii="Arial" w:hAnsi="Arial"/>
          <w:b w:val="0"/>
          <w:i/>
          <w:sz w:val="19"/>
        </w:rPr>
        <w:t>Muse Spark 1.1</w:t>
      </w:r>
      <w:r>
        <w:rPr>
          <w:rFonts w:ascii="Arial" w:hAnsi="Arial"/>
          <w:b w:val="0"/>
          <w:i w:val="0"/>
          <w:sz w:val="19"/>
        </w:rPr>
        <w:t xml:space="preserve"> erzeugt hat; </w:t>
      </w:r>
      <w:r>
        <w:rPr>
          <w:rFonts w:ascii="Arial" w:hAnsi="Arial"/>
          <w:b w:val="0"/>
          <w:i/>
          <w:sz w:val="19"/>
        </w:rPr>
        <w:t>Muse Code</w:t>
      </w:r>
      <w:r>
        <w:rPr>
          <w:rFonts w:ascii="Arial" w:hAnsi="Arial"/>
          <w:b w:val="0"/>
          <w:i w:val="0"/>
          <w:sz w:val="19"/>
        </w:rPr>
        <w:t xml:space="preserve"> führt langlaufende Async-Hintergrund-Agenten mit lokalem Event-Log für „replay-exact und restart-safe" Ausführung sowie eine Skill-Bibliothek (`/plan`, `/grill`, `/goal`) ein. Der Zugang erfolgt über die </w:t>
      </w:r>
      <w:r>
        <w:rPr>
          <w:rFonts w:ascii="Arial" w:hAnsi="Arial"/>
          <w:b w:val="0"/>
          <w:i/>
          <w:sz w:val="19"/>
        </w:rPr>
        <w:t>Muse-Code</w:t>
      </w:r>
      <w:r>
        <w:rPr>
          <w:rFonts w:ascii="Arial" w:hAnsi="Arial"/>
          <w:b w:val="0"/>
          <w:i w:val="0"/>
          <w:sz w:val="19"/>
        </w:rPr>
        <w:t xml:space="preserve">-CLI und die </w:t>
      </w:r>
      <w:r>
        <w:rPr>
          <w:rFonts w:ascii="Arial" w:hAnsi="Arial"/>
          <w:b w:val="0"/>
          <w:i/>
          <w:sz w:val="19"/>
        </w:rPr>
        <w:t>Meta Model API</w:t>
      </w:r>
      <w:r>
        <w:rPr>
          <w:rFonts w:ascii="Arial" w:hAnsi="Arial"/>
          <w:b w:val="0"/>
          <w:i w:val="0"/>
          <w:sz w:val="19"/>
        </w:rPr>
        <w:t xml:space="preserve"> („expanded global access", ohne Preis- oder Open-Weight-Details); direkte Benchmark-Vergleichsgrafiken gegen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-Modelle werden nach </w:t>
      </w:r>
      <w:r>
        <w:rPr>
          <w:rFonts w:ascii="Arial" w:hAnsi="Arial"/>
          <w:b w:val="0"/>
          <w:i/>
          <w:sz w:val="19"/>
        </w:rPr>
        <w:t>Fortune</w:t>
      </w:r>
      <w:r>
        <w:rPr>
          <w:rFonts w:ascii="Arial" w:hAnsi="Arial"/>
          <w:b w:val="0"/>
          <w:i w:val="0"/>
          <w:sz w:val="19"/>
        </w:rPr>
        <w:t xml:space="preserve"> und </w:t>
      </w:r>
      <w:r>
        <w:rPr>
          <w:rFonts w:ascii="Arial" w:hAnsi="Arial"/>
          <w:b w:val="0"/>
          <w:i/>
          <w:sz w:val="19"/>
        </w:rPr>
        <w:t>MarkTechPost</w:t>
      </w:r>
      <w:r>
        <w:rPr>
          <w:rFonts w:ascii="Arial" w:hAnsi="Arial"/>
          <w:b w:val="0"/>
          <w:i w:val="0"/>
          <w:sz w:val="19"/>
        </w:rPr>
        <w:t xml:space="preserve"> auf drei Coding-Skalen (Terminal-Bench 2.1, DeepSWE 1.1, Meta Internal Coding Bench) ausgewiesen, unabhängige Nachprüfung steht aus (Konjunktivpflicht nach § 4.2 Claude.md). Für die in § 8.2 dokumentierte Rohstoff-Analogie ergänzt der Vorgang die </w:t>
      </w:r>
      <w:r>
        <w:rPr>
          <w:rFonts w:ascii="Arial" w:hAnsi="Arial"/>
          <w:b w:val="0"/>
          <w:i/>
          <w:sz w:val="19"/>
        </w:rPr>
        <w:t>Alibaba</w:t>
      </w:r>
      <w:r>
        <w:rPr>
          <w:rFonts w:ascii="Arial" w:hAnsi="Arial"/>
          <w:b w:val="0"/>
          <w:i w:val="0"/>
          <w:sz w:val="19"/>
        </w:rPr>
        <w:t xml:space="preserve">-Qwen3.8-Max-Freigabe (3. August 2026) und die </w:t>
      </w:r>
      <w:r>
        <w:rPr>
          <w:rFonts w:ascii="Arial" w:hAnsi="Arial"/>
          <w:b w:val="0"/>
          <w:i/>
          <w:sz w:val="19"/>
        </w:rPr>
        <w:t>Moonshot</w:t>
      </w:r>
      <w:r>
        <w:rPr>
          <w:rFonts w:ascii="Arial" w:hAnsi="Arial"/>
          <w:b w:val="0"/>
          <w:i w:val="0"/>
          <w:sz w:val="19"/>
        </w:rPr>
        <w:t xml:space="preserve">-Kimi-K3-Freigabe (16. Juli 2026) um einen dritten strukturell gleichartigen Datenpunkt binnen weniger Wochen: Die Frontier-Modell-Achse verbreitert sich nicht mehr nur auf der chinesischen </w:t>
      </w:r>
      <w:r>
        <w:rPr>
          <w:rFonts w:ascii="Arial" w:hAnsi="Arial"/>
          <w:b w:val="0"/>
          <w:i/>
          <w:sz w:val="19"/>
        </w:rPr>
        <w:t>Open-Weight</w:t>
      </w:r>
      <w:r>
        <w:rPr>
          <w:rFonts w:ascii="Arial" w:hAnsi="Arial"/>
          <w:b w:val="0"/>
          <w:i w:val="0"/>
          <w:sz w:val="19"/>
        </w:rPr>
        <w:t xml:space="preserve">-Seite, sondern auch bei den US-Hyperscalern jenseits des OpenAI-Anthropic-Duopols; </w:t>
      </w:r>
      <w:r>
        <w:rPr>
          <w:rFonts w:ascii="Arial" w:hAnsi="Arial"/>
          <w:b w:val="0"/>
          <w:i/>
          <w:sz w:val="19"/>
        </w:rPr>
        <w:t>Meta</w:t>
      </w:r>
      <w:r>
        <w:rPr>
          <w:rFonts w:ascii="Arial" w:hAnsi="Arial"/>
          <w:b w:val="0"/>
          <w:i w:val="0"/>
          <w:sz w:val="19"/>
        </w:rPr>
        <w:t xml:space="preserve"> positioniert sich mit einem separaten Superintelligence-Labs-Zweig und einem eigenständigen Coding-Agent-Stack als vierter US-Frontier-Anbieter neben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Für die Deutschland-These (§ 8.3) verstärkt der Vorgang die im </w:t>
      </w:r>
      <w:r>
        <w:rPr>
          <w:rFonts w:ascii="Arial" w:hAnsi="Arial"/>
          <w:b w:val="0"/>
          <w:i/>
          <w:sz w:val="19"/>
        </w:rPr>
        <w:t>Alibaba</w:t>
      </w:r>
      <w:r>
        <w:rPr>
          <w:rFonts w:ascii="Arial" w:hAnsi="Arial"/>
          <w:b w:val="0"/>
          <w:i w:val="0"/>
          <w:sz w:val="19"/>
        </w:rPr>
        <w:t xml:space="preserve">-Absatz markierte Verlagerung der Wettbewerbsdynamik von der API-Preisebene auf die Deployment- und Agent-Ebene, an der die europäische Anwenderseite unmittelbar anschlussfähig ist; für die Rohstoff-Analogie folgt daraus, dass die im Papier bereits formulierte Position, wonach die Basismodellproduktion nicht die relevante europäische Wertschöpfungsstufe ist, durch die zunehmende Konkurrenz auf der Modellseite bei gleichzeitig ausdifferenzierten Anwendungswerkzeugen (Agent-Frameworks, Coding-Agents, Deployment-Stacks) empirisch weiter gestützt wird. Nachtrag zum 10. August 2026: Fünf Tage nach der </w:t>
      </w:r>
      <w:r>
        <w:rPr>
          <w:rFonts w:ascii="Arial" w:hAnsi="Arial"/>
          <w:b w:val="0"/>
          <w:i/>
          <w:sz w:val="19"/>
        </w:rPr>
        <w:t>Muse-Spark-1.2</w:t>
      </w:r>
      <w:r>
        <w:rPr>
          <w:rFonts w:ascii="Arial" w:hAnsi="Arial"/>
          <w:b w:val="0"/>
          <w:i w:val="0"/>
          <w:sz w:val="19"/>
        </w:rPr>
        <w:t xml:space="preserve">-Freigabe hat </w:t>
      </w:r>
      <w:r>
        <w:rPr>
          <w:rFonts w:ascii="Arial" w:hAnsi="Arial"/>
          <w:b w:val="0"/>
          <w:i/>
          <w:sz w:val="19"/>
        </w:rPr>
        <w:t>Meta</w:t>
      </w:r>
      <w:r>
        <w:rPr>
          <w:rFonts w:ascii="Arial" w:hAnsi="Arial"/>
          <w:b w:val="0"/>
          <w:i w:val="0"/>
          <w:sz w:val="19"/>
        </w:rPr>
        <w:t xml:space="preserve"> nach eigener Bekanntgabe („Introducing Muse Glimmer: An Open Agentic Model That Runs on Your Device") und übereinstimmender Berichterstattung von </w:t>
      </w:r>
      <w:r>
        <w:rPr>
          <w:rFonts w:ascii="Arial" w:hAnsi="Arial"/>
          <w:b w:val="0"/>
          <w:i/>
          <w:sz w:val="19"/>
        </w:rPr>
        <w:t>CNBC</w:t>
      </w:r>
      <w:r>
        <w:rPr>
          <w:rFonts w:ascii="Arial" w:hAnsi="Arial"/>
          <w:b w:val="0"/>
          <w:i w:val="0"/>
          <w:sz w:val="19"/>
        </w:rPr>
        <w:t xml:space="preserve"> (10. August 2026), </w:t>
      </w:r>
      <w:r>
        <w:rPr>
          <w:rFonts w:ascii="Arial" w:hAnsi="Arial"/>
          <w:b w:val="0"/>
          <w:i/>
          <w:sz w:val="19"/>
        </w:rPr>
        <w:t>SiliconAngle</w:t>
      </w:r>
      <w:r>
        <w:rPr>
          <w:rFonts w:ascii="Arial" w:hAnsi="Arial"/>
          <w:b w:val="0"/>
          <w:i w:val="0"/>
          <w:sz w:val="19"/>
        </w:rPr>
        <w:t xml:space="preserve">, </w:t>
      </w:r>
      <w:r>
        <w:rPr>
          <w:rFonts w:ascii="Arial" w:hAnsi="Arial"/>
          <w:b w:val="0"/>
          <w:i/>
          <w:sz w:val="19"/>
        </w:rPr>
        <w:t>Seeking Alpha</w:t>
      </w:r>
      <w:r>
        <w:rPr>
          <w:rFonts w:ascii="Arial" w:hAnsi="Arial"/>
          <w:b w:val="0"/>
          <w:i w:val="0"/>
          <w:sz w:val="19"/>
        </w:rPr>
        <w:t xml:space="preserve">, </w:t>
      </w:r>
      <w:r>
        <w:rPr>
          <w:rFonts w:ascii="Arial" w:hAnsi="Arial"/>
          <w:b w:val="0"/>
          <w:i/>
          <w:sz w:val="19"/>
        </w:rPr>
        <w:t>Phoronix</w:t>
      </w:r>
      <w:r>
        <w:rPr>
          <w:rFonts w:ascii="Arial" w:hAnsi="Arial"/>
          <w:b w:val="0"/>
          <w:i w:val="0"/>
          <w:sz w:val="19"/>
        </w:rPr>
        <w:t xml:space="preserve"> und der begleitenden </w:t>
      </w:r>
      <w:r>
        <w:rPr>
          <w:rFonts w:ascii="Arial" w:hAnsi="Arial"/>
          <w:b w:val="0"/>
          <w:i/>
          <w:sz w:val="19"/>
        </w:rPr>
        <w:t>Hugging-Face</w:t>
      </w:r>
      <w:r>
        <w:rPr>
          <w:rFonts w:ascii="Arial" w:hAnsi="Arial"/>
          <w:b w:val="0"/>
          <w:i w:val="0"/>
          <w:sz w:val="19"/>
        </w:rPr>
        <w:t xml:space="preserve">-Modellkarte am 10. August 2026 mit </w:t>
      </w:r>
      <w:r>
        <w:rPr>
          <w:rFonts w:ascii="Arial" w:hAnsi="Arial"/>
          <w:b w:val="0"/>
          <w:i/>
          <w:sz w:val="19"/>
        </w:rPr>
        <w:t>Muse Glimmer</w:t>
      </w:r>
      <w:r>
        <w:rPr>
          <w:rFonts w:ascii="Arial" w:hAnsi="Arial"/>
          <w:b w:val="0"/>
          <w:i w:val="0"/>
          <w:sz w:val="19"/>
        </w:rPr>
        <w:t xml:space="preserve"> einen 30-Milliarden-Parameter-</w:t>
      </w:r>
      <w:r>
        <w:rPr>
          <w:rFonts w:ascii="Arial" w:hAnsi="Arial"/>
          <w:b w:val="0"/>
          <w:i/>
          <w:sz w:val="19"/>
        </w:rPr>
        <w:t>Open-Weight</w:t>
      </w:r>
      <w:r>
        <w:rPr>
          <w:rFonts w:ascii="Arial" w:hAnsi="Arial"/>
          <w:b w:val="0"/>
          <w:i w:val="0"/>
          <w:sz w:val="19"/>
        </w:rPr>
        <w:t xml:space="preserve">-Ableger seines </w:t>
      </w:r>
      <w:r>
        <w:rPr>
          <w:rFonts w:ascii="Arial" w:hAnsi="Arial"/>
          <w:b w:val="0"/>
          <w:i/>
          <w:sz w:val="19"/>
        </w:rPr>
        <w:t>Muse-Spark</w:t>
      </w:r>
      <w:r>
        <w:rPr>
          <w:rFonts w:ascii="Arial" w:hAnsi="Arial"/>
          <w:b w:val="0"/>
          <w:i w:val="0"/>
          <w:sz w:val="19"/>
        </w:rPr>
        <w:t>-Familienlaufs freigegeben, der auf lokal ausführbare Agenten-Arbeitslasten (</w:t>
      </w:r>
      <w:r>
        <w:rPr>
          <w:rFonts w:ascii="Arial" w:hAnsi="Arial"/>
          <w:b w:val="0"/>
          <w:i/>
          <w:sz w:val="19"/>
        </w:rPr>
        <w:t>local agents</w:t>
      </w:r>
      <w:r>
        <w:rPr>
          <w:rFonts w:ascii="Arial" w:hAnsi="Arial"/>
          <w:b w:val="0"/>
          <w:i w:val="0"/>
          <w:sz w:val="19"/>
        </w:rPr>
        <w:t xml:space="preserve">, </w:t>
      </w:r>
      <w:r>
        <w:rPr>
          <w:rFonts w:ascii="Arial" w:hAnsi="Arial"/>
          <w:b w:val="0"/>
          <w:i/>
          <w:sz w:val="19"/>
        </w:rPr>
        <w:t>function calling</w:t>
      </w:r>
      <w:r>
        <w:rPr>
          <w:rFonts w:ascii="Arial" w:hAnsi="Arial"/>
          <w:b w:val="0"/>
          <w:i w:val="0"/>
          <w:sz w:val="19"/>
        </w:rPr>
        <w:t xml:space="preserve">, </w:t>
      </w:r>
      <w:r>
        <w:rPr>
          <w:rFonts w:ascii="Arial" w:hAnsi="Arial"/>
          <w:b w:val="0"/>
          <w:i/>
          <w:sz w:val="19"/>
        </w:rPr>
        <w:t>coding</w:t>
      </w:r>
      <w:r>
        <w:rPr>
          <w:rFonts w:ascii="Arial" w:hAnsi="Arial"/>
          <w:b w:val="0"/>
          <w:i w:val="0"/>
          <w:sz w:val="19"/>
        </w:rPr>
        <w:t xml:space="preserve">, </w:t>
      </w:r>
      <w:r>
        <w:rPr>
          <w:rFonts w:ascii="Arial" w:hAnsi="Arial"/>
          <w:b w:val="0"/>
          <w:i/>
          <w:sz w:val="19"/>
        </w:rPr>
        <w:t>LLM-as-a-judge</w:t>
      </w:r>
      <w:r>
        <w:rPr>
          <w:rFonts w:ascii="Arial" w:hAnsi="Arial"/>
          <w:b w:val="0"/>
          <w:i w:val="0"/>
          <w:sz w:val="19"/>
        </w:rPr>
        <w:t xml:space="preserve">) zugeschnitten ist; nach den Anbieterangaben ist das Modell durch 4-Bit-Quantisierung und </w:t>
      </w:r>
      <w:r>
        <w:rPr>
          <w:rFonts w:ascii="Arial" w:hAnsi="Arial"/>
          <w:b w:val="0"/>
          <w:i/>
          <w:sz w:val="19"/>
        </w:rPr>
        <w:t>speculative decoding</w:t>
      </w:r>
      <w:r>
        <w:rPr>
          <w:rFonts w:ascii="Arial" w:hAnsi="Arial"/>
          <w:b w:val="0"/>
          <w:i w:val="0"/>
          <w:sz w:val="19"/>
        </w:rPr>
        <w:t xml:space="preserve"> (Drafter-Verifier-Pipeline) auf einen Speicherbedarf von unter 20 Gigabyte RAM komprimiert (nativ rund 55 Gigabyte) und läuft auf einem einzelnen Consumer-Grafikchip auf Mac- oder PC-Systemen; einstellbare </w:t>
      </w:r>
      <w:r>
        <w:rPr>
          <w:rFonts w:ascii="Arial" w:hAnsi="Arial"/>
          <w:b w:val="0"/>
          <w:i/>
          <w:sz w:val="19"/>
        </w:rPr>
        <w:t>Reasoning-Strength</w:t>
      </w:r>
      <w:r>
        <w:rPr>
          <w:rFonts w:ascii="Arial" w:hAnsi="Arial"/>
          <w:b w:val="0"/>
          <w:i w:val="0"/>
          <w:sz w:val="19"/>
        </w:rPr>
        <w:t xml:space="preserve">-Stufen und automatische Aufgabenwiederholungen ergänzen die Standard-Agenten-Schleife. In den vom Anbieter berichteten Benchmark-Vergleichen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führt </w:t>
      </w:r>
      <w:r>
        <w:rPr>
          <w:rFonts w:ascii="Arial" w:hAnsi="Arial"/>
          <w:b w:val="0"/>
          <w:i/>
          <w:sz w:val="19"/>
        </w:rPr>
        <w:t>Muse Glimmer</w:t>
      </w:r>
      <w:r>
        <w:rPr>
          <w:rFonts w:ascii="Arial" w:hAnsi="Arial"/>
          <w:b w:val="0"/>
          <w:i w:val="0"/>
          <w:sz w:val="19"/>
        </w:rPr>
        <w:t xml:space="preserve"> nach eigener Zählung auf rund der Hälfte der zwei Dutzend geprüften Benchmarks (Online-Recherche, Codegenerierung, wissenschaftliche Chart-Analyse); unabhängige Vergleiche mit den führenden </w:t>
      </w:r>
      <w:r>
        <w:rPr>
          <w:rFonts w:ascii="Arial" w:hAnsi="Arial"/>
          <w:b w:val="0"/>
          <w:i/>
          <w:sz w:val="19"/>
        </w:rPr>
        <w:t>closed-source</w:t>
      </w:r>
      <w:r>
        <w:rPr>
          <w:rFonts w:ascii="Arial" w:hAnsi="Arial"/>
          <w:b w:val="0"/>
          <w:i w:val="0"/>
          <w:sz w:val="19"/>
        </w:rPr>
        <w:t xml:space="preserve">-Modellen von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stehen zum Freigabedatum aus (Konjunktivpflicht nach § 4.2 Claude.md). Die </w:t>
      </w:r>
      <w:r>
        <w:rPr>
          <w:rFonts w:ascii="Arial" w:hAnsi="Arial"/>
          <w:b w:val="0"/>
          <w:i/>
          <w:sz w:val="19"/>
        </w:rPr>
        <w:t>Meta-AI-Research</w:t>
      </w:r>
      <w:r>
        <w:rPr>
          <w:rFonts w:ascii="Arial" w:hAnsi="Arial"/>
          <w:b w:val="0"/>
          <w:i w:val="0"/>
          <w:sz w:val="19"/>
        </w:rPr>
        <w:t xml:space="preserve">-Blog-Freigabe verweist ausdrücklich auf die Ableitung aus dem </w:t>
      </w:r>
      <w:r>
        <w:rPr>
          <w:rFonts w:ascii="Arial" w:hAnsi="Arial"/>
          <w:b w:val="0"/>
          <w:i/>
          <w:sz w:val="19"/>
        </w:rPr>
        <w:t>Muse-Spark</w:t>
      </w:r>
      <w:r>
        <w:rPr>
          <w:rFonts w:ascii="Arial" w:hAnsi="Arial"/>
          <w:b w:val="0"/>
          <w:i w:val="0"/>
          <w:sz w:val="19"/>
        </w:rPr>
        <w:t xml:space="preserve">-Lehrer-Modell und die Möglichkeit, das Gewichtsformat samt Modellkarte über </w:t>
      </w:r>
      <w:r>
        <w:rPr>
          <w:rFonts w:ascii="Arial" w:hAnsi="Arial"/>
          <w:b w:val="0"/>
          <w:i/>
          <w:sz w:val="19"/>
        </w:rPr>
        <w:t>Hugging Face</w:t>
      </w:r>
      <w:r>
        <w:rPr>
          <w:rFonts w:ascii="Arial" w:hAnsi="Arial"/>
          <w:b w:val="0"/>
          <w:i w:val="0"/>
          <w:sz w:val="19"/>
        </w:rPr>
        <w:t xml:space="preserve"> zu beziehen; für die in § 8.2 dokumentierte Verlagerung der Wettbewerbsdynamik auf die Deployment- und Agent-Ebene verdichtet der Schritt die Beobachtung um einen weiteren Datenpunkt: Ein US-Frontier-Anbieter verschiebt binnen einer Woche einen mittelgroßen agentenfähigen Ableger seines Flaggschiff-Modells auf ein </w:t>
      </w:r>
      <w:r>
        <w:rPr>
          <w:rFonts w:ascii="Arial" w:hAnsi="Arial"/>
          <w:b w:val="0"/>
          <w:i/>
          <w:sz w:val="19"/>
        </w:rPr>
        <w:t>lokales</w:t>
      </w:r>
      <w:r>
        <w:rPr>
          <w:rFonts w:ascii="Arial" w:hAnsi="Arial"/>
          <w:b w:val="0"/>
          <w:i w:val="0"/>
          <w:sz w:val="19"/>
        </w:rPr>
        <w:t xml:space="preserve"> Ausführungsprofil unter offenem Gewicht — mit unmittelbarer Rückwirkung auf die Zugriffs- und Bemessungslogik einer künftigen inländischen KI-Nutzungsabgabe (§ 8.3), weil die in diesem Segment relevante Verrechnungsschicht dann nicht mehr die zentralen API-Endpunkte, sondern die betriebliche Anwendung im inländischen Rechnersystem ist. Zugleich stellt die </w:t>
      </w:r>
      <w:r>
        <w:rPr>
          <w:rFonts w:ascii="Arial" w:hAnsi="Arial"/>
          <w:b w:val="0"/>
          <w:i/>
          <w:sz w:val="19"/>
        </w:rPr>
        <w:t>Open-Weight</w:t>
      </w:r>
      <w:r>
        <w:rPr>
          <w:rFonts w:ascii="Arial" w:hAnsi="Arial"/>
          <w:b w:val="0"/>
          <w:i w:val="0"/>
          <w:sz w:val="19"/>
        </w:rPr>
        <w:t xml:space="preserve">-Freigabe eines mittelgroßen Frontier-Ablegers einen weiteren empirischen Beleg gegen die im </w:t>
      </w:r>
      <w:r>
        <w:rPr>
          <w:rFonts w:ascii="Arial" w:hAnsi="Arial"/>
          <w:b w:val="0"/>
          <w:i/>
          <w:sz w:val="19"/>
        </w:rPr>
        <w:t>American A.I. Sovereign Wealth Fund Act</w:t>
      </w:r>
      <w:r>
        <w:rPr>
          <w:rFonts w:ascii="Arial" w:hAnsi="Arial"/>
          <w:b w:val="0"/>
          <w:i w:val="0"/>
          <w:sz w:val="19"/>
        </w:rPr>
        <w:t xml:space="preserve"> (§ 4.5) angelegte bestandsorientierte Zugriffslogik dar: Die Modell-Wertschöpfung diffundiert auf eine Anwendungsschicht, in der die Bemessungsbasis anbieterseitig kaum mehr abgrenzbar ist.</w:t>
      </w:r>
    </w:p>
    <w:p>
      <w:pPr>
        <w:jc w:val="both"/>
      </w:pPr>
      <w:r>
        <w:rPr>
          <w:rFonts w:ascii="Arial" w:hAnsi="Arial"/>
          <w:b w:val="0"/>
          <w:i w:val="0"/>
          <w:sz w:val="19"/>
        </w:rPr>
        <w:t xml:space="preserve">Am API-Frontier setzt sich die in § 8.2 dokumentierte deflationäre Preisdynamik am 11. bis 13. August 2026 in einem doppelten Zug fort. Erstens hat </w:t>
      </w:r>
      <w:r>
        <w:rPr>
          <w:rFonts w:ascii="Arial" w:hAnsi="Arial"/>
          <w:b w:val="0"/>
          <w:i/>
          <w:sz w:val="19"/>
        </w:rPr>
        <w:t>OpenAI</w:t>
      </w:r>
      <w:r>
        <w:rPr>
          <w:rFonts w:ascii="Arial" w:hAnsi="Arial"/>
          <w:b w:val="0"/>
          <w:i w:val="0"/>
          <w:sz w:val="19"/>
        </w:rPr>
        <w:t xml:space="preserve"> am 11. August 2026 nach eigener Bekanntgabe und flankierender Berichterstattung von </w:t>
      </w:r>
      <w:r>
        <w:rPr>
          <w:rFonts w:ascii="Arial" w:hAnsi="Arial"/>
          <w:b w:val="0"/>
          <w:i/>
          <w:sz w:val="19"/>
        </w:rPr>
        <w:t>gHacks</w:t>
      </w:r>
      <w:r>
        <w:rPr>
          <w:rFonts w:ascii="Arial" w:hAnsi="Arial"/>
          <w:b w:val="0"/>
          <w:i w:val="0"/>
          <w:sz w:val="19"/>
        </w:rPr>
        <w:t xml:space="preserve">, </w:t>
      </w:r>
      <w:r>
        <w:rPr>
          <w:rFonts w:ascii="Arial" w:hAnsi="Arial"/>
          <w:b w:val="0"/>
          <w:i/>
          <w:sz w:val="19"/>
        </w:rPr>
        <w:t>Adventure Media</w:t>
      </w:r>
      <w:r>
        <w:rPr>
          <w:rFonts w:ascii="Arial" w:hAnsi="Arial"/>
          <w:b w:val="0"/>
          <w:i w:val="0"/>
          <w:sz w:val="19"/>
        </w:rPr>
        <w:t xml:space="preserve"> und </w:t>
      </w:r>
      <w:r>
        <w:rPr>
          <w:rFonts w:ascii="Arial" w:hAnsi="Arial"/>
          <w:b w:val="0"/>
          <w:i/>
          <w:sz w:val="19"/>
        </w:rPr>
        <w:t>Monks Answer Engine</w:t>
      </w:r>
      <w:r>
        <w:rPr>
          <w:rFonts w:ascii="Arial" w:hAnsi="Arial"/>
          <w:b w:val="0"/>
          <w:i w:val="0"/>
          <w:sz w:val="19"/>
        </w:rPr>
        <w:t xml:space="preserve"> den </w:t>
      </w:r>
      <w:r>
        <w:rPr>
          <w:rFonts w:ascii="Arial" w:hAnsi="Arial"/>
          <w:b w:val="0"/>
          <w:i/>
          <w:sz w:val="19"/>
        </w:rPr>
        <w:t>ChatGPT-Advertising</w:t>
      </w:r>
      <w:r>
        <w:rPr>
          <w:rFonts w:ascii="Arial" w:hAnsi="Arial"/>
          <w:b w:val="0"/>
          <w:i w:val="0"/>
          <w:sz w:val="19"/>
        </w:rPr>
        <w:t xml:space="preserve">-Testlauf, der im Februar 2026 in den USA gestartet und im Frühjahr auf Kanada, Australien und Neuseeland ausgeweitet worden war, in fünf weiteren Zielmärkten produktiv geschaltet: </w:t>
      </w:r>
      <w:r>
        <w:rPr>
          <w:rFonts w:ascii="Arial" w:hAnsi="Arial"/>
          <w:b w:val="0"/>
          <w:i/>
          <w:sz w:val="19"/>
        </w:rPr>
        <w:t>Vereinigtes Königreich</w:t>
      </w:r>
      <w:r>
        <w:rPr>
          <w:rFonts w:ascii="Arial" w:hAnsi="Arial"/>
          <w:b w:val="0"/>
          <w:i w:val="0"/>
          <w:sz w:val="19"/>
        </w:rPr>
        <w:t xml:space="preserve">, </w:t>
      </w:r>
      <w:r>
        <w:rPr>
          <w:rFonts w:ascii="Arial" w:hAnsi="Arial"/>
          <w:b w:val="0"/>
          <w:i/>
          <w:sz w:val="19"/>
        </w:rPr>
        <w:t>Mexiko</w:t>
      </w:r>
      <w:r>
        <w:rPr>
          <w:rFonts w:ascii="Arial" w:hAnsi="Arial"/>
          <w:b w:val="0"/>
          <w:i w:val="0"/>
          <w:sz w:val="19"/>
        </w:rPr>
        <w:t xml:space="preserve">, </w:t>
      </w:r>
      <w:r>
        <w:rPr>
          <w:rFonts w:ascii="Arial" w:hAnsi="Arial"/>
          <w:b w:val="0"/>
          <w:i/>
          <w:sz w:val="19"/>
        </w:rPr>
        <w:t>Brasilien</w:t>
      </w:r>
      <w:r>
        <w:rPr>
          <w:rFonts w:ascii="Arial" w:hAnsi="Arial"/>
          <w:b w:val="0"/>
          <w:i w:val="0"/>
          <w:sz w:val="19"/>
        </w:rPr>
        <w:t xml:space="preserve">, </w:t>
      </w:r>
      <w:r>
        <w:rPr>
          <w:rFonts w:ascii="Arial" w:hAnsi="Arial"/>
          <w:b w:val="0"/>
          <w:i/>
          <w:sz w:val="19"/>
        </w:rPr>
        <w:t>Japan</w:t>
      </w:r>
      <w:r>
        <w:rPr>
          <w:rFonts w:ascii="Arial" w:hAnsi="Arial"/>
          <w:b w:val="0"/>
          <w:i w:val="0"/>
          <w:sz w:val="19"/>
        </w:rPr>
        <w:t xml:space="preserve"> und </w:t>
      </w:r>
      <w:r>
        <w:rPr>
          <w:rFonts w:ascii="Arial" w:hAnsi="Arial"/>
          <w:b w:val="0"/>
          <w:i/>
          <w:sz w:val="19"/>
        </w:rPr>
        <w:t>Republik Korea</w:t>
      </w:r>
      <w:r>
        <w:rPr>
          <w:rFonts w:ascii="Arial" w:hAnsi="Arial"/>
          <w:b w:val="0"/>
          <w:i w:val="0"/>
          <w:sz w:val="19"/>
        </w:rPr>
        <w:t xml:space="preserve">. Die Werbung wird gemäß der Konzern-Selbstbeschreibung ausschließlich den kostenfreien und den </w:t>
      </w:r>
      <w:r>
        <w:rPr>
          <w:rFonts w:ascii="Arial" w:hAnsi="Arial"/>
          <w:b w:val="0"/>
          <w:i/>
          <w:sz w:val="19"/>
        </w:rPr>
        <w:t>Go</w:t>
      </w:r>
      <w:r>
        <w:rPr>
          <w:rFonts w:ascii="Arial" w:hAnsi="Arial"/>
          <w:b w:val="0"/>
          <w:i w:val="0"/>
          <w:sz w:val="19"/>
        </w:rPr>
        <w:t>-Tarifen ausgespielt, während die kostenpflichtigen Tarife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w:t>
      </w:r>
      <w:r>
        <w:rPr>
          <w:rFonts w:ascii="Arial" w:hAnsi="Arial"/>
          <w:b w:val="0"/>
          <w:i/>
          <w:sz w:val="19"/>
        </w:rPr>
        <w:t>Education</w:t>
      </w:r>
      <w:r>
        <w:rPr>
          <w:rFonts w:ascii="Arial" w:hAnsi="Arial"/>
          <w:b w:val="0"/>
          <w:i w:val="0"/>
          <w:sz w:val="19"/>
        </w:rPr>
        <w:t xml:space="preserve">) werbefrei bleiben; nach den Anbieterangaben werden die Werbeanzeigen mit Gesprächskontext und Interaktionshistorie inhaltlich abgeglichen, ohne die Antworten selbst zu beeinflussen, und sind sichtbar als </w:t>
      </w:r>
      <w:r>
        <w:rPr>
          <w:rFonts w:ascii="Arial" w:hAnsi="Arial"/>
          <w:b w:val="0"/>
          <w:i/>
          <w:sz w:val="19"/>
        </w:rPr>
        <w:t>sponsored content</w:t>
      </w:r>
      <w:r>
        <w:rPr>
          <w:rFonts w:ascii="Arial" w:hAnsi="Arial"/>
          <w:b w:val="0"/>
          <w:i w:val="0"/>
          <w:sz w:val="19"/>
        </w:rPr>
        <w:t xml:space="preserve"> gekennzeichnet (Konjunktivpflicht nach § 4.2 Claude.md, da die Verifikation der Non-Influence-Zusage anbieterseitig erfolgt). Zweitens hat </w:t>
      </w:r>
      <w:r>
        <w:rPr>
          <w:rFonts w:ascii="Arial" w:hAnsi="Arial"/>
          <w:b w:val="0"/>
          <w:i/>
          <w:sz w:val="19"/>
        </w:rPr>
        <w:t>OpenAI</w:t>
      </w:r>
      <w:r>
        <w:rPr>
          <w:rFonts w:ascii="Arial" w:hAnsi="Arial"/>
          <w:b w:val="0"/>
          <w:i w:val="0"/>
          <w:sz w:val="19"/>
        </w:rPr>
        <w:t xml:space="preserve"> am 13. August 2026 einen </w:t>
      </w:r>
      <w:r>
        <w:rPr>
          <w:rFonts w:ascii="Arial" w:hAnsi="Arial"/>
          <w:b w:val="0"/>
          <w:i/>
          <w:sz w:val="19"/>
        </w:rPr>
        <w:t>Ultrafast</w:t>
      </w:r>
      <w:r>
        <w:rPr>
          <w:rFonts w:ascii="Arial" w:hAnsi="Arial"/>
          <w:b w:val="0"/>
          <w:i w:val="0"/>
          <w:sz w:val="19"/>
        </w:rPr>
        <w:t xml:space="preserve">-Vorschau-Modus für das Flaggschiff-Modell </w:t>
      </w:r>
      <w:r>
        <w:rPr>
          <w:rFonts w:ascii="Arial" w:hAnsi="Arial"/>
          <w:b w:val="0"/>
          <w:i/>
          <w:sz w:val="19"/>
        </w:rPr>
        <w:t>GPT-5.6 Sol</w:t>
      </w:r>
      <w:r>
        <w:rPr>
          <w:rFonts w:ascii="Arial" w:hAnsi="Arial"/>
          <w:b w:val="0"/>
          <w:i w:val="0"/>
          <w:sz w:val="19"/>
        </w:rPr>
        <w:t xml:space="preserve"> angekündigt: Der Modus läuft auf </w:t>
      </w:r>
      <w:r>
        <w:rPr>
          <w:rFonts w:ascii="Arial" w:hAnsi="Arial"/>
          <w:b w:val="0"/>
          <w:i/>
          <w:sz w:val="19"/>
        </w:rPr>
        <w:t>Cerebras</w:t>
      </w:r>
      <w:r>
        <w:rPr>
          <w:rFonts w:ascii="Arial" w:hAnsi="Arial"/>
          <w:b w:val="0"/>
          <w:i w:val="0"/>
          <w:sz w:val="19"/>
        </w:rPr>
        <w:t xml:space="preserve">-Infrastruktur, erreicht nach Anbieter- und </w:t>
      </w:r>
      <w:r>
        <w:rPr>
          <w:rFonts w:ascii="Arial" w:hAnsi="Arial"/>
          <w:b w:val="0"/>
          <w:i/>
          <w:sz w:val="19"/>
        </w:rPr>
        <w:t>edenai</w:t>
      </w:r>
      <w:r>
        <w:rPr>
          <w:rFonts w:ascii="Arial" w:hAnsi="Arial"/>
          <w:b w:val="0"/>
          <w:i w:val="0"/>
          <w:sz w:val="19"/>
        </w:rPr>
        <w:t xml:space="preserve">-Berichterstattung bis zu 750 Ausgabe-Token pro Sekunde und rund die 14-fache Standard-Ausführungsgeschwindigkeit; die Preisstruktur der </w:t>
      </w:r>
      <w:r>
        <w:rPr>
          <w:rFonts w:ascii="Arial" w:hAnsi="Arial"/>
          <w:b w:val="0"/>
          <w:i/>
          <w:sz w:val="19"/>
        </w:rPr>
        <w:t>Sol</w:t>
      </w:r>
      <w:r>
        <w:rPr>
          <w:rFonts w:ascii="Arial" w:hAnsi="Arial"/>
          <w:b w:val="0"/>
          <w:i w:val="0"/>
          <w:sz w:val="19"/>
        </w:rPr>
        <w:t xml:space="preserve">-Zeile (5 US-Dollar Input, 30 US-Dollar Output je Million Token) bleibt in der Vorschau erhalten, die Kapazität ist auf einen ausgewählten Kundenkreis begrenzt. Für die in § 8.2 dokumentierte Auffächerung der Frontier-Ökonomik in eine deflationäre Workhorse-Klasse und eine knappheits-getriebene Spitzenklasse (Version 45.0) präzisiert die </w:t>
      </w:r>
      <w:r>
        <w:rPr>
          <w:rFonts w:ascii="Arial" w:hAnsi="Arial"/>
          <w:b w:val="0"/>
          <w:i/>
          <w:sz w:val="19"/>
        </w:rPr>
        <w:t>Ultrafast</w:t>
      </w:r>
      <w:r>
        <w:rPr>
          <w:rFonts w:ascii="Arial" w:hAnsi="Arial"/>
          <w:b w:val="0"/>
          <w:i w:val="0"/>
          <w:sz w:val="19"/>
        </w:rPr>
        <w:t xml:space="preserve">-Vorschau das Muster: Neben der reinen Token-Preis-Ebene entsteht eine separate </w:t>
      </w:r>
      <w:r>
        <w:rPr>
          <w:rFonts w:ascii="Arial" w:hAnsi="Arial"/>
          <w:b w:val="0"/>
          <w:i/>
          <w:sz w:val="19"/>
        </w:rPr>
        <w:t>Latenz-Prämie</w:t>
      </w:r>
      <w:r>
        <w:rPr>
          <w:rFonts w:ascii="Arial" w:hAnsi="Arial"/>
          <w:b w:val="0"/>
          <w:i w:val="0"/>
          <w:sz w:val="19"/>
        </w:rPr>
        <w:t xml:space="preserve">, mit der ein Frontier-Anbieter Kunden mit hoher Zeitsensitivität preislich ausdifferenzieren kann, ohne die Standard-Preisliste zu bewegen. Für die Zugriffslogik einer inländischen KI-Nutzungsabgabe (§ 8.3) folgt daraus, dass eine tokenpreis-basierte Bemessung — wie sie der </w:t>
      </w:r>
      <w:r>
        <w:rPr>
          <w:rFonts w:ascii="Arial" w:hAnsi="Arial"/>
          <w:b w:val="0"/>
          <w:i/>
          <w:sz w:val="19"/>
        </w:rPr>
        <w:t>AI Tax and Work Protection Act</w:t>
      </w:r>
      <w:r>
        <w:rPr>
          <w:rFonts w:ascii="Arial" w:hAnsi="Arial"/>
          <w:b w:val="0"/>
          <w:i w:val="0"/>
          <w:sz w:val="19"/>
        </w:rPr>
        <w:t xml:space="preserve"> (§ 4.5) auf US-Seite konzeptionell anlegt — von Zusatzdimensionen (Modellklasse, Latenzstufe, Werbe- versus Abonnement-Refinanzierung) begleitet sein müsste, um Umgehungspfade über nachgelagerte Refinanzierungsformen einzudämmen. Nachtrag zum 14. August 2026: An derselben Frontier-Modell-Achse hat </w:t>
      </w:r>
      <w:r>
        <w:rPr>
          <w:rFonts w:ascii="Arial" w:hAnsi="Arial"/>
          <w:b w:val="0"/>
          <w:i/>
          <w:sz w:val="19"/>
        </w:rPr>
        <w:t>Z.ai</w:t>
      </w:r>
      <w:r>
        <w:rPr>
          <w:rFonts w:ascii="Arial" w:hAnsi="Arial"/>
          <w:b w:val="0"/>
          <w:i w:val="0"/>
          <w:sz w:val="19"/>
        </w:rPr>
        <w:t xml:space="preserve"> (Beijing) am 14. August 2026 nach eigener Freigabemitteilung und übereinstimmender Berichterstattung von </w:t>
      </w:r>
      <w:r>
        <w:rPr>
          <w:rFonts w:ascii="Arial" w:hAnsi="Arial"/>
          <w:b w:val="0"/>
          <w:i/>
          <w:sz w:val="19"/>
        </w:rPr>
        <w:t>Unite.AI</w:t>
      </w:r>
      <w:r>
        <w:rPr>
          <w:rFonts w:ascii="Arial" w:hAnsi="Arial"/>
          <w:b w:val="0"/>
          <w:i w:val="0"/>
          <w:sz w:val="19"/>
        </w:rPr>
        <w:t xml:space="preserve">, </w:t>
      </w:r>
      <w:r>
        <w:rPr>
          <w:rFonts w:ascii="Arial" w:hAnsi="Arial"/>
          <w:b w:val="0"/>
          <w:i/>
          <w:sz w:val="19"/>
        </w:rPr>
        <w:t>Decrypt</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w:t>
      </w:r>
      <w:r>
        <w:rPr>
          <w:rFonts w:ascii="Arial" w:hAnsi="Arial"/>
          <w:b w:val="0"/>
          <w:i/>
          <w:sz w:val="19"/>
        </w:rPr>
        <w:t>fello.ai</w:t>
      </w:r>
      <w:r>
        <w:rPr>
          <w:rFonts w:ascii="Arial" w:hAnsi="Arial"/>
          <w:b w:val="0"/>
          <w:i w:val="0"/>
          <w:sz w:val="19"/>
        </w:rPr>
        <w:t xml:space="preserve"> und </w:t>
      </w:r>
      <w:r>
        <w:rPr>
          <w:rFonts w:ascii="Arial" w:hAnsi="Arial"/>
          <w:b w:val="0"/>
          <w:i/>
          <w:sz w:val="19"/>
        </w:rPr>
        <w:t>The Agent Report</w:t>
      </w:r>
      <w:r>
        <w:rPr>
          <w:rFonts w:ascii="Arial" w:hAnsi="Arial"/>
          <w:b w:val="0"/>
          <w:i w:val="0"/>
          <w:sz w:val="19"/>
        </w:rPr>
        <w:t xml:space="preserve"> mit </w:t>
      </w:r>
      <w:r>
        <w:rPr>
          <w:rFonts w:ascii="Arial" w:hAnsi="Arial"/>
          <w:b w:val="0"/>
          <w:i/>
          <w:sz w:val="19"/>
        </w:rPr>
        <w:t>GLM-5.3</w:t>
      </w:r>
      <w:r>
        <w:rPr>
          <w:rFonts w:ascii="Arial" w:hAnsi="Arial"/>
          <w:b w:val="0"/>
          <w:i w:val="0"/>
          <w:sz w:val="19"/>
        </w:rPr>
        <w:t xml:space="preserve"> die nächste Iteration seines im Juli 2026 als </w:t>
      </w:r>
      <w:r>
        <w:rPr>
          <w:rFonts w:ascii="Arial" w:hAnsi="Arial"/>
          <w:b w:val="0"/>
          <w:i/>
          <w:sz w:val="19"/>
        </w:rPr>
        <w:t>GLM-5.2</w:t>
      </w:r>
      <w:r>
        <w:rPr>
          <w:rFonts w:ascii="Arial" w:hAnsi="Arial"/>
          <w:b w:val="0"/>
          <w:i w:val="0"/>
          <w:sz w:val="19"/>
        </w:rPr>
        <w:t xml:space="preserve"> freigegebenen 744-Milliarden-Parameter-Basismodells vorgestellt. Der Vorgang ist dreifach instruktiv. Erstens: </w:t>
      </w:r>
      <w:r>
        <w:rPr>
          <w:rFonts w:ascii="Arial" w:hAnsi="Arial"/>
          <w:b w:val="0"/>
          <w:i/>
          <w:sz w:val="19"/>
        </w:rPr>
        <w:t>GLM-5.3</w:t>
      </w:r>
      <w:r>
        <w:rPr>
          <w:rFonts w:ascii="Arial" w:hAnsi="Arial"/>
          <w:b w:val="0"/>
          <w:i w:val="0"/>
          <w:sz w:val="19"/>
        </w:rPr>
        <w:t xml:space="preserve"> teilt das Basismodell mit </w:t>
      </w:r>
      <w:r>
        <w:rPr>
          <w:rFonts w:ascii="Arial" w:hAnsi="Arial"/>
          <w:b w:val="0"/>
          <w:i/>
          <w:sz w:val="19"/>
        </w:rPr>
        <w:t>GLM-5.2</w:t>
      </w:r>
      <w:r>
        <w:rPr>
          <w:rFonts w:ascii="Arial" w:hAnsi="Arial"/>
          <w:b w:val="0"/>
          <w:i w:val="0"/>
          <w:sz w:val="19"/>
        </w:rPr>
        <w:t xml:space="preserve">; die berichteten Fortschritte (rund 50 % Verbesserung auf der anbietereigenen </w:t>
      </w:r>
      <w:r>
        <w:rPr>
          <w:rFonts w:ascii="Arial" w:hAnsi="Arial"/>
          <w:b w:val="0"/>
          <w:i/>
          <w:sz w:val="19"/>
        </w:rPr>
        <w:t>Z.ai Code Bench</w:t>
      </w:r>
      <w:r>
        <w:rPr>
          <w:rFonts w:ascii="Arial" w:hAnsi="Arial"/>
          <w:b w:val="0"/>
          <w:i w:val="0"/>
          <w:sz w:val="19"/>
        </w:rPr>
        <w:t xml:space="preserve">, 34,5 % gegenüber 23,4 %) sind nach Anbieterangaben ausschließlich Ergebnis skalierter </w:t>
      </w:r>
      <w:r>
        <w:rPr>
          <w:rFonts w:ascii="Arial" w:hAnsi="Arial"/>
          <w:b w:val="0"/>
          <w:i/>
          <w:sz w:val="19"/>
        </w:rPr>
        <w:t>Nach</w:t>
      </w:r>
      <w:r>
        <w:rPr>
          <w:rFonts w:ascii="Arial" w:hAnsi="Arial"/>
          <w:b w:val="0"/>
          <w:i w:val="0"/>
          <w:sz w:val="19"/>
        </w:rPr>
        <w:t>-Trainings-Verfahren (Konjunktivpflicht nach § 4.2 Claude.md, da unabhängige Nachprüfung aussteht). Zweitens: Auf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bleibt </w:t>
      </w:r>
      <w:r>
        <w:rPr>
          <w:rFonts w:ascii="Arial" w:hAnsi="Arial"/>
          <w:b w:val="0"/>
          <w:i/>
          <w:sz w:val="19"/>
        </w:rPr>
        <w:t>GLM-5.3</w:t>
      </w:r>
      <w:r>
        <w:rPr>
          <w:rFonts w:ascii="Arial" w:hAnsi="Arial"/>
          <w:b w:val="0"/>
          <w:i w:val="0"/>
          <w:sz w:val="19"/>
        </w:rPr>
        <w:t xml:space="preserve"> nach </w:t>
      </w:r>
      <w:r>
        <w:rPr>
          <w:rFonts w:ascii="Arial" w:hAnsi="Arial"/>
          <w:b w:val="0"/>
          <w:i/>
          <w:sz w:val="19"/>
        </w:rPr>
        <w:t>Decrypt</w:t>
      </w:r>
      <w:r>
        <w:rPr>
          <w:rFonts w:ascii="Arial" w:hAnsi="Arial"/>
          <w:b w:val="0"/>
          <w:i w:val="0"/>
          <w:sz w:val="19"/>
        </w:rPr>
        <w:t xml:space="preserve">- und </w:t>
      </w:r>
      <w:r>
        <w:rPr>
          <w:rFonts w:ascii="Arial" w:hAnsi="Arial"/>
          <w:b w:val="0"/>
          <w:i/>
          <w:sz w:val="19"/>
        </w:rPr>
        <w:t>Unite.AI</w:t>
      </w:r>
      <w:r>
        <w:rPr>
          <w:rFonts w:ascii="Arial" w:hAnsi="Arial"/>
          <w:b w:val="0"/>
          <w:i w:val="0"/>
          <w:sz w:val="19"/>
        </w:rPr>
        <w:t xml:space="preserve">-Berichterstattung hinter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zurück (Fable 5: 39,5 %; </w:t>
      </w:r>
      <w:r>
        <w:rPr>
          <w:rFonts w:ascii="Arial" w:hAnsi="Arial"/>
          <w:b w:val="0"/>
          <w:i/>
          <w:sz w:val="19"/>
        </w:rPr>
        <w:t>SWE-Bench Verified</w:t>
      </w:r>
      <w:r>
        <w:rPr>
          <w:rFonts w:ascii="Arial" w:hAnsi="Arial"/>
          <w:b w:val="0"/>
          <w:i w:val="0"/>
          <w:sz w:val="19"/>
        </w:rPr>
        <w:t xml:space="preserve"> Kimi K3 67,5, Fable 5 69,7, GLM-5.3 66,9); zugleich liegt die </w:t>
      </w:r>
      <w:r>
        <w:rPr>
          <w:rFonts w:ascii="Arial" w:hAnsi="Arial"/>
          <w:b w:val="0"/>
          <w:i/>
          <w:sz w:val="19"/>
        </w:rPr>
        <w:t>GLM-5.2</w:t>
      </w:r>
      <w:r>
        <w:rPr>
          <w:rFonts w:ascii="Arial" w:hAnsi="Arial"/>
          <w:b w:val="0"/>
          <w:i w:val="0"/>
          <w:sz w:val="19"/>
        </w:rPr>
        <w:t xml:space="preserve">-API-Preisstruktur (rund 1,40 US-Dollar Input und 4,40 US-Dollar Output je Million Token nach </w:t>
      </w:r>
      <w:r>
        <w:rPr>
          <w:rFonts w:ascii="Arial" w:hAnsi="Arial"/>
          <w:b w:val="0"/>
          <w:i/>
          <w:sz w:val="19"/>
        </w:rPr>
        <w:t>Decrypt</w:t>
      </w:r>
      <w:r>
        <w:rPr>
          <w:rFonts w:ascii="Arial" w:hAnsi="Arial"/>
          <w:b w:val="0"/>
          <w:i w:val="0"/>
          <w:sz w:val="19"/>
        </w:rPr>
        <w:t xml:space="preserve">) etwa eine Größenordnung unter der US-Frontier-Preisliste. Drittens: </w:t>
      </w:r>
      <w:r>
        <w:rPr>
          <w:rFonts w:ascii="Arial" w:hAnsi="Arial"/>
          <w:b w:val="0"/>
          <w:i/>
          <w:sz w:val="19"/>
        </w:rPr>
        <w:t>Z.ai</w:t>
      </w:r>
      <w:r>
        <w:rPr>
          <w:rFonts w:ascii="Arial" w:hAnsi="Arial"/>
          <w:b w:val="0"/>
          <w:i w:val="0"/>
          <w:sz w:val="19"/>
        </w:rPr>
        <w:t xml:space="preserve"> hat die </w:t>
      </w:r>
      <w:r>
        <w:rPr>
          <w:rFonts w:ascii="Arial" w:hAnsi="Arial"/>
          <w:b w:val="0"/>
          <w:i/>
          <w:sz w:val="19"/>
        </w:rPr>
        <w:t>Open-Weight</w:t>
      </w:r>
      <w:r>
        <w:rPr>
          <w:rFonts w:ascii="Arial" w:hAnsi="Arial"/>
          <w:b w:val="0"/>
          <w:i w:val="0"/>
          <w:sz w:val="19"/>
        </w:rPr>
        <w:t xml:space="preserve">-Freigabe der Gewichte zunächst zurückgehalten und für rund zwei Wochen nach </w:t>
      </w:r>
      <w:r>
        <w:rPr>
          <w:rFonts w:ascii="Arial" w:hAnsi="Arial"/>
          <w:b w:val="0"/>
          <w:i/>
          <w:sz w:val="19"/>
        </w:rPr>
        <w:t>Sicherheits­evaluation und Härtung</w:t>
      </w:r>
      <w:r>
        <w:rPr>
          <w:rFonts w:ascii="Arial" w:hAnsi="Arial"/>
          <w:b w:val="0"/>
          <w:i w:val="0"/>
          <w:sz w:val="19"/>
        </w:rPr>
        <w:t xml:space="preserve"> angekündigt — eine deutliche Abweichung von der </w:t>
      </w:r>
      <w:r>
        <w:rPr>
          <w:rFonts w:ascii="Arial" w:hAnsi="Arial"/>
          <w:b w:val="0"/>
          <w:i/>
          <w:sz w:val="19"/>
        </w:rPr>
        <w:t>GLM-5.2</w:t>
      </w:r>
      <w:r>
        <w:rPr>
          <w:rFonts w:ascii="Arial" w:hAnsi="Arial"/>
          <w:b w:val="0"/>
          <w:i w:val="0"/>
          <w:sz w:val="19"/>
        </w:rPr>
        <w:t xml:space="preserve">-Praxis (Veröffentlichung auf </w:t>
      </w:r>
      <w:r>
        <w:rPr>
          <w:rFonts w:ascii="Arial" w:hAnsi="Arial"/>
          <w:b w:val="0"/>
          <w:i/>
          <w:sz w:val="19"/>
        </w:rPr>
        <w:t>Hugging Face</w:t>
      </w:r>
      <w:r>
        <w:rPr>
          <w:rFonts w:ascii="Arial" w:hAnsi="Arial"/>
          <w:b w:val="0"/>
          <w:i w:val="0"/>
          <w:sz w:val="19"/>
        </w:rPr>
        <w:t xml:space="preserve"> unter </w:t>
      </w:r>
      <w:r>
        <w:rPr>
          <w:rFonts w:ascii="Arial" w:hAnsi="Arial"/>
          <w:b w:val="0"/>
          <w:i/>
          <w:sz w:val="19"/>
        </w:rPr>
        <w:t>MIT</w:t>
      </w:r>
      <w:r>
        <w:rPr>
          <w:rFonts w:ascii="Arial" w:hAnsi="Arial"/>
          <w:b w:val="0"/>
          <w:i w:val="0"/>
          <w:sz w:val="19"/>
        </w:rPr>
        <w:t>-Lizenz binnen weniger Tage) und ein struktureller Parallelbefund zur bereits in § 4.5 dokumentierten US-</w:t>
      </w:r>
      <w:r>
        <w:rPr>
          <w:rFonts w:ascii="Arial" w:hAnsi="Arial"/>
          <w:b w:val="0"/>
          <w:i/>
          <w:sz w:val="19"/>
        </w:rPr>
        <w:t>Vor-Freigabe-Praxis</w:t>
      </w:r>
      <w:r>
        <w:rPr>
          <w:rFonts w:ascii="Arial" w:hAnsi="Arial"/>
          <w:b w:val="0"/>
          <w:i w:val="0"/>
          <w:sz w:val="19"/>
        </w:rPr>
        <w:t xml:space="preserve">. Als Emergenz-Beobachtung berichtet </w:t>
      </w:r>
      <w:r>
        <w:rPr>
          <w:rFonts w:ascii="Arial" w:hAnsi="Arial"/>
          <w:b w:val="0"/>
          <w:i/>
          <w:sz w:val="19"/>
        </w:rPr>
        <w:t>Z.ai</w:t>
      </w:r>
      <w:r>
        <w:rPr>
          <w:rFonts w:ascii="Arial" w:hAnsi="Arial"/>
          <w:b w:val="0"/>
          <w:i w:val="0"/>
          <w:sz w:val="19"/>
        </w:rPr>
        <w:t xml:space="preserve"> zusätzlich eine im Trainingsverlauf nicht geplante </w:t>
      </w:r>
      <w:r>
        <w:rPr>
          <w:rFonts w:ascii="Arial" w:hAnsi="Arial"/>
          <w:b w:val="0"/>
          <w:i/>
          <w:sz w:val="19"/>
        </w:rPr>
        <w:t>Cybersicherheits</w:t>
      </w:r>
      <w:r>
        <w:rPr>
          <w:rFonts w:ascii="Arial" w:hAnsi="Arial"/>
          <w:b w:val="0"/>
          <w:i w:val="0"/>
          <w:sz w:val="19"/>
        </w:rPr>
        <w:t>-Fähigkeit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samt Identifikation von 2.436 Schwachstellen (davon 1.097 als kritisch klassifiziert)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(Konjunktivpflicht nach § 4.2 Claude.md, da die Verifikationskette bislang anbieterseitig läuft). Für die in § 8.2 entwickelte Rohstoff-Analogie fügt der Vorgang der bereits dokumentierten Konvergenz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xml:space="preserve">) einen weiteren Datenpunkt hinzu und präzisiert das Muster: Die </w:t>
      </w:r>
      <w:r>
        <w:rPr>
          <w:rFonts w:ascii="Arial" w:hAnsi="Arial"/>
          <w:b w:val="0"/>
          <w:i/>
          <w:sz w:val="19"/>
        </w:rPr>
        <w:t>Open-Weight</w:t>
      </w:r>
      <w:r>
        <w:rPr>
          <w:rFonts w:ascii="Arial" w:hAnsi="Arial"/>
          <w:b w:val="0"/>
          <w:i w:val="0"/>
          <w:sz w:val="19"/>
        </w:rPr>
        <w:t xml:space="preserve">-Freigabe wird nunmehr auch bei chinesischen Anbietern von einer sicherheitsbezogenen Zurückhaltungsphase begleitet, während die reine Wettbewerbsdynamik an der Anwendungsebene (Coding, Agent-Ausführung, Cybersicherheits-Reasoning) und die Preisdifferenz zwischen chinesischen und US-Frontier-Modellen fortbestehen. Für die Zugriffslogik einer inländischen KI-Nutzungsabgabe (§ 8.3) folgt daraus, dass die Bemessungsbasis zunehmend nicht mehr über die Modellfreigabe, sondern erst über die </w:t>
      </w:r>
      <w:r>
        <w:rPr>
          <w:rFonts w:ascii="Arial" w:hAnsi="Arial"/>
          <w:b w:val="0"/>
          <w:i/>
          <w:sz w:val="19"/>
        </w:rPr>
        <w:t>inländische Ausführung</w:t>
      </w:r>
      <w:r>
        <w:rPr>
          <w:rFonts w:ascii="Arial" w:hAnsi="Arial"/>
          <w:b w:val="0"/>
          <w:i w:val="0"/>
          <w:sz w:val="19"/>
        </w:rPr>
        <w:t xml:space="preserve"> eines nachgelagerten Anwendungs- oder Sicherheits-Stacks bestimmbar wird.</w:t>
      </w:r>
    </w:p>
    <w:p>
      <w:pPr>
        <w:jc w:val="both"/>
      </w:pPr>
      <w:r>
        <w:rPr>
          <w:rFonts w:ascii="Arial" w:hAnsi="Arial"/>
          <w:b w:val="0"/>
          <w:i w:val="0"/>
          <w:sz w:val="19"/>
        </w:rPr>
        <w:t xml:space="preserve">Nachtrag zum 10. und 13. August 2026 — divergierende Frontier-Preisdynamik zwischen US- und chinesischer Achse. Zwei Anbieterentscheidungen aus derselben Wochenreihe präzisieren die in § 8.2 dokumentierte deflationäre Workhorse-Preisdynamik in entgegengesetzte Richtungen. Erstens hat </w:t>
      </w:r>
      <w:r>
        <w:rPr>
          <w:rFonts w:ascii="Arial" w:hAnsi="Arial"/>
          <w:b w:val="0"/>
          <w:i/>
          <w:sz w:val="19"/>
        </w:rPr>
        <w:t>Anthropic</w:t>
      </w:r>
      <w:r>
        <w:rPr>
          <w:rFonts w:ascii="Arial" w:hAnsi="Arial"/>
          <w:b w:val="0"/>
          <w:i w:val="0"/>
          <w:sz w:val="19"/>
        </w:rPr>
        <w:t xml:space="preserve"> am 10. August 2026 nach eigenem </w:t>
      </w:r>
      <w:r>
        <w:rPr>
          <w:rFonts w:ascii="Arial" w:hAnsi="Arial"/>
          <w:b w:val="0"/>
          <w:i/>
          <w:sz w:val="19"/>
        </w:rPr>
        <w:t>Claude</w:t>
      </w:r>
      <w:r>
        <w:rPr>
          <w:rFonts w:ascii="Arial" w:hAnsi="Arial"/>
          <w:b w:val="0"/>
          <w:i w:val="0"/>
          <w:sz w:val="19"/>
        </w:rPr>
        <w:t xml:space="preserve">-Kanal und flankierender Berichterstattung von </w:t>
      </w:r>
      <w:r>
        <w:rPr>
          <w:rFonts w:ascii="Arial" w:hAnsi="Arial"/>
          <w:b w:val="0"/>
          <w:i/>
          <w:sz w:val="19"/>
        </w:rPr>
        <w:t>GuruFocus</w:t>
      </w:r>
      <w:r>
        <w:rPr>
          <w:rFonts w:ascii="Arial" w:hAnsi="Arial"/>
          <w:b w:val="0"/>
          <w:i w:val="0"/>
          <w:sz w:val="19"/>
        </w:rPr>
        <w:t xml:space="preserve">, </w:t>
      </w:r>
      <w:r>
        <w:rPr>
          <w:rFonts w:ascii="Arial" w:hAnsi="Arial"/>
          <w:b w:val="0"/>
          <w:i/>
          <w:sz w:val="19"/>
        </w:rPr>
        <w:t>Enterprise DNA</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und </w:t>
      </w:r>
      <w:r>
        <w:rPr>
          <w:rFonts w:ascii="Arial" w:hAnsi="Arial"/>
          <w:b w:val="0"/>
          <w:i/>
          <w:sz w:val="19"/>
        </w:rPr>
        <w:t>Medium</w:t>
      </w:r>
      <w:r>
        <w:rPr>
          <w:rFonts w:ascii="Arial" w:hAnsi="Arial"/>
          <w:b w:val="0"/>
          <w:i w:val="0"/>
          <w:sz w:val="19"/>
        </w:rPr>
        <w:t xml:space="preserve"> die im Juni 2026 als </w:t>
      </w:r>
      <w:r>
        <w:rPr>
          <w:rFonts w:ascii="Arial" w:hAnsi="Arial"/>
          <w:b w:val="0"/>
          <w:i/>
          <w:sz w:val="19"/>
        </w:rPr>
        <w:t>Introductory Pricing</w:t>
      </w:r>
      <w:r>
        <w:rPr>
          <w:rFonts w:ascii="Arial" w:hAnsi="Arial"/>
          <w:b w:val="0"/>
          <w:i w:val="0"/>
          <w:sz w:val="19"/>
        </w:rPr>
        <w:t xml:space="preserve"> eingeführten 2 US-Dollar Input / 10 US-Dollar Output je Million Token für </w:t>
      </w:r>
      <w:r>
        <w:rPr>
          <w:rFonts w:ascii="Arial" w:hAnsi="Arial"/>
          <w:b w:val="0"/>
          <w:i/>
          <w:sz w:val="19"/>
        </w:rPr>
        <w:t>Claude Sonnet 5</w:t>
      </w:r>
      <w:r>
        <w:rPr>
          <w:rFonts w:ascii="Arial" w:hAnsi="Arial"/>
          <w:b w:val="0"/>
          <w:i w:val="0"/>
          <w:sz w:val="19"/>
        </w:rPr>
        <w:t xml:space="preserve"> dauerhaft festgeschrieben und die für den 1. September 2026 vorgesehene 50-Prozent-Erhöhung auf 3 / 15 US-Dollar zurückgenommen; die Anbieter-Begründung nennt Preisstabilität für Kunden-Investitionsentscheidungen und wird in der </w:t>
      </w:r>
      <w:r>
        <w:rPr>
          <w:rFonts w:ascii="Arial" w:hAnsi="Arial"/>
          <w:b w:val="0"/>
          <w:i/>
          <w:sz w:val="19"/>
        </w:rPr>
        <w:t>GuruFocus</w:t>
      </w:r>
      <w:r>
        <w:rPr>
          <w:rFonts w:ascii="Arial" w:hAnsi="Arial"/>
          <w:b w:val="0"/>
          <w:i w:val="0"/>
          <w:sz w:val="19"/>
        </w:rPr>
        <w:t xml:space="preserve">- und </w:t>
      </w:r>
      <w:r>
        <w:rPr>
          <w:rFonts w:ascii="Arial" w:hAnsi="Arial"/>
          <w:b w:val="0"/>
          <w:i/>
          <w:sz w:val="19"/>
        </w:rPr>
        <w:t>Medium</w:t>
      </w:r>
      <w:r>
        <w:rPr>
          <w:rFonts w:ascii="Arial" w:hAnsi="Arial"/>
          <w:b w:val="0"/>
          <w:i w:val="0"/>
          <w:sz w:val="19"/>
        </w:rPr>
        <w:t xml:space="preserve">-Berichterstattung in eine sich verschärfende Konkurrenz durch Open-Weight-Modelle sowie in die IPO-Vorbereitung des Anbieters eingeordnet (Konjunktivpflicht nach § 4.2 Claude.md). Zweitens hat </w:t>
      </w:r>
      <w:r>
        <w:rPr>
          <w:rFonts w:ascii="Arial" w:hAnsi="Arial"/>
          <w:b w:val="0"/>
          <w:i/>
          <w:sz w:val="19"/>
        </w:rPr>
        <w:t>DeepSeek</w:t>
      </w:r>
      <w:r>
        <w:rPr>
          <w:rFonts w:ascii="Arial" w:hAnsi="Arial"/>
          <w:b w:val="0"/>
          <w:i w:val="0"/>
          <w:sz w:val="19"/>
        </w:rPr>
        <w:t xml:space="preserve"> (Hangzhou) am 13. August 2026 nach eigener Anbietermitteilung und übereinstimmender Berichterstattung von </w:t>
      </w:r>
      <w:r>
        <w:rPr>
          <w:rFonts w:ascii="Arial" w:hAnsi="Arial"/>
          <w:b w:val="0"/>
          <w:i/>
          <w:sz w:val="19"/>
        </w:rPr>
        <w:t>TechNode</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InfoWorld</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und </w:t>
      </w:r>
      <w:r>
        <w:rPr>
          <w:rFonts w:ascii="Arial" w:hAnsi="Arial"/>
          <w:b w:val="0"/>
          <w:i/>
          <w:sz w:val="19"/>
        </w:rPr>
        <w:t>Studio Global AI</w:t>
      </w:r>
      <w:r>
        <w:rPr>
          <w:rFonts w:ascii="Arial" w:hAnsi="Arial"/>
          <w:b w:val="0"/>
          <w:i w:val="0"/>
          <w:sz w:val="19"/>
        </w:rPr>
        <w:t xml:space="preserve"> für seine </w:t>
      </w:r>
      <w:r>
        <w:rPr>
          <w:rFonts w:ascii="Arial" w:hAnsi="Arial"/>
          <w:b w:val="0"/>
          <w:i/>
          <w:sz w:val="19"/>
        </w:rPr>
        <w:t>V4</w:t>
      </w:r>
      <w:r>
        <w:rPr>
          <w:rFonts w:ascii="Arial" w:hAnsi="Arial"/>
          <w:b w:val="0"/>
          <w:i w:val="0"/>
          <w:sz w:val="19"/>
        </w:rPr>
        <w:t xml:space="preserve">-Reihe erstmals eine </w:t>
      </w:r>
      <w:r>
        <w:rPr>
          <w:rFonts w:ascii="Arial" w:hAnsi="Arial"/>
          <w:b w:val="0"/>
          <w:i/>
          <w:sz w:val="19"/>
        </w:rPr>
        <w:t>Peak-/Off-Peak</w:t>
      </w:r>
      <w:r>
        <w:rPr>
          <w:rFonts w:ascii="Arial" w:hAnsi="Arial"/>
          <w:b w:val="0"/>
          <w:i w:val="0"/>
          <w:sz w:val="19"/>
        </w:rPr>
        <w:t xml:space="preserve">-Preisstruktur eingeführt: die Umstellung erfolgt am 16. August 2026 um 16:00 UTC, Peak-Fenster sind 01:00–04:00 UTC und 06:00–10:00 UTC. Für </w:t>
      </w:r>
      <w:r>
        <w:rPr>
          <w:rFonts w:ascii="Arial" w:hAnsi="Arial"/>
          <w:b w:val="0"/>
          <w:i/>
          <w:sz w:val="19"/>
        </w:rPr>
        <w:t>V4-Flash</w:t>
      </w:r>
      <w:r>
        <w:rPr>
          <w:rFonts w:ascii="Arial" w:hAnsi="Arial"/>
          <w:b w:val="0"/>
          <w:i w:val="0"/>
          <w:sz w:val="19"/>
        </w:rPr>
        <w:t xml:space="preserve"> gelten Off-Peak 0,22 US-Dollar Input (Cache-Miss) und 0,66 US-Dollar Output je Million Token, Peak 0,44 / 1,32 US-Dollar; für </w:t>
      </w:r>
      <w:r>
        <w:rPr>
          <w:rFonts w:ascii="Arial" w:hAnsi="Arial"/>
          <w:b w:val="0"/>
          <w:i/>
          <w:sz w:val="19"/>
        </w:rPr>
        <w:t>V4-Pro</w:t>
      </w:r>
      <w:r>
        <w:rPr>
          <w:rFonts w:ascii="Arial" w:hAnsi="Arial"/>
          <w:b w:val="0"/>
          <w:i w:val="0"/>
          <w:sz w:val="19"/>
        </w:rPr>
        <w:t xml:space="preserve"> Off-Peak 0,66 / 1,98 US-Dollar, Peak 1,32 / 3,96 US-Dollar — die Peak-Output-Sätze liegen damit um rund den Faktor vier über den bisherigen einheitlichen Tarifen, Cache-Hit-Inputs steigen nach der </w:t>
      </w:r>
      <w:r>
        <w:rPr>
          <w:rFonts w:ascii="Arial" w:hAnsi="Arial"/>
          <w:b w:val="0"/>
          <w:i/>
          <w:sz w:val="19"/>
        </w:rPr>
        <w:t>InfoWorld</w:t>
      </w:r>
      <w:r>
        <w:rPr>
          <w:rFonts w:ascii="Arial" w:hAnsi="Arial"/>
          <w:b w:val="0"/>
          <w:i w:val="0"/>
          <w:sz w:val="19"/>
        </w:rPr>
        <w:t>-Berichterstattung um 52 bis 1.100 Prozent. Für die Zugriffslogik einer inländischen KI-Nutzungsabgabe (§ 8.3) folgen zwei ergänzende Beobachtungen: (a) Die US-Preisdynamik bleibt trotz IPO-Druck und trotz der bereits in § 8.2 dokumentierten Talent- und Compute-Rentenverschiebungen deflationär und stützt insoweit die Workhorse-Preishalbierungslogik; (b) die chinesische Peak-Bepreisung offenbart, dass die Sub-Cent-Preise nicht ausschließlich sinkende Rechenkosten spiegeln, sondern in Phasen hoher Auslastung Kapazitäts­knappheiten sichtbar werden lassen, die ein bemessungs­basiertes System (§ 4.5, § 8.3) an einer feineren Achse als der reinen Modell- oder Anbieter-Ebene ansetzen müsste — die Bemessungsbasis würde zwischen 01:00 UTC und 04:00 UTC am selben Kalendertag anders ausfallen als um 12:00 UTC.</w:t>
      </w:r>
    </w:p>
    <w:p>
      <w:pPr>
        <w:jc w:val="both"/>
      </w:pPr>
      <w:r>
        <w:rPr>
          <w:rFonts w:ascii="Arial" w:hAnsi="Arial"/>
          <w:b w:val="0"/>
          <w:i w:val="0"/>
          <w:sz w:val="19"/>
        </w:rPr>
        <w:t xml:space="preserve">Auf der physisch-robotischen Ebene tritt am 6./7. August 2026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Caixin Global</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und </w:t>
      </w:r>
      <w:r>
        <w:rPr>
          <w:rFonts w:ascii="Arial" w:hAnsi="Arial"/>
          <w:b w:val="0"/>
          <w:i/>
          <w:sz w:val="19"/>
        </w:rPr>
        <w:t>Robotics and Automation News</w:t>
      </w:r>
      <w:r>
        <w:rPr>
          <w:rFonts w:ascii="Arial" w:hAnsi="Arial"/>
          <w:b w:val="0"/>
          <w:i w:val="0"/>
          <w:sz w:val="19"/>
        </w:rPr>
        <w:t xml:space="preserve"> ein struktureller Referenzpunkt zur bereits in § 8.2 dokumentierten </w:t>
      </w:r>
      <w:r>
        <w:rPr>
          <w:rFonts w:ascii="Arial" w:hAnsi="Arial"/>
          <w:b w:val="0"/>
          <w:i/>
          <w:sz w:val="19"/>
        </w:rPr>
        <w:t>Tesla-Optimus</w:t>
      </w:r>
      <w:r>
        <w:rPr>
          <w:rFonts w:ascii="Arial" w:hAnsi="Arial"/>
          <w:b w:val="0"/>
          <w:i w:val="0"/>
          <w:sz w:val="19"/>
        </w:rPr>
        <w:t xml:space="preserve">-Fremont-Erstlinie hinzu — diesmal auf der chinesischen Seite der humanoiden Fertigung: </w:t>
      </w:r>
      <w:r>
        <w:rPr>
          <w:rFonts w:ascii="Arial" w:hAnsi="Arial"/>
          <w:b w:val="0"/>
          <w:i/>
          <w:sz w:val="19"/>
        </w:rPr>
        <w:t>Unitree Robotics</w:t>
      </w:r>
      <w:r>
        <w:rPr>
          <w:rFonts w:ascii="Arial" w:hAnsi="Arial"/>
          <w:b w:val="0"/>
          <w:i w:val="0"/>
          <w:sz w:val="19"/>
        </w:rPr>
        <w:t xml:space="preserve"> (Yushu Technology, Hangzhou) hat seinen Börsengang am </w:t>
      </w:r>
      <w:r>
        <w:rPr>
          <w:rFonts w:ascii="Arial" w:hAnsi="Arial"/>
          <w:b w:val="0"/>
          <w:i/>
          <w:sz w:val="19"/>
        </w:rPr>
        <w:t>Shanghai STAR Market</w:t>
      </w:r>
      <w:r>
        <w:rPr>
          <w:rFonts w:ascii="Arial" w:hAnsi="Arial"/>
          <w:b w:val="0"/>
          <w:i w:val="0"/>
          <w:sz w:val="19"/>
        </w:rPr>
        <w:t xml:space="preserve"> zu 150,80 Yuan je Aktie (rund 22,34 US-Dollar) bepreist und wird damit mit rund 61 Milliarden Yuan (rund 9,04 Milliarden US-Dollar) bewertet; das Unternehmen platziert 40,45 Millionen neu emittierte Aktien (10 % des erweiterten Grundkapitals) und nimmt damit rund 6,1 Milliarden Yuan (rund 904 Millionen US-Dollar) ein. Zeichnungsphase 10. August 2026; Emissionserlös nach Konzernangaben in Software-, Hardware- und Produktentwicklung sowie den Aufbau einer eigenen Fertigungsbasis. Als strategischer Investor tritt unter anderem </w:t>
      </w:r>
      <w:r>
        <w:rPr>
          <w:rFonts w:ascii="Arial" w:hAnsi="Arial"/>
          <w:b w:val="0"/>
          <w:i/>
          <w:sz w:val="19"/>
        </w:rPr>
        <w:t>DeepSeek AI</w:t>
      </w:r>
      <w:r>
        <w:rPr>
          <w:rFonts w:ascii="Arial" w:hAnsi="Arial"/>
          <w:b w:val="0"/>
          <w:i w:val="0"/>
          <w:sz w:val="19"/>
        </w:rPr>
        <w:t xml:space="preserve"> mit einer 20,8-Millionen-US-Dollar-Zeichnung auf; nach Angaben der Berichterstattung ist </w:t>
      </w:r>
      <w:r>
        <w:rPr>
          <w:rFonts w:ascii="Arial" w:hAnsi="Arial"/>
          <w:b w:val="0"/>
          <w:i/>
          <w:sz w:val="19"/>
        </w:rPr>
        <w:t>Unitree</w:t>
      </w:r>
      <w:r>
        <w:rPr>
          <w:rFonts w:ascii="Arial" w:hAnsi="Arial"/>
          <w:b w:val="0"/>
          <w:i w:val="0"/>
          <w:sz w:val="19"/>
        </w:rPr>
        <w:t xml:space="preserve"> der erste an einer chinesischen Festlandsbörse notierte Hersteller mit Schwerpunkt humanoide Robotik. Der Konzernumsatz habe sich 2025 auf 1,7 Milliarden Yuan mehr als vervierfacht, wobei humanoide Roboter mit 867,8 Millionen Yuan Umsatz erstmals das Vier-Bein-Segment als größtes Geschäftsfeld überholt hätten (Konjunktivpflicht nach § 4.2 Claude.md, da die Kapitalmarktzuflüsse an die endgültige Zeichnungsrunde und der Serienhochlauf an nachfolgende Auslieferungsdaten gebunden sind). Für die in diesem Kapitel entwickelte Rohstoff-Analogie und die physisch-robotische Wertschöpfungsschicht ergibt sich ein präzisierter Datenpunkt: Neben der US-Seite (Tesla Optimus Fremont, Q2-2026-Earnings-Call vom 22. Juli 2026) entsteht mit </w:t>
      </w:r>
      <w:r>
        <w:rPr>
          <w:rFonts w:ascii="Arial" w:hAnsi="Arial"/>
          <w:b w:val="0"/>
          <w:i/>
          <w:sz w:val="19"/>
        </w:rPr>
        <w:t>Unitree</w:t>
      </w:r>
      <w:r>
        <w:rPr>
          <w:rFonts w:ascii="Arial" w:hAnsi="Arial"/>
          <w:b w:val="0"/>
          <w:i w:val="0"/>
          <w:sz w:val="19"/>
        </w:rPr>
        <w:t xml:space="preserve"> eine strukturell gleichartige chinesische Kapital- und Fertigungsschicht — mit derselben Konzentration auf einen einzelnen nationalen Anbieter, aber ohne die US-typische Design-Partner-Konzentration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an einer einzigen ausländischen Fertigung. Für die Deutschland-These (§ 8.3) folgt daraus keine Angleichung der Position, sondern eine Verhärtung der Verarbeiter-Rolle: Der humanoide Robotik-Sektor bildet sich weiterhin geographisch außerhalb der Europäischen Union heraus (US-amerikanische und chinesische Fertigung), was die im Papier bereits formulierte Position, wonach die inländische Wertschöpfung an nachgelagerten Anwendungs- statt Herstellungs­stufen ansetzen muss, empirisch weiter stützt. Zugleich signalisiert die frühe Kapitalmarktbewertung des Sektors, dass die im </w:t>
      </w:r>
      <w:r>
        <w:rPr>
          <w:rFonts w:ascii="Arial" w:hAnsi="Arial"/>
          <w:b w:val="0"/>
          <w:i/>
          <w:sz w:val="19"/>
        </w:rPr>
        <w:t>American A.I. Sovereign Wealth Fund Act</w:t>
      </w:r>
      <w:r>
        <w:rPr>
          <w:rFonts w:ascii="Arial" w:hAnsi="Arial"/>
          <w:b w:val="0"/>
          <w:i w:val="0"/>
          <w:sz w:val="19"/>
        </w:rPr>
        <w:t xml:space="preserve"> (§ 4.5) angelegte bestandsorientierte Umverteilungslogik am Physisch-KI-Segment auf eine dünne, in wenigen Anbietern konzentrierte und volatile Bemessungsgrundlage stößt. Nachtrag zum 10. August 2026: Die </w:t>
      </w:r>
      <w:r>
        <w:rPr>
          <w:rFonts w:ascii="Arial" w:hAnsi="Arial"/>
          <w:b w:val="0"/>
          <w:i/>
          <w:sz w:val="19"/>
        </w:rPr>
        <w:t>Bloomberg</w:t>
      </w:r>
      <w:r>
        <w:rPr>
          <w:rFonts w:ascii="Arial" w:hAnsi="Arial"/>
          <w:b w:val="0"/>
          <w:i w:val="0"/>
          <w:sz w:val="19"/>
        </w:rPr>
        <w:t xml:space="preserve">-Berichterstattung vom 10. August 2026 („Unitree's Shanghai IPO 5,526 Times Subscribed by Retail Buyers") und flankierende Beiträge von </w:t>
      </w:r>
      <w:r>
        <w:rPr>
          <w:rFonts w:ascii="Arial" w:hAnsi="Arial"/>
          <w:b w:val="0"/>
          <w:i/>
          <w:sz w:val="19"/>
        </w:rPr>
        <w:t>Cryptopolitan</w:t>
      </w:r>
      <w:r>
        <w:rPr>
          <w:rFonts w:ascii="Arial" w:hAnsi="Arial"/>
          <w:b w:val="0"/>
          <w:i w:val="0"/>
          <w:sz w:val="19"/>
        </w:rPr>
        <w:t xml:space="preserve">, </w:t>
      </w:r>
      <w:r>
        <w:rPr>
          <w:rFonts w:ascii="Arial" w:hAnsi="Arial"/>
          <w:b w:val="0"/>
          <w:i/>
          <w:sz w:val="19"/>
        </w:rPr>
        <w:t>Mezha</w:t>
      </w:r>
      <w:r>
        <w:rPr>
          <w:rFonts w:ascii="Arial" w:hAnsi="Arial"/>
          <w:b w:val="0"/>
          <w:i w:val="0"/>
          <w:sz w:val="19"/>
        </w:rPr>
        <w:t xml:space="preserve">, </w:t>
      </w:r>
      <w:r>
        <w:rPr>
          <w:rFonts w:ascii="Arial" w:hAnsi="Arial"/>
          <w:b w:val="0"/>
          <w:i/>
          <w:sz w:val="19"/>
        </w:rPr>
        <w:t>People's Daily</w:t>
      </w:r>
      <w:r>
        <w:rPr>
          <w:rFonts w:ascii="Arial" w:hAnsi="Arial"/>
          <w:b w:val="0"/>
          <w:i w:val="0"/>
          <w:sz w:val="19"/>
        </w:rPr>
        <w:t xml:space="preserve"> und </w:t>
      </w:r>
      <w:r>
        <w:rPr>
          <w:rFonts w:ascii="Arial" w:hAnsi="Arial"/>
          <w:b w:val="0"/>
          <w:i/>
          <w:sz w:val="19"/>
        </w:rPr>
        <w:t>SCMP</w:t>
      </w:r>
      <w:r>
        <w:rPr>
          <w:rFonts w:ascii="Arial" w:hAnsi="Arial"/>
          <w:b w:val="0"/>
          <w:i w:val="0"/>
          <w:sz w:val="19"/>
        </w:rPr>
        <w:t xml:space="preserve"> haben die </w:t>
      </w:r>
      <w:r>
        <w:rPr>
          <w:rFonts w:ascii="Arial" w:hAnsi="Arial"/>
          <w:b w:val="0"/>
          <w:i/>
          <w:sz w:val="19"/>
        </w:rPr>
        <w:t>Unitree</w:t>
      </w:r>
      <w:r>
        <w:rPr>
          <w:rFonts w:ascii="Arial" w:hAnsi="Arial"/>
          <w:b w:val="0"/>
          <w:i w:val="0"/>
          <w:sz w:val="19"/>
        </w:rPr>
        <w:t xml:space="preserve">-Zeichnung auf eine weitere strukturelle Ebene gehoben: Am Eröffnungstag der Retail-Zeichnung sei der öffentliche Retail-Anteil des Emissionsvolumens rund 5.526-fach überzeichnet gewesen — nach Anbieter-/Emittenten-Angaben mit rund 9,8 Millionen Einzel-Zeichnungs­aufträgen (Konjunktivpflicht nach § 4.2 Claude.md). Für die Rohstoff-Analogie am oberen Ende der physisch-robotischen Wertschöpfungs­schicht bestätigt diese Retail-Zeichnungsdichte, dass die im Papier dokumentierte Anbieter- und Fertigungs­konzentration im humanoiden Segment sich inzwischen mit einer breit gestreuten Kapitalmarkt­nachfrage verkoppelt — und damit die bestandsorientierte Volatilitätsproblematik aus dem </w:t>
      </w:r>
      <w:r>
        <w:rPr>
          <w:rFonts w:ascii="Arial" w:hAnsi="Arial"/>
          <w:b w:val="0"/>
          <w:i/>
          <w:sz w:val="19"/>
        </w:rPr>
        <w:t>American A.I. Sovereign Wealth Fund Act</w:t>
      </w:r>
      <w:r>
        <w:rPr>
          <w:rFonts w:ascii="Arial" w:hAnsi="Arial"/>
          <w:b w:val="0"/>
          <w:i w:val="0"/>
          <w:sz w:val="19"/>
        </w:rPr>
        <w:t xml:space="preserve">-Vorschlag (§ 4.5) in zwei Richtungen verschärft: Erstens verkürzt sich die verfügbare Beobachtungsphase, in der eine bestandsorientierte Umverteilungslogik an einer stabilen Bemessungsgrundlage ansetzen könnte, bevor Retail-getriebene Bewertungsausschläge die Rechenzeichen dominieren. Zweitens verschiebt sich der ökonomische Referenzpunkt für inländische Anschluss­stellen einer wertschöpfungs­orientierten KI-Nutzungsabgabe (§ 8.3) noch stärker in Richtung der </w:t>
      </w:r>
      <w:r>
        <w:rPr>
          <w:rFonts w:ascii="Arial" w:hAnsi="Arial"/>
          <w:b w:val="0"/>
          <w:i/>
          <w:sz w:val="19"/>
        </w:rPr>
        <w:t>Anwendungs</w:t>
      </w:r>
      <w:r>
        <w:rPr>
          <w:rFonts w:ascii="Arial" w:hAnsi="Arial"/>
          <w:b w:val="0"/>
          <w:i w:val="0"/>
          <w:sz w:val="19"/>
        </w:rPr>
        <w:t xml:space="preserve">-Ebene, weil die Kapitalmarkt­schicht des humanoiden Segments zum Emissionsdatum bereits fast ausschließlich außerhalb der Europäischen Union realisiert wird. Weiterer Nachtrag zum 11. August 2026: Nach übereinstimmender Berichterstattung von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sei der öffentliche Retail-Anteil bis zum Ende der Zeichnungsphase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den Berichterstattungs-Angaben rund 900 Millionen US-Dollar, das </w:t>
      </w:r>
      <w:r>
        <w:rPr>
          <w:rFonts w:ascii="Arial" w:hAnsi="Arial"/>
          <w:b w:val="0"/>
          <w:i/>
          <w:sz w:val="19"/>
        </w:rPr>
        <w:t>DeepSeek</w:t>
      </w:r>
      <w:r>
        <w:rPr>
          <w:rFonts w:ascii="Arial" w:hAnsi="Arial"/>
          <w:b w:val="0"/>
          <w:i w:val="0"/>
          <w:sz w:val="19"/>
        </w:rPr>
        <w:t>-Investment werde bestätigt (Konjunktivpflicht nach § 4.2 Claude.md, da die Angaben anbieter-/emittentenseitig referiert sind). Für die im Absatz oben markierte bestandsorientierte Umverteilungslogik (§ 4.5) verdichtet sich der Retail-Bewertungsauftrieb binnen einer Woche weiter — mit der Folge, dass die Beobachtungsphase für eine stabile Bemessungsgrundlage im humanoiden Segment sich mit jedem Handelstag verkürzt.</w:t>
      </w:r>
    </w:p>
    <w:p>
      <w:pPr>
        <w:jc w:val="both"/>
      </w:pPr>
      <w:r>
        <w:rPr>
          <w:rFonts w:ascii="Arial" w:hAnsi="Arial"/>
          <w:b w:val="0"/>
          <w:i w:val="0"/>
          <w:sz w:val="19"/>
        </w:rPr>
        <w:t xml:space="preserve">Ergänzend zur </w:t>
      </w:r>
      <w:r>
        <w:rPr>
          <w:rFonts w:ascii="Arial" w:hAnsi="Arial"/>
          <w:b w:val="0"/>
          <w:i/>
          <w:sz w:val="19"/>
        </w:rPr>
        <w:t>Unitree</w:t>
      </w:r>
      <w:r>
        <w:rPr>
          <w:rFonts w:ascii="Arial" w:hAnsi="Arial"/>
          <w:b w:val="0"/>
          <w:i w:val="0"/>
          <w:sz w:val="19"/>
        </w:rPr>
        <w:t xml:space="preserve">-Kapitalmarktbewertung (6./7. August 2026) tritt Anfang August 2026 ein zweiter chinesischer Datenpunkt an derselben Wertschöpfungs­schicht hinzu: Nach übereinstimmender Berichterstattung von </w:t>
      </w:r>
      <w:r>
        <w:rPr>
          <w:rFonts w:ascii="Arial" w:hAnsi="Arial"/>
          <w:b w:val="0"/>
          <w:i/>
          <w:sz w:val="19"/>
        </w:rPr>
        <w:t>South China Morning Post</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TechNode</w:t>
      </w:r>
      <w:r>
        <w:rPr>
          <w:rFonts w:ascii="Arial" w:hAnsi="Arial"/>
          <w:b w:val="0"/>
          <w:i w:val="0"/>
          <w:sz w:val="19"/>
        </w:rPr>
        <w:t xml:space="preserve">, </w:t>
      </w:r>
      <w:r>
        <w:rPr>
          <w:rFonts w:ascii="Arial" w:hAnsi="Arial"/>
          <w:b w:val="0"/>
          <w:i/>
          <w:sz w:val="19"/>
        </w:rPr>
        <w:t>Interesting Engineering</w:t>
      </w:r>
      <w:r>
        <w:rPr>
          <w:rFonts w:ascii="Arial" w:hAnsi="Arial"/>
          <w:b w:val="0"/>
          <w:i w:val="0"/>
          <w:sz w:val="19"/>
        </w:rPr>
        <w:t xml:space="preserve">, </w:t>
      </w:r>
      <w:r>
        <w:rPr>
          <w:rFonts w:ascii="Arial" w:hAnsi="Arial"/>
          <w:b w:val="0"/>
          <w:i/>
          <w:sz w:val="19"/>
        </w:rPr>
        <w:t>eWeek</w:t>
      </w:r>
      <w:r>
        <w:rPr>
          <w:rFonts w:ascii="Arial" w:hAnsi="Arial"/>
          <w:b w:val="0"/>
          <w:i w:val="0"/>
          <w:sz w:val="19"/>
        </w:rPr>
        <w:t xml:space="preserve">, </w:t>
      </w:r>
      <w:r>
        <w:rPr>
          <w:rFonts w:ascii="Arial" w:hAnsi="Arial"/>
          <w:b w:val="0"/>
          <w:i/>
          <w:sz w:val="19"/>
        </w:rPr>
        <w:t>KR-Asia</w:t>
      </w:r>
      <w:r>
        <w:rPr>
          <w:rFonts w:ascii="Arial" w:hAnsi="Arial"/>
          <w:b w:val="0"/>
          <w:i w:val="0"/>
          <w:sz w:val="19"/>
        </w:rPr>
        <w:t xml:space="preserve">, </w:t>
      </w:r>
      <w:r>
        <w:rPr>
          <w:rFonts w:ascii="Arial" w:hAnsi="Arial"/>
          <w:b w:val="0"/>
          <w:i/>
          <w:sz w:val="19"/>
        </w:rPr>
        <w:t>Notebookcheck</w:t>
      </w:r>
      <w:r>
        <w:rPr>
          <w:rFonts w:ascii="Arial" w:hAnsi="Arial"/>
          <w:b w:val="0"/>
          <w:i w:val="0"/>
          <w:sz w:val="19"/>
        </w:rPr>
        <w:t xml:space="preserve">, </w:t>
      </w:r>
      <w:r>
        <w:rPr>
          <w:rFonts w:ascii="Arial" w:hAnsi="Arial"/>
          <w:b w:val="0"/>
          <w:i/>
          <w:sz w:val="19"/>
        </w:rPr>
        <w:t>CnEVPost</w:t>
      </w:r>
      <w:r>
        <w:rPr>
          <w:rFonts w:ascii="Arial" w:hAnsi="Arial"/>
          <w:b w:val="0"/>
          <w:i w:val="0"/>
          <w:sz w:val="19"/>
        </w:rPr>
        <w:t xml:space="preserve">, </w:t>
      </w:r>
      <w:r>
        <w:rPr>
          <w:rFonts w:ascii="Arial" w:hAnsi="Arial"/>
          <w:b w:val="0"/>
          <w:i/>
          <w:sz w:val="19"/>
        </w:rPr>
        <w:t>Stuff South Africa</w:t>
      </w:r>
      <w:r>
        <w:rPr>
          <w:rFonts w:ascii="Arial" w:hAnsi="Arial"/>
          <w:b w:val="0"/>
          <w:i w:val="0"/>
          <w:sz w:val="19"/>
        </w:rPr>
        <w:t xml:space="preserve"> und der Baidu-Enzyklopädie hat der chinesische Automobil- und Batteriekonzern </w:t>
      </w:r>
      <w:r>
        <w:rPr>
          <w:rFonts w:ascii="Arial" w:hAnsi="Arial"/>
          <w:b w:val="0"/>
          <w:i/>
          <w:sz w:val="19"/>
        </w:rPr>
        <w:t>BYD</w:t>
      </w:r>
      <w:r>
        <w:rPr>
          <w:rFonts w:ascii="Arial" w:hAnsi="Arial"/>
          <w:b w:val="0"/>
          <w:i w:val="0"/>
          <w:sz w:val="19"/>
        </w:rPr>
        <w:t xml:space="preserve"> Anfang August 2026 seinen ersten selbst entwickelten humanoiden Roboter </w:t>
      </w:r>
      <w:r>
        <w:rPr>
          <w:rFonts w:ascii="Arial" w:hAnsi="Arial"/>
          <w:b w:val="0"/>
          <w:i/>
          <w:sz w:val="19"/>
        </w:rPr>
        <w:t>Xiao Di</w:t>
      </w:r>
      <w:r>
        <w:rPr>
          <w:rFonts w:ascii="Arial" w:hAnsi="Arial"/>
          <w:b w:val="0"/>
          <w:i w:val="0"/>
          <w:sz w:val="19"/>
        </w:rPr>
        <w:t xml:space="preserve"> am Konzern-Kunden- und Ausstellungszentrum </w:t>
      </w:r>
      <w:r>
        <w:rPr>
          <w:rFonts w:ascii="Arial" w:hAnsi="Arial"/>
          <w:b w:val="0"/>
          <w:i/>
          <w:sz w:val="19"/>
        </w:rPr>
        <w:t>Di Space</w:t>
      </w:r>
      <w:r>
        <w:rPr>
          <w:rFonts w:ascii="Arial" w:hAnsi="Arial"/>
          <w:b w:val="0"/>
          <w:i w:val="0"/>
          <w:sz w:val="19"/>
        </w:rPr>
        <w:t xml:space="preserve"> in Zhengzhou öffentlich vorgestellt und damit den formalen Eintritt in das humanoide Robotik-Segment vollzogen. Nach den in derselben Berichterstattung wiedergegebenen Angaben ist </w:t>
      </w:r>
      <w:r>
        <w:rPr>
          <w:rFonts w:ascii="Arial" w:hAnsi="Arial"/>
          <w:b w:val="0"/>
          <w:i/>
          <w:sz w:val="19"/>
        </w:rPr>
        <w:t>Xiao Di</w:t>
      </w:r>
      <w:r>
        <w:rPr>
          <w:rFonts w:ascii="Arial" w:hAnsi="Arial"/>
          <w:b w:val="0"/>
          <w:i w:val="0"/>
          <w:sz w:val="19"/>
        </w:rPr>
        <w:t xml:space="preserve"> 1,61 Meter groß, wiegt 58,5 Kilogramm, verfügt über 31 Freiheitsgrade, 360-Grad-Panoramavision und dynamische Modellierungs­technologien für die Erkennung von komplexen Objekten (u. a. Menschen und Glasflächen) und übersetzt in Echtzeit zwischen sechs chinesischen Dialekten und sechs Fremdsprachen; die Positionierung erfolgt zunächst als Verkaufs- und Vorführ­assistent in BYD-Autohäusern, mit einer ersten Ausrollung in Shenzhen und Shanghai und einer geplanten Erweiterung auf rund 50 Standorte. Als Anschlussschritt kündigt </w:t>
      </w:r>
      <w:r>
        <w:rPr>
          <w:rFonts w:ascii="Arial" w:hAnsi="Arial"/>
          <w:b w:val="0"/>
          <w:i/>
          <w:sz w:val="19"/>
        </w:rPr>
        <w:t>BYD</w:t>
      </w:r>
      <w:r>
        <w:rPr>
          <w:rFonts w:ascii="Arial" w:hAnsi="Arial"/>
          <w:b w:val="0"/>
          <w:i w:val="0"/>
          <w:sz w:val="19"/>
        </w:rPr>
        <w:t xml:space="preserve"> nach der Berichterstattung eine offene Fertigungsplattform an, auf der neben den konzern­eigenen Robotern auch mit Partnern gemeinsam entwickelte Modelle produziert werden sollen; ein direkter Vertrieb an Konsumentinnen und Konsumenten ist zunächst nicht ausdrücklich vorgesehen (Konjunktivpflicht nach § 4.2 Claude.md, da die Fertigungs- und Vertriebsplanung durch das Unternehmen selbst kommuniziert wird und der Serienhochlauf noch nicht dokumentiert ist). Für die in diesem Kapitel entwickelte Rohstoff-Analogie und die physisch-robotische Wertschöpfungsschicht ist der Vorgang in dreifacher Hinsicht relevant: Erstens tritt neben </w:t>
      </w:r>
      <w:r>
        <w:rPr>
          <w:rFonts w:ascii="Arial" w:hAnsi="Arial"/>
          <w:b w:val="0"/>
          <w:i/>
          <w:sz w:val="19"/>
        </w:rPr>
        <w:t>Unitree Robotics</w:t>
      </w:r>
      <w:r>
        <w:rPr>
          <w:rFonts w:ascii="Arial" w:hAnsi="Arial"/>
          <w:b w:val="0"/>
          <w:i w:val="0"/>
          <w:sz w:val="19"/>
        </w:rPr>
        <w:t xml:space="preserve"> (Hangzhou, Shanghai STAR IPO 6./7. August 2026) mit </w:t>
      </w:r>
      <w:r>
        <w:rPr>
          <w:rFonts w:ascii="Arial" w:hAnsi="Arial"/>
          <w:b w:val="0"/>
          <w:i/>
          <w:sz w:val="19"/>
        </w:rPr>
        <w:t>BYD Xiao Di</w:t>
      </w:r>
      <w:r>
        <w:rPr>
          <w:rFonts w:ascii="Arial" w:hAnsi="Arial"/>
          <w:b w:val="0"/>
          <w:i w:val="0"/>
          <w:sz w:val="19"/>
        </w:rPr>
        <w:t xml:space="preserve"> ein zweiter, diesmal </w:t>
      </w:r>
      <w:r>
        <w:rPr>
          <w:rFonts w:ascii="Arial" w:hAnsi="Arial"/>
          <w:b w:val="0"/>
          <w:i/>
          <w:sz w:val="19"/>
        </w:rPr>
        <w:t>vertikal integrierter</w:t>
      </w:r>
      <w:r>
        <w:rPr>
          <w:rFonts w:ascii="Arial" w:hAnsi="Arial"/>
          <w:b w:val="0"/>
          <w:i w:val="0"/>
          <w:sz w:val="19"/>
        </w:rPr>
        <w:t xml:space="preserve"> chinesischer humanoider Robotikanbieter auf, dessen Aufbau nicht aus dem klassischen Robotik-Sektor, sondern aus dem Automobil- und Batteriesegment heraus erfolgt — ein Strukturbefund, der die in § 8.2 dokumentierte Design-Partner-Konzentration (Broadcom/Marvell/TSMC auf US-Seite) um ein chinesisches Muster vertikal-integrierter Konzern-Robotik ergänzt. Zweitens ist die Erstanwendung im </w:t>
      </w:r>
      <w:r>
        <w:rPr>
          <w:rFonts w:ascii="Arial" w:hAnsi="Arial"/>
          <w:b w:val="0"/>
          <w:i/>
          <w:sz w:val="19"/>
        </w:rPr>
        <w:t>Retail</w:t>
      </w:r>
      <w:r>
        <w:rPr>
          <w:rFonts w:ascii="Arial" w:hAnsi="Arial"/>
          <w:b w:val="0"/>
          <w:i w:val="0"/>
          <w:sz w:val="19"/>
        </w:rPr>
        <w:t xml:space="preserve">-Kanal (Vorführung von Elektrofahrzeugen in Autohäusern) im Vergleich zu den in § 8.2 dokumentierten US-Anwendungsfeldern (Tesla-Optimus Fremont: Sitz­montage; Figure: Materialhandhabung bei BMW Spartanburg) ein qualitativ anderer Anwendungspfad — nicht am Ort der Produktion, sondern am </w:t>
      </w:r>
      <w:r>
        <w:rPr>
          <w:rFonts w:ascii="Arial" w:hAnsi="Arial"/>
          <w:b w:val="0"/>
          <w:i/>
          <w:sz w:val="19"/>
        </w:rPr>
        <w:t>Ort des Verkaufs</w:t>
      </w:r>
      <w:r>
        <w:rPr>
          <w:rFonts w:ascii="Arial" w:hAnsi="Arial"/>
          <w:b w:val="0"/>
          <w:i w:val="0"/>
          <w:sz w:val="19"/>
        </w:rPr>
        <w:t xml:space="preserve"> — der die humanoide Robotik in eine kunden­zugewandte Vertriebsschicht überträgt und damit die Kausalattributionsdebatte (§ 9.1) auf ein zusätzliches Berufsfeld ausweitet (Fahrzeug- und Produktverkauf, Beratung). Drittens verstärkt der Vorgang die im </w:t>
      </w:r>
      <w:r>
        <w:rPr>
          <w:rFonts w:ascii="Arial" w:hAnsi="Arial"/>
          <w:b w:val="0"/>
          <w:i/>
          <w:sz w:val="19"/>
        </w:rPr>
        <w:t>Unitree</w:t>
      </w:r>
      <w:r>
        <w:rPr>
          <w:rFonts w:ascii="Arial" w:hAnsi="Arial"/>
          <w:b w:val="0"/>
          <w:i w:val="0"/>
          <w:sz w:val="19"/>
        </w:rPr>
        <w:t xml:space="preserve">-Absatz markierte Beobachtung, dass die humanoide Robotik als Wertschöpfungs­schicht in Deutschland und der Europäischen Union weiterhin nicht </w:t>
      </w:r>
      <w:r>
        <w:rPr>
          <w:rFonts w:ascii="Arial" w:hAnsi="Arial"/>
          <w:b w:val="0"/>
          <w:i/>
          <w:sz w:val="19"/>
        </w:rPr>
        <w:t>entsteht</w:t>
      </w:r>
      <w:r>
        <w:rPr>
          <w:rFonts w:ascii="Arial" w:hAnsi="Arial"/>
          <w:b w:val="0"/>
          <w:i w:val="0"/>
          <w:sz w:val="19"/>
        </w:rPr>
        <w:t xml:space="preserve">, sondern </w:t>
      </w:r>
      <w:r>
        <w:rPr>
          <w:rFonts w:ascii="Arial" w:hAnsi="Arial"/>
          <w:b w:val="0"/>
          <w:i/>
          <w:sz w:val="19"/>
        </w:rPr>
        <w:t>bezogen</w:t>
      </w:r>
      <w:r>
        <w:rPr>
          <w:rFonts w:ascii="Arial" w:hAnsi="Arial"/>
          <w:b w:val="0"/>
          <w:i w:val="0"/>
          <w:sz w:val="19"/>
        </w:rPr>
        <w:t xml:space="preserve"> wird — die Erst­kommerzialisierung erfolgt in US-amerikanischen und chinesischen Ökosystemen, was die im Papier bereits formulierte Verarbeiter-Position (§ 8.2) empirisch weiter stützt und für die Deutschland-These (§ 8.3) unterstreicht, dass die inländische Anknüpfung an eine wertschöpfungs­orientierte KI-Nutzungsabgabe nicht auf die Herstellung, sondern auf die </w:t>
      </w:r>
      <w:r>
        <w:rPr>
          <w:rFonts w:ascii="Arial" w:hAnsi="Arial"/>
          <w:b w:val="0"/>
          <w:i/>
          <w:sz w:val="19"/>
        </w:rPr>
        <w:t>Anwendung</w:t>
      </w:r>
      <w:r>
        <w:rPr>
          <w:rFonts w:ascii="Arial" w:hAnsi="Arial"/>
          <w:b w:val="0"/>
          <w:i w:val="0"/>
          <w:sz w:val="19"/>
        </w:rPr>
        <w:t xml:space="preserve"> humanoider und agentischer KI-Systeme in inländischen Prozessen zielen muss.</w:t>
      </w:r>
    </w:p>
    <w:p>
      <w:pPr>
        <w:jc w:val="both"/>
      </w:pPr>
      <w:r>
        <w:rPr>
          <w:rFonts w:ascii="Arial" w:hAnsi="Arial"/>
          <w:b w:val="0"/>
          <w:i w:val="0"/>
          <w:sz w:val="19"/>
        </w:rPr>
        <w:t xml:space="preserve">Auf der Compute- und Rechenzentren-Ebene tritt am 10. August 2026 mit </w:t>
      </w:r>
      <w:r>
        <w:rPr>
          <w:rFonts w:ascii="Arial" w:hAnsi="Arial"/>
          <w:b w:val="0"/>
          <w:i/>
          <w:sz w:val="19"/>
        </w:rPr>
        <w:t>Theseus Infrastructure</w:t>
      </w:r>
      <w:r>
        <w:rPr>
          <w:rFonts w:ascii="Arial" w:hAnsi="Arial"/>
          <w:b w:val="0"/>
          <w:i w:val="0"/>
          <w:sz w:val="19"/>
        </w:rPr>
        <w:t xml:space="preserve"> ein privatwirtschaftliches Vehikel-Modell neben die klassische Konzern- und Hyperscaler-Achse. Nach der offiziellen </w:t>
      </w:r>
      <w:r>
        <w:rPr>
          <w:rFonts w:ascii="Arial" w:hAnsi="Arial"/>
          <w:b w:val="0"/>
          <w:i/>
          <w:sz w:val="19"/>
        </w:rPr>
        <w:t>Macquarie</w:t>
      </w:r>
      <w:r>
        <w:rPr>
          <w:rFonts w:ascii="Arial" w:hAnsi="Arial"/>
          <w:b w:val="0"/>
          <w:i w:val="0"/>
          <w:sz w:val="19"/>
        </w:rPr>
        <w:t xml:space="preserve">-Mitteilung („Anthropic, Macquarie Asset Management, and GIC Announce Strategic Partnership to Develop Dedicated Data Center Infrastructure at Scale")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HPCwire</w:t>
      </w:r>
      <w:r>
        <w:rPr>
          <w:rFonts w:ascii="Arial" w:hAnsi="Arial"/>
          <w:b w:val="0"/>
          <w:i w:val="0"/>
          <w:sz w:val="19"/>
        </w:rPr>
        <w:t xml:space="preserve">, </w:t>
      </w:r>
      <w:r>
        <w:rPr>
          <w:rFonts w:ascii="Arial" w:hAnsi="Arial"/>
          <w:b w:val="0"/>
          <w:i/>
          <w:sz w:val="19"/>
        </w:rPr>
        <w:t>StreetInsider</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Data Center Richness</w:t>
      </w:r>
      <w:r>
        <w:rPr>
          <w:rFonts w:ascii="Arial" w:hAnsi="Arial"/>
          <w:b w:val="0"/>
          <w:i w:val="0"/>
          <w:sz w:val="19"/>
        </w:rPr>
        <w:t xml:space="preserve"> haben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eine strategische Partnerschaft angekündigt, deren zentraler Baustein die Gründung des Infrastruktur-Vehikels </w:t>
      </w:r>
      <w:r>
        <w:rPr>
          <w:rFonts w:ascii="Arial" w:hAnsi="Arial"/>
          <w:b w:val="0"/>
          <w:i/>
          <w:sz w:val="19"/>
        </w:rPr>
        <w:t>Theseus Infrastructure</w:t>
      </w:r>
      <w:r>
        <w:rPr>
          <w:rFonts w:ascii="Arial" w:hAnsi="Arial"/>
          <w:b w:val="0"/>
          <w:i w:val="0"/>
          <w:sz w:val="19"/>
        </w:rPr>
        <w:t xml:space="preserve"> ist: Zweckgesellschaft für Entwicklung, Betrieb und Verpachtung KI-spezifischer 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Nach den Konzernangaben halten von </w:t>
      </w:r>
      <w:r>
        <w:rPr>
          <w:rFonts w:ascii="Arial" w:hAnsi="Arial"/>
          <w:b w:val="0"/>
          <w:i/>
          <w:sz w:val="19"/>
        </w:rPr>
        <w:t>Macquarie Asset Management</w:t>
      </w:r>
      <w:r>
        <w:rPr>
          <w:rFonts w:ascii="Arial" w:hAnsi="Arial"/>
          <w:b w:val="0"/>
          <w:i w:val="0"/>
          <w:sz w:val="19"/>
        </w:rPr>
        <w:t xml:space="preserve"> geführte Fonds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im Gegenzug, Aufschläge auf die Verbraucher-Stromtarife der jeweiligen Host-Regionen, die auf die neuen Anlagen zurückgingen, konzernseitig abzudecken. Das erste Ausbauprogramm zielt auf die USA; Angaben zu Standorten, Gesamtinvestitionsvolumen, Gigawatt-Kapazität oder Zeitplan wurden mit der Erstankündigung nicht veröffentlicht (Konjunktivpflicht nach § 4.2 Claude.md, da die einzelnen Projektparameter zum Ankündigungsdatum offen blieben). Für die in § 8.2 entwickelte Rohstoff-Analogie ergänzt der Vorgang die im Papier bereits dokumentierte Compute-Konzentrations- und Custom-Silicon-Achse (§ 8.2,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um eine strukturell neue </w:t>
      </w:r>
      <w:r>
        <w:rPr>
          <w:rFonts w:ascii="Arial" w:hAnsi="Arial"/>
          <w:b w:val="0"/>
          <w:i/>
          <w:sz w:val="19"/>
        </w:rPr>
        <w:t>Finanzierungs</w:t>
      </w:r>
      <w:r>
        <w:rPr>
          <w:rFonts w:ascii="Arial" w:hAnsi="Arial"/>
          <w:b w:val="0"/>
          <w:i w:val="0"/>
          <w:sz w:val="19"/>
        </w:rPr>
        <w:t xml:space="preserve">-Schicht: Statt einer vertikal integrierten Hyperscaler-Bilanz (Alphabet, Microsoft, Amazon, Meta) tritt mit </w:t>
      </w:r>
      <w:r>
        <w:rPr>
          <w:rFonts w:ascii="Arial" w:hAnsi="Arial"/>
          <w:b w:val="0"/>
          <w:i/>
          <w:sz w:val="19"/>
        </w:rPr>
        <w:t>Theseus</w:t>
      </w:r>
      <w:r>
        <w:rPr>
          <w:rFonts w:ascii="Arial" w:hAnsi="Arial"/>
          <w:b w:val="0"/>
          <w:i w:val="0"/>
          <w:sz w:val="19"/>
        </w:rPr>
        <w:t xml:space="preserve"> erstmals ein rein privatwirtschaftliches Multi-Investor-Vehikel für dedizierte KI-Rechenzentren auf, das zwei institutionelle Long-Term-Kapitalanleger (australische Vermögensverwaltung, Singapurer Souveränfonds) an ein einzelnes Frontier-Anbieter-</w:t>
      </w:r>
      <w:r>
        <w:rPr>
          <w:rFonts w:ascii="Arial" w:hAnsi="Arial"/>
          <w:b w:val="0"/>
          <w:i/>
          <w:sz w:val="19"/>
        </w:rPr>
        <w:t>Anchor-Modell</w:t>
      </w:r>
      <w:r>
        <w:rPr>
          <w:rFonts w:ascii="Arial" w:hAnsi="Arial"/>
          <w:b w:val="0"/>
          <w:i w:val="0"/>
          <w:sz w:val="19"/>
        </w:rPr>
        <w:t xml:space="preserve"> koppelt. Für die Deutschland-These und die in § 5.4 sowie § 8.3 skizzierten Teilhabefonds-Optionen ist das Modell zweifach instruktiv: Erstens etabliert die </w:t>
      </w:r>
      <w:r>
        <w:rPr>
          <w:rFonts w:ascii="Arial" w:hAnsi="Arial"/>
          <w:b w:val="0"/>
          <w:i/>
          <w:sz w:val="19"/>
        </w:rPr>
        <w:t>Consumer-Utility-Rate-Schutzklausel</w:t>
      </w:r>
      <w:r>
        <w:rPr>
          <w:rFonts w:ascii="Arial" w:hAnsi="Arial"/>
          <w:b w:val="0"/>
          <w:i w:val="0"/>
          <w:sz w:val="19"/>
        </w:rPr>
        <w:t xml:space="preserve"> einen ersten großmaßstäblichen Präzedenzfall dafür, dass die </w:t>
      </w:r>
      <w:r>
        <w:rPr>
          <w:rFonts w:ascii="Arial" w:hAnsi="Arial"/>
          <w:b w:val="0"/>
          <w:i/>
          <w:sz w:val="19"/>
        </w:rPr>
        <w:t>externen Effekte</w:t>
      </w:r>
      <w:r>
        <w:rPr>
          <w:rFonts w:ascii="Arial" w:hAnsi="Arial"/>
          <w:b w:val="0"/>
          <w:i w:val="0"/>
          <w:sz w:val="19"/>
        </w:rPr>
        <w:t xml:space="preserve"> KI-getriebener Rechenzentren (Netzentgelte, Grundlast, Strompreis) durch privatrechtliche Kompensations­verpflichtungen des Anchor-Nutzers ex ante adressiert werden können — ein Ansatzpunkt, den die in </w:t>
      </w:r>
      <w:r>
        <w:rPr>
          <w:rFonts w:ascii="Arial" w:hAnsi="Arial"/>
          <w:b w:val="0"/>
          <w:i/>
          <w:sz w:val="19"/>
        </w:rPr>
        <w:t>Maine</w:t>
      </w:r>
      <w:r>
        <w:rPr>
          <w:rFonts w:ascii="Arial" w:hAnsi="Arial"/>
          <w:b w:val="0"/>
          <w:i w:val="0"/>
          <w:sz w:val="19"/>
        </w:rPr>
        <w:t xml:space="preserve"> (§ 4.5, Executive Order Nr. 5 vom 29. April 2026) angelegte staatliche Advisory-Beratung an externer Kostentragung erstmals durch einen privatwirtschaftlichen Kompensationsmechanismus flankiert. Zweitens verdeutlicht die Konstellation, dass ein </w:t>
      </w:r>
      <w:r>
        <w:rPr>
          <w:rFonts w:ascii="Arial" w:hAnsi="Arial"/>
          <w:b w:val="0"/>
          <w:i/>
          <w:sz w:val="19"/>
        </w:rPr>
        <w:t>sovereign wealth fund</w:t>
      </w:r>
      <w:r>
        <w:rPr>
          <w:rFonts w:ascii="Arial" w:hAnsi="Arial"/>
          <w:b w:val="0"/>
          <w:i w:val="0"/>
          <w:sz w:val="19"/>
        </w:rPr>
        <w:t xml:space="preserve"> (GIC/Singapur) am oberen Ende der KI-Compute-Wertschöpfungskette bereits heute Eigenkapitalanteile an dedizierten Frontier-Compute-Anlagen mit erwarteter zweistelliger Nutzungsdauer hält — was die im </w:t>
      </w:r>
      <w:r>
        <w:rPr>
          <w:rFonts w:ascii="Arial" w:hAnsi="Arial"/>
          <w:b w:val="0"/>
          <w:i/>
          <w:sz w:val="19"/>
        </w:rPr>
        <w:t>American A.I. Sovereign Wealth Fund Act</w:t>
      </w:r>
      <w:r>
        <w:rPr>
          <w:rFonts w:ascii="Arial" w:hAnsi="Arial"/>
          <w:b w:val="0"/>
          <w:i w:val="0"/>
          <w:sz w:val="19"/>
        </w:rPr>
        <w:t xml:space="preserve"> (§ 4.5) angelegte bestandsorientierte Umverteilungslogik nicht mehr nur als politisch-legislativen Vorschlag, sondern als bereits realisierte kapitalmarkt­institutionelle Konstruktion sichtbar macht. Für die in Kapitel 8 entwickelte Verarbeiter-Position (§ 8.2 unten) folgt daraus, dass die Finanzierungs­schicht der KI-Infrastruktur zusätzlich zur Modell-, Hardware- und Fertigungs­konzentration außerhalb der Europäischen Union realisiert wird — und dass die Anknüpfungspunkte einer wertschöpfungs­orientierten inländischen KI-Nutzungsabgabe (§ 8.3) an dieser Finanzierungs­schicht unmittelbar keinen Zugriff finden.</w:t>
      </w:r>
    </w:p>
    <w:p>
      <w:pPr>
        <w:jc w:val="both"/>
      </w:pPr>
      <w:r>
        <w:rPr>
          <w:rFonts w:ascii="Arial" w:hAnsi="Arial"/>
          <w:b w:val="0"/>
          <w:i w:val="0"/>
          <w:sz w:val="19"/>
        </w:rPr>
        <w:t xml:space="preserve">Zwei weitere Datenpunkte an derselben Compute-Finanzierungs­schicht treten in den beiden folgenden Tagen hinzu und verdichten den </w:t>
      </w:r>
      <w:r>
        <w:rPr>
          <w:rFonts w:ascii="Arial" w:hAnsi="Arial"/>
          <w:b w:val="0"/>
          <w:i/>
          <w:sz w:val="19"/>
        </w:rPr>
        <w:t>Theseus</w:t>
      </w:r>
      <w:r>
        <w:rPr>
          <w:rFonts w:ascii="Arial" w:hAnsi="Arial"/>
          <w:b w:val="0"/>
          <w:i w:val="0"/>
          <w:sz w:val="19"/>
        </w:rPr>
        <w:t xml:space="preserve">-Befund zu einem Muster. Am 10. August 2026 hat </w:t>
      </w:r>
      <w:r>
        <w:rPr>
          <w:rFonts w:ascii="Arial" w:hAnsi="Arial"/>
          <w:b w:val="0"/>
          <w:i/>
          <w:sz w:val="19"/>
        </w:rPr>
        <w:t>Nvidia</w:t>
      </w:r>
      <w:r>
        <w:rPr>
          <w:rFonts w:ascii="Arial" w:hAnsi="Arial"/>
          <w:b w:val="0"/>
          <w:i w:val="0"/>
          <w:sz w:val="19"/>
        </w:rPr>
        <w:t xml:space="preserve"> nach der eigenen Presseerklärung („NVIDIA Partners With Apollo, BlackRock, Blackstone, Brookfield, Goldman Sachs and KKR to Establish AI Compute Infrastructure Financing Platforms to Mobilize Over $500 Billion of Third-Party Capital")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Financial Times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Quartz</w:t>
      </w:r>
      <w:r>
        <w:rPr>
          <w:rFonts w:ascii="Arial" w:hAnsi="Arial"/>
          <w:b w:val="0"/>
          <w:i w:val="0"/>
          <w:sz w:val="19"/>
        </w:rPr>
        <w:t xml:space="preserve"> strategische Partnerschaften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unabhängiger </w:t>
      </w:r>
      <w:r>
        <w:rPr>
          <w:rFonts w:ascii="Arial" w:hAnsi="Arial"/>
          <w:b w:val="0"/>
          <w:i/>
          <w:sz w:val="19"/>
        </w:rPr>
        <w:t>AI Compute Infrastructure Financing Platforms</w:t>
      </w:r>
      <w:r>
        <w:rPr>
          <w:rFonts w:ascii="Arial" w:hAnsi="Arial"/>
          <w:b w:val="0"/>
          <w:i w:val="0"/>
          <w:sz w:val="19"/>
        </w:rPr>
        <w:t xml:space="preserve"> angekündigt, die über die Zeit mehr als 500 Milliarden US-Dollar an Drittkapital für Rechenzentren, Energie- und sonstige KI-Infrastruktur auf Basis von </w:t>
      </w:r>
      <w:r>
        <w:rPr>
          <w:rFonts w:ascii="Arial" w:hAnsi="Arial"/>
          <w:b w:val="0"/>
          <w:i/>
          <w:sz w:val="19"/>
        </w:rPr>
        <w:t>Nvidia</w:t>
      </w:r>
      <w:r>
        <w:rPr>
          <w:rFonts w:ascii="Arial" w:hAnsi="Arial"/>
          <w:b w:val="0"/>
          <w:i w:val="0"/>
          <w:sz w:val="19"/>
        </w:rPr>
        <w:t xml:space="preserve">-Hardware mobilisieren sollen; die Vereinbarungen sind als </w:t>
      </w:r>
      <w:r>
        <w:rPr>
          <w:rFonts w:ascii="Arial" w:hAnsi="Arial"/>
          <w:b w:val="0"/>
          <w:i/>
          <w:sz w:val="19"/>
        </w:rPr>
        <w:t>Memoranda of Understanding</w:t>
      </w:r>
      <w:r>
        <w:rPr>
          <w:rFonts w:ascii="Arial" w:hAnsi="Arial"/>
          <w:b w:val="0"/>
          <w:i w:val="0"/>
          <w:sz w:val="19"/>
        </w:rPr>
        <w:t xml:space="preserve"> strukturiert und leiten den Kapitalzufluss ausdrücklich über </w:t>
      </w:r>
      <w:r>
        <w:rPr>
          <w:rFonts w:ascii="Arial" w:hAnsi="Arial"/>
          <w:b w:val="0"/>
          <w:i/>
          <w:sz w:val="19"/>
        </w:rPr>
        <w:t>unabhängige Plattformen jenseits der Nvidia-Bilanz</w:t>
      </w:r>
      <w:r>
        <w:rPr>
          <w:rFonts w:ascii="Arial" w:hAnsi="Arial"/>
          <w:b w:val="0"/>
          <w:i w:val="0"/>
          <w:sz w:val="19"/>
        </w:rPr>
        <w:t xml:space="preserve">, während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im flankierenden </w:t>
      </w:r>
      <w:r>
        <w:rPr>
          <w:rFonts w:ascii="Arial" w:hAnsi="Arial"/>
          <w:b w:val="0"/>
          <w:i/>
          <w:sz w:val="19"/>
        </w:rPr>
        <w:t>CNBC</w:t>
      </w:r>
      <w:r>
        <w:rPr>
          <w:rFonts w:ascii="Arial" w:hAnsi="Arial"/>
          <w:b w:val="0"/>
          <w:i w:val="0"/>
          <w:sz w:val="19"/>
        </w:rPr>
        <w:t xml:space="preserve">-Interview KI-Compute-Infrastruktur öffentlich als </w:t>
      </w:r>
      <w:r>
        <w:rPr>
          <w:rFonts w:ascii="Arial" w:hAnsi="Arial"/>
          <w:b w:val="0"/>
          <w:i/>
          <w:sz w:val="19"/>
        </w:rPr>
        <w:t>investable asset class</w:t>
      </w:r>
      <w:r>
        <w:rPr>
          <w:rFonts w:ascii="Arial" w:hAnsi="Arial"/>
          <w:b w:val="0"/>
          <w:i w:val="0"/>
          <w:sz w:val="19"/>
        </w:rPr>
        <w:t xml:space="preserve"> rahmt (Konjunktivpflicht nach § 4.2 Claude.md, da die endgültige Ausgestaltung der Plattformen der Ausfertigung endgültiger Verträge vorbehalten bleibt). Am 11. August 2026 hat </w:t>
      </w:r>
      <w:r>
        <w:rPr>
          <w:rFonts w:ascii="Arial" w:hAnsi="Arial"/>
          <w:b w:val="0"/>
          <w:i/>
          <w:sz w:val="19"/>
        </w:rPr>
        <w:t>Anthropic</w:t>
      </w:r>
      <w:r>
        <w:rPr>
          <w:rFonts w:ascii="Arial" w:hAnsi="Arial"/>
          <w:b w:val="0"/>
          <w:i w:val="0"/>
          <w:sz w:val="19"/>
        </w:rPr>
        <w:t xml:space="preserve">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The Coin Republic</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und </w:t>
      </w:r>
      <w:r>
        <w:rPr>
          <w:rFonts w:ascii="Arial" w:hAnsi="Arial"/>
          <w:b w:val="0"/>
          <w:i/>
          <w:sz w:val="19"/>
        </w:rPr>
        <w:t>Blockonomi</w:t>
      </w:r>
      <w:r>
        <w:rPr>
          <w:rFonts w:ascii="Arial" w:hAnsi="Arial"/>
          <w:b w:val="0"/>
          <w:i w:val="0"/>
          <w:sz w:val="19"/>
        </w:rPr>
        <w:t xml:space="preserve"> einen 20-jährigen </w:t>
      </w:r>
      <w:r>
        <w:rPr>
          <w:rFonts w:ascii="Arial" w:hAnsi="Arial"/>
          <w:b w:val="0"/>
          <w:i/>
          <w:sz w:val="19"/>
        </w:rPr>
        <w:t>Compute-Nutzungsvertrag</w:t>
      </w:r>
      <w:r>
        <w:rPr>
          <w:rFonts w:ascii="Arial" w:hAnsi="Arial"/>
          <w:b w:val="0"/>
          <w:i w:val="0"/>
          <w:sz w:val="19"/>
        </w:rPr>
        <w:t xml:space="preserve"> mit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geschlossen: Basislaufzeit Juni 2026 bis Juni 2048, Basisvertragsvolumen rund 9,1 Milliarden US-Dollar mit zwei jeweils fünfjährigen Verlängerungsoptionen (aufkumulierbar auf rund 16,1 Milliarden US-Dollar); die erste Ausbaustufe von 96 Megawatt soll bis Ende 2027 in Betrieb gehen, die volle Kapazität bis Juni 2028; </w:t>
      </w:r>
      <w:r>
        <w:rPr>
          <w:rFonts w:ascii="Arial" w:hAnsi="Arial"/>
          <w:b w:val="0"/>
          <w:i/>
          <w:sz w:val="19"/>
        </w:rPr>
        <w:t>Morgan Stanley</w:t>
      </w:r>
      <w:r>
        <w:rPr>
          <w:rFonts w:ascii="Arial" w:hAnsi="Arial"/>
          <w:b w:val="0"/>
          <w:i w:val="0"/>
          <w:sz w:val="19"/>
        </w:rPr>
        <w:t xml:space="preserve"> finanziert 573 Millionen US-Dollar an; nach Angaben von </w:t>
      </w:r>
      <w:r>
        <w:rPr>
          <w:rFonts w:ascii="Arial" w:hAnsi="Arial"/>
          <w:b w:val="0"/>
          <w:i/>
          <w:sz w:val="19"/>
        </w:rPr>
        <w:t>Riot</w:t>
      </w:r>
      <w:r>
        <w:rPr>
          <w:rFonts w:ascii="Arial" w:hAnsi="Arial"/>
          <w:b w:val="0"/>
          <w:i w:val="0"/>
          <w:sz w:val="19"/>
        </w:rPr>
        <w:t xml:space="preserve">-CEO Jason Les habe der Konzern kumuliert Mietverträge über 241 Megawatt mit einem geschätzten Umsatz von 9,8 Milliarden US-Dollar über mehrere KI-Kunden ausgehandelt (Konjunktivpflicht nach § 4.2 Claude.md, da die weiteren Kunden im Rockdale-Cluster nicht namentlich offengelegt werden). Für die in diesem Kapitel entwickelte Rohstoff-Analogie ergeben beide Vorgänge im Zusammenspiel mit der </w:t>
      </w:r>
      <w:r>
        <w:rPr>
          <w:rFonts w:ascii="Arial" w:hAnsi="Arial"/>
          <w:b w:val="0"/>
          <w:i/>
          <w:sz w:val="19"/>
        </w:rPr>
        <w:t>Theseus</w:t>
      </w:r>
      <w:r>
        <w:rPr>
          <w:rFonts w:ascii="Arial" w:hAnsi="Arial"/>
          <w:b w:val="0"/>
          <w:i w:val="0"/>
          <w:sz w:val="19"/>
        </w:rPr>
        <w:t xml:space="preserve">-Ankündigung vom 10. August 2026 einen konvergierenden Befund: Die Finanzierungsschicht der KI-Compute-Infrastruktur ordnet sich binnen 48 Stunden entlang dreier strukturell unterschiedlicher, aber logisch verwandter Muster neu — (i) Multi-Investor-Vehikel mit institutionellem Long-Term-Kapital und Frontier-Anbieter als </w:t>
      </w:r>
      <w:r>
        <w:rPr>
          <w:rFonts w:ascii="Arial" w:hAnsi="Arial"/>
          <w:b w:val="0"/>
          <w:i/>
          <w:sz w:val="19"/>
        </w:rPr>
        <w:t>anchor tenant</w:t>
      </w:r>
      <w:r>
        <w:rPr>
          <w:rFonts w:ascii="Arial" w:hAnsi="Arial"/>
          <w:b w:val="0"/>
          <w:i w:val="0"/>
          <w:sz w:val="19"/>
        </w:rPr>
        <w:t xml:space="preserve"> (</w:t>
      </w:r>
      <w:r>
        <w:rPr>
          <w:rFonts w:ascii="Arial" w:hAnsi="Arial"/>
          <w:b w:val="0"/>
          <w:i/>
          <w:sz w:val="19"/>
        </w:rPr>
        <w:t>Theseus</w:t>
      </w:r>
      <w:r>
        <w:rPr>
          <w:rFonts w:ascii="Arial" w:hAnsi="Arial"/>
          <w:b w:val="0"/>
          <w:i w:val="0"/>
          <w:sz w:val="19"/>
        </w:rPr>
        <w:t>: Anthropic × Macquarie × GIC), (ii) sechs institutionelle Multi-Plattform-Finanzierungs­kanäle mit Hardware-Hersteller als Anker- und Roadmap-Setzer (</w:t>
      </w:r>
      <w:r>
        <w:rPr>
          <w:rFonts w:ascii="Arial" w:hAnsi="Arial"/>
          <w:b w:val="0"/>
          <w:i/>
          <w:sz w:val="19"/>
        </w:rPr>
        <w:t>Nvidia</w:t>
      </w:r>
      <w:r>
        <w:rPr>
          <w:rFonts w:ascii="Arial" w:hAnsi="Arial"/>
          <w:b w:val="0"/>
          <w:i w:val="0"/>
          <w:sz w:val="19"/>
        </w:rPr>
        <w:t xml:space="preserve"> × Apollo/BlackRock/Blackstone/Brookfield/Goldman-Sachs/KKR) und (iii) langfristige Kapazitätsverträge mit umgewidmeten </w:t>
      </w:r>
      <w:r>
        <w:rPr>
          <w:rFonts w:ascii="Arial" w:hAnsi="Arial"/>
          <w:b w:val="0"/>
          <w:i/>
          <w:sz w:val="19"/>
        </w:rPr>
        <w:t>stranded-assets</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 </w:t>
      </w:r>
      <w:r>
        <w:rPr>
          <w:rFonts w:ascii="Arial" w:hAnsi="Arial"/>
          <w:b w:val="0"/>
          <w:i/>
          <w:sz w:val="19"/>
        </w:rPr>
        <w:t>Riot Platforms</w:t>
      </w:r>
      <w:r>
        <w:rPr>
          <w:rFonts w:ascii="Arial" w:hAnsi="Arial"/>
          <w:b w:val="0"/>
          <w:i w:val="0"/>
          <w:sz w:val="19"/>
        </w:rPr>
        <w:t xml:space="preserve">, konvertierte Bitcoin-Mining-Anlage in Texas). </w:t>
      </w:r>
      <w:r>
        <w:rPr>
          <w:rFonts w:ascii="Arial" w:hAnsi="Arial"/>
          <w:b w:val="0"/>
          <w:i/>
          <w:sz w:val="19"/>
        </w:rPr>
        <w:t>Morgan Stanley</w:t>
      </w:r>
      <w:r>
        <w:rPr>
          <w:rFonts w:ascii="Arial" w:hAnsi="Arial"/>
          <w:b w:val="0"/>
          <w:i w:val="0"/>
          <w:sz w:val="19"/>
        </w:rPr>
        <w:t xml:space="preserve"> prognostiziert im selben Zeitraum, dass Hyperscale-Cloud-Anbieter zwischen 2026 und 2028 rund 3,5 Billionen US-Dollar Kapitalausgaben tätigen könnten (Konjunktivpflicht nach § 4.2 Claude.md).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verlagert sich damit binnen weniger Tage die zentrale Frage vom </w:t>
      </w:r>
      <w:r>
        <w:rPr>
          <w:rFonts w:ascii="Arial" w:hAnsi="Arial"/>
          <w:b w:val="0"/>
          <w:i/>
          <w:sz w:val="19"/>
        </w:rPr>
        <w:t>Ob</w:t>
      </w:r>
      <w:r>
        <w:rPr>
          <w:rFonts w:ascii="Arial" w:hAnsi="Arial"/>
          <w:b w:val="0"/>
          <w:i w:val="0"/>
          <w:sz w:val="19"/>
        </w:rPr>
        <w:t xml:space="preserve"> institutioneller Kapitalanknüpfung an KI-Compute-Anlagen zum </w:t>
      </w:r>
      <w:r>
        <w:rPr>
          <w:rFonts w:ascii="Arial" w:hAnsi="Arial"/>
          <w:b w:val="0"/>
          <w:i/>
          <w:sz w:val="19"/>
        </w:rPr>
        <w:t>Wo</w:t>
      </w:r>
      <w:r>
        <w:rPr>
          <w:rFonts w:ascii="Arial" w:hAnsi="Arial"/>
          <w:b w:val="0"/>
          <w:i w:val="0"/>
          <w:sz w:val="19"/>
        </w:rPr>
        <w:t>: Bereits realisierte private Kapitalanknüpfungen (Macquarie/GIC-</w:t>
      </w:r>
      <w:r>
        <w:rPr>
          <w:rFonts w:ascii="Arial" w:hAnsi="Arial"/>
          <w:b w:val="0"/>
          <w:i/>
          <w:sz w:val="19"/>
        </w:rPr>
        <w:t>Theseus</w:t>
      </w:r>
      <w:r>
        <w:rPr>
          <w:rFonts w:ascii="Arial" w:hAnsi="Arial"/>
          <w:b w:val="0"/>
          <w:i w:val="0"/>
          <w:sz w:val="19"/>
        </w:rPr>
        <w:t xml:space="preserve">, sechs Apollo-/BlackRock-/Blackstone-/Brookfield-/GS-/KKR-Plattformen mit </w:t>
      </w:r>
      <w:r>
        <w:rPr>
          <w:rFonts w:ascii="Arial" w:hAnsi="Arial"/>
          <w:b w:val="0"/>
          <w:i/>
          <w:sz w:val="19"/>
        </w:rPr>
        <w:t>Nvidia</w:t>
      </w:r>
      <w:r>
        <w:rPr>
          <w:rFonts w:ascii="Arial" w:hAnsi="Arial"/>
          <w:b w:val="0"/>
          <w:i w:val="0"/>
          <w:sz w:val="19"/>
        </w:rPr>
        <w:t>-Anker, Anthropic-</w:t>
      </w:r>
      <w:r>
        <w:rPr>
          <w:rFonts w:ascii="Arial" w:hAnsi="Arial"/>
          <w:b w:val="0"/>
          <w:i/>
          <w:sz w:val="19"/>
        </w:rPr>
        <w:t>Riot</w:t>
      </w:r>
      <w:r>
        <w:rPr>
          <w:rFonts w:ascii="Arial" w:hAnsi="Arial"/>
          <w:b w:val="0"/>
          <w:i w:val="0"/>
          <w:sz w:val="19"/>
        </w:rPr>
        <w:t>-Rockdale-Anlage) besetzen die vom Sanders-Gesetzentwurf angezielten Bestandspositionen an der KI-Compute-Wertschöpfungs­schicht präventiv und außerhalb der Reichweite einer nationalen Beteiligungslogik. Für die Deutschland-These (§ 8.3) folgt daraus, dass die im Papier formulierte Verarbeiter-Position auch auf der Finanzierungsschicht der KI-Compute-Wertschöpfung empirisch weiter bestätigt wird: Alle drei Konstruktionen sind auf US-, australische, singapurische und asiatische Kapitalpools sowie US-Erststandorte gerichtet — mit einer inländischen deutschen Kapital- oder Standortbeteiligung an dieser Schicht ist gegenwärtig nicht zu rechnen.</w:t>
      </w:r>
    </w:p>
    <w:p>
      <w:pPr>
        <w:jc w:val="both"/>
      </w:pPr>
      <w:r>
        <w:rPr>
          <w:rFonts w:ascii="Arial" w:hAnsi="Arial"/>
          <w:b w:val="0"/>
          <w:i w:val="0"/>
          <w:sz w:val="19"/>
        </w:rPr>
        <w:t xml:space="preserve">Nachtrag zu den drei Konstruktionen: Zwei weitere Datenpunkte aus dem 7-Tage-Fenster verdichten die Compute-Finanzierungs­schicht um eine ergänzende Stromversorgungs- und eine Chip-Leasing-Ebene. Erstens hat </w:t>
      </w:r>
      <w:r>
        <w:rPr>
          <w:rFonts w:ascii="Arial" w:hAnsi="Arial"/>
          <w:b w:val="0"/>
          <w:i/>
          <w:sz w:val="19"/>
        </w:rPr>
        <w:t>Nvidia</w:t>
      </w:r>
      <w:r>
        <w:rPr>
          <w:rFonts w:ascii="Arial" w:hAnsi="Arial"/>
          <w:b w:val="0"/>
          <w:i w:val="0"/>
          <w:sz w:val="19"/>
        </w:rPr>
        <w:t xml:space="preserve"> nach der Berichterstattung von </w:t>
      </w:r>
      <w:r>
        <w:rPr>
          <w:rFonts w:ascii="Arial" w:hAnsi="Arial"/>
          <w:b w:val="0"/>
          <w:i/>
          <w:sz w:val="19"/>
        </w:rPr>
        <w:t>The Information</w:t>
      </w:r>
      <w:r>
        <w:rPr>
          <w:rFonts w:ascii="Arial" w:hAnsi="Arial"/>
          <w:b w:val="0"/>
          <w:i w:val="0"/>
          <w:sz w:val="19"/>
        </w:rPr>
        <w:t xml:space="preserve"> (7. August 2026) sowie flankierender Berichterstattung von </w:t>
      </w:r>
      <w:r>
        <w:rPr>
          <w:rFonts w:ascii="Arial" w:hAnsi="Arial"/>
          <w:b w:val="0"/>
          <w:i/>
          <w:sz w:val="19"/>
        </w:rPr>
        <w:t>Reuters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CNN Business</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(„Nvidia found a new way to keep the AI boom funded: your retirement money", 12. August 2026) und </w:t>
      </w:r>
      <w:r>
        <w:rPr>
          <w:rFonts w:ascii="Arial" w:hAnsi="Arial"/>
          <w:b w:val="0"/>
          <w:i/>
          <w:sz w:val="19"/>
        </w:rPr>
        <w:t>AI Weekly</w:t>
      </w:r>
      <w:r>
        <w:rPr>
          <w:rFonts w:ascii="Arial" w:hAnsi="Arial"/>
          <w:b w:val="0"/>
          <w:i w:val="0"/>
          <w:sz w:val="19"/>
        </w:rPr>
        <w:t xml:space="preserve"> eine Beteiligung von bis zu 3 Milliarden US-Dollar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angekündigt: Erstinvestition von 2 Milliarden US-Dollar für rund 20 Prozent der Anteile, weitere 1 Milliarde US-Dollar an </w:t>
      </w:r>
      <w:r>
        <w:rPr>
          <w:rFonts w:ascii="Arial" w:hAnsi="Arial"/>
          <w:b w:val="0"/>
          <w:i/>
          <w:sz w:val="19"/>
        </w:rPr>
        <w:t>grid-hookup</w:t>
      </w:r>
      <w:r>
        <w:rPr>
          <w:rFonts w:ascii="Arial" w:hAnsi="Arial"/>
          <w:b w:val="0"/>
          <w:i w:val="0"/>
          <w:sz w:val="19"/>
        </w:rPr>
        <w:t xml:space="preserve">-Meilensteine gekoppelt (voller Ausführungsstand rund 30 Prozent Eigentum), Unternehmenswert von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Lancium</w:t>
      </w:r>
      <w:r>
        <w:rPr>
          <w:rFonts w:ascii="Arial" w:hAnsi="Arial"/>
          <w:b w:val="0"/>
          <w:i w:val="0"/>
          <w:sz w:val="19"/>
        </w:rPr>
        <w:t xml:space="preserve"> betreibt den 1.000-Hektar-Campus in Abilene (Texas), an dem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zusammen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läuft; die Anlage ist auf rund 400.000 </w:t>
      </w:r>
      <w:r>
        <w:rPr>
          <w:rFonts w:ascii="Arial" w:hAnsi="Arial"/>
          <w:b w:val="0"/>
          <w:i/>
          <w:sz w:val="19"/>
        </w:rPr>
        <w:t>Nvidia</w:t>
      </w:r>
      <w:r>
        <w:rPr>
          <w:rFonts w:ascii="Arial" w:hAnsi="Arial"/>
          <w:b w:val="0"/>
          <w:i w:val="0"/>
          <w:sz w:val="19"/>
        </w:rPr>
        <w:t xml:space="preserve">-KI-Chips in acht Gebäuden ausgelegt (nach </w:t>
      </w:r>
      <w:r>
        <w:rPr>
          <w:rFonts w:ascii="Arial" w:hAnsi="Arial"/>
          <w:b w:val="0"/>
          <w:i/>
          <w:sz w:val="19"/>
        </w:rPr>
        <w:t>Yahoo-Finance</w:t>
      </w:r>
      <w:r>
        <w:rPr>
          <w:rFonts w:ascii="Arial" w:hAnsi="Arial"/>
          <w:b w:val="0"/>
          <w:i w:val="0"/>
          <w:sz w:val="19"/>
        </w:rPr>
        <w:t xml:space="preserve">-Analyse), und die zugrundeliegende </w:t>
      </w:r>
      <w:r>
        <w:rPr>
          <w:rFonts w:ascii="Arial" w:hAnsi="Arial"/>
          <w:b w:val="0"/>
          <w:i/>
          <w:sz w:val="19"/>
        </w:rPr>
        <w:t>sub-5-second demand-response</w:t>
      </w:r>
      <w:r>
        <w:rPr>
          <w:rFonts w:ascii="Arial" w:hAnsi="Arial"/>
          <w:b w:val="0"/>
          <w:i w:val="0"/>
          <w:sz w:val="19"/>
        </w:rPr>
        <w:t xml:space="preserve">-Steuerungstechnik geht auf frühere Bitcoin-Mining-Lastprofile zurück, die für die dynamische Steuerung großer KI-Cluster umgewidmet wurden. Der Kapitalzufluss soll die weiteren Grid-Anschlüsse und einen möglichen Börsengang von </w:t>
      </w:r>
      <w:r>
        <w:rPr>
          <w:rFonts w:ascii="Arial" w:hAnsi="Arial"/>
          <w:b w:val="0"/>
          <w:i/>
          <w:sz w:val="19"/>
        </w:rPr>
        <w:t>Lancium</w:t>
      </w:r>
      <w:r>
        <w:rPr>
          <w:rFonts w:ascii="Arial" w:hAnsi="Arial"/>
          <w:b w:val="0"/>
          <w:i w:val="0"/>
          <w:sz w:val="19"/>
        </w:rPr>
        <w:t xml:space="preserve"> im Jahr 2027 finanzieren (Konjunktivpflicht nach § 4.2 Claude.md). Zweitens hat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TradingKey</w:t>
      </w:r>
      <w:r>
        <w:rPr>
          <w:rFonts w:ascii="Arial" w:hAnsi="Arial"/>
          <w:b w:val="0"/>
          <w:i w:val="0"/>
          <w:sz w:val="19"/>
        </w:rPr>
        <w:t xml:space="preserve"> (5. bis 12. August 2026) </w:t>
      </w:r>
      <w:r>
        <w:rPr>
          <w:rFonts w:ascii="Arial" w:hAnsi="Arial"/>
          <w:b w:val="0"/>
          <w:i/>
          <w:sz w:val="19"/>
        </w:rPr>
        <w:t>Blackstone</w:t>
      </w:r>
      <w:r>
        <w:rPr>
          <w:rFonts w:ascii="Arial" w:hAnsi="Arial"/>
          <w:b w:val="0"/>
          <w:i w:val="0"/>
          <w:sz w:val="19"/>
        </w:rPr>
        <w:t xml:space="preserve"> Anfang August 2026 mit Investoren-Sondierungen zu einem zweiten </w:t>
      </w:r>
      <w:r>
        <w:rPr>
          <w:rFonts w:ascii="Arial" w:hAnsi="Arial"/>
          <w:b w:val="0"/>
          <w:i/>
          <w:sz w:val="19"/>
        </w:rPr>
        <w:t>Chip-Lease-SPV</w:t>
      </w:r>
      <w:r>
        <w:rPr>
          <w:rFonts w:ascii="Arial" w:hAnsi="Arial"/>
          <w:b w:val="0"/>
          <w:i w:val="0"/>
          <w:sz w:val="19"/>
        </w:rPr>
        <w:t xml:space="preserve">-Kredit­paket über rund 36 Milliarden US-Dollar begonnen, das </w:t>
      </w:r>
      <w:r>
        <w:rPr>
          <w:rFonts w:ascii="Arial" w:hAnsi="Arial"/>
          <w:b w:val="0"/>
          <w:i/>
          <w:sz w:val="19"/>
        </w:rPr>
        <w:t>Anthropic</w:t>
      </w:r>
      <w:r>
        <w:rPr>
          <w:rFonts w:ascii="Arial" w:hAnsi="Arial"/>
          <w:b w:val="0"/>
          <w:i w:val="0"/>
          <w:sz w:val="19"/>
        </w:rPr>
        <w:t xml:space="preserve"> die Nutzung von </w:t>
      </w:r>
      <w:r>
        <w:rPr>
          <w:rFonts w:ascii="Arial" w:hAnsi="Arial"/>
          <w:b w:val="0"/>
          <w:i/>
          <w:sz w:val="19"/>
        </w:rPr>
        <w:t>Google-TPU</w:t>
      </w:r>
      <w:r>
        <w:rPr>
          <w:rFonts w:ascii="Arial" w:hAnsi="Arial"/>
          <w:b w:val="0"/>
          <w:i w:val="0"/>
          <w:sz w:val="19"/>
        </w:rPr>
        <w:t xml:space="preserve">-Kapazität außerhalb der eigenen Bilanz sichern soll; die </w:t>
      </w:r>
      <w:r>
        <w:rPr>
          <w:rFonts w:ascii="Arial" w:hAnsi="Arial"/>
          <w:b w:val="0"/>
          <w:i/>
          <w:sz w:val="19"/>
        </w:rPr>
        <w:t>Yahoo-Finance</w:t>
      </w:r>
      <w:r>
        <w:rPr>
          <w:rFonts w:ascii="Arial" w:hAnsi="Arial"/>
          <w:b w:val="0"/>
          <w:i w:val="0"/>
          <w:sz w:val="19"/>
        </w:rPr>
        <w:t xml:space="preserve">-Zählung „Anthropic SPVs Stack $71 Billion in Chip-Lease Debt in 60 Days" verweist zusätzlich auf einen ersten,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aus dem Mai 2026 — beide Vehikel dienen der Off-Balance-Sheet-Beschaffung von </w:t>
      </w:r>
      <w:r>
        <w:rPr>
          <w:rFonts w:ascii="Arial" w:hAnsi="Arial"/>
          <w:b w:val="0"/>
          <w:i/>
          <w:sz w:val="19"/>
        </w:rPr>
        <w:t>TPU</w:t>
      </w:r>
      <w:r>
        <w:rPr>
          <w:rFonts w:ascii="Arial" w:hAnsi="Arial"/>
          <w:b w:val="0"/>
          <w:i w:val="0"/>
          <w:sz w:val="19"/>
        </w:rPr>
        <w:t xml:space="preserve">-Kapazität für </w:t>
      </w:r>
      <w:r>
        <w:rPr>
          <w:rFonts w:ascii="Arial" w:hAnsi="Arial"/>
          <w:b w:val="0"/>
          <w:i/>
          <w:sz w:val="19"/>
        </w:rPr>
        <w:t>Anthropic</w:t>
      </w:r>
      <w:r>
        <w:rPr>
          <w:rFonts w:ascii="Arial" w:hAnsi="Arial"/>
          <w:b w:val="0"/>
          <w:i w:val="0"/>
          <w:sz w:val="19"/>
        </w:rPr>
        <w:t xml:space="preserve"> über spezielle Zweckgesellschaften und werden derzeit auf Rechenzentrums-Standorte in New York, Texas, Louisiana und Indiana ausgerichtet (Konjunktivpflicht nach § 4.2 Claude.md, da die endgültige Volumen-, Konsortial- und Struktur­ausgestaltung des zweiten Pakets noch nicht abgeschlossen sei). Für die in diesem Kapitel entwickelte Rohstoff-Analogie ergänzen beide Vorgänge die drei zuvor markierten Muster (i–iii) um zwei weitere strukturell unterschiedliche Konstruktionen der Finanzierungs­schicht: (iv) direkter Einstieg des Chipherstellers in die </w:t>
      </w:r>
      <w:r>
        <w:rPr>
          <w:rFonts w:ascii="Arial" w:hAnsi="Arial"/>
          <w:b w:val="0"/>
          <w:i/>
          <w:sz w:val="19"/>
        </w:rPr>
        <w:t>Stromversorgungs- und Standort-Schicht</w:t>
      </w:r>
      <w:r>
        <w:rPr>
          <w:rFonts w:ascii="Arial" w:hAnsi="Arial"/>
          <w:b w:val="0"/>
          <w:i w:val="0"/>
          <w:sz w:val="19"/>
        </w:rPr>
        <w:t xml:space="preserve"> über eine Minderheits­beteiligung am nachgelagerten </w:t>
      </w:r>
      <w:r>
        <w:rPr>
          <w:rFonts w:ascii="Arial" w:hAnsi="Arial"/>
          <w:b w:val="0"/>
          <w:i/>
          <w:sz w:val="19"/>
        </w:rPr>
        <w:t>Power-Landlord</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 </w:t>
      </w:r>
      <w:r>
        <w:rPr>
          <w:rFonts w:ascii="Arial" w:hAnsi="Arial"/>
          <w:b w:val="0"/>
          <w:i/>
          <w:sz w:val="19"/>
        </w:rPr>
        <w:t>Lancium</w:t>
      </w:r>
      <w:r>
        <w:rPr>
          <w:rFonts w:ascii="Arial" w:hAnsi="Arial"/>
          <w:b w:val="0"/>
          <w:i w:val="0"/>
          <w:sz w:val="19"/>
        </w:rPr>
        <w:t>/</w:t>
      </w:r>
      <w:r>
        <w:rPr>
          <w:rFonts w:ascii="Arial" w:hAnsi="Arial"/>
          <w:b w:val="0"/>
          <w:i/>
          <w:sz w:val="19"/>
        </w:rPr>
        <w:t>Blackstone</w:t>
      </w:r>
      <w:r>
        <w:rPr>
          <w:rFonts w:ascii="Arial" w:hAnsi="Arial"/>
          <w:b w:val="0"/>
          <w:i w:val="0"/>
          <w:sz w:val="19"/>
        </w:rPr>
        <w:t>/</w:t>
      </w:r>
      <w:r>
        <w:rPr>
          <w:rFonts w:ascii="Arial" w:hAnsi="Arial"/>
          <w:b w:val="0"/>
          <w:i/>
          <w:sz w:val="19"/>
        </w:rPr>
        <w:t>Stargate</w:t>
      </w:r>
      <w:r>
        <w:rPr>
          <w:rFonts w:ascii="Arial" w:hAnsi="Arial"/>
          <w:b w:val="0"/>
          <w:i w:val="0"/>
          <w:sz w:val="19"/>
        </w:rPr>
        <w:t xml:space="preserve">), und (v) SPV-basierte </w:t>
      </w:r>
      <w:r>
        <w:rPr>
          <w:rFonts w:ascii="Arial" w:hAnsi="Arial"/>
          <w:b w:val="0"/>
          <w:i/>
          <w:sz w:val="19"/>
        </w:rPr>
        <w:t>Chip-Leasing-Vehikel</w:t>
      </w:r>
      <w:r>
        <w:rPr>
          <w:rFonts w:ascii="Arial" w:hAnsi="Arial"/>
          <w:b w:val="0"/>
          <w:i w:val="0"/>
          <w:sz w:val="19"/>
        </w:rPr>
        <w:t xml:space="preserve"> als Off-Balance-Sheet-Finanzierung des Frontier-Anbieters (</w:t>
      </w:r>
      <w:r>
        <w:rPr>
          <w:rFonts w:ascii="Arial" w:hAnsi="Arial"/>
          <w:b w:val="0"/>
          <w:i/>
          <w:sz w:val="19"/>
        </w:rPr>
        <w:t>Anthropic</w:t>
      </w:r>
      <w:r>
        <w:rPr>
          <w:rFonts w:ascii="Arial" w:hAnsi="Arial"/>
          <w:b w:val="0"/>
          <w:i w:val="0"/>
          <w:sz w:val="19"/>
        </w:rPr>
        <w:t xml:space="preserve"> × </w:t>
      </w:r>
      <w:r>
        <w:rPr>
          <w:rFonts w:ascii="Arial" w:hAnsi="Arial"/>
          <w:b w:val="0"/>
          <w:i/>
          <w:sz w:val="19"/>
        </w:rPr>
        <w:t>Blackstone</w:t>
      </w:r>
      <w:r>
        <w:rPr>
          <w:rFonts w:ascii="Arial" w:hAnsi="Arial"/>
          <w:b w:val="0"/>
          <w:i w:val="0"/>
          <w:sz w:val="19"/>
        </w:rPr>
        <w:t>/</w:t>
      </w:r>
      <w:r>
        <w:rPr>
          <w:rFonts w:ascii="Arial" w:hAnsi="Arial"/>
          <w:b w:val="0"/>
          <w:i/>
          <w:sz w:val="19"/>
        </w:rPr>
        <w:t>Apollo</w:t>
      </w:r>
      <w:r>
        <w:rPr>
          <w:rFonts w:ascii="Arial" w:hAnsi="Arial"/>
          <w:b w:val="0"/>
          <w:i w:val="0"/>
          <w:sz w:val="19"/>
        </w:rPr>
        <w:t xml:space="preserve"> über </w:t>
      </w:r>
      <w:r>
        <w:rPr>
          <w:rFonts w:ascii="Arial" w:hAnsi="Arial"/>
          <w:b w:val="0"/>
          <w:i/>
          <w:sz w:val="19"/>
        </w:rPr>
        <w:t>Google-TPU</w:t>
      </w:r>
      <w:r>
        <w:rPr>
          <w:rFonts w:ascii="Arial" w:hAnsi="Arial"/>
          <w:b w:val="0"/>
          <w:i w:val="0"/>
          <w:sz w:val="19"/>
        </w:rPr>
        <w:t xml:space="preserve">). Alle fünf Konstruktionen weisen dieselbe </w:t>
      </w:r>
      <w:r>
        <w:rPr>
          <w:rFonts w:ascii="Arial" w:hAnsi="Arial"/>
          <w:b w:val="0"/>
          <w:i/>
          <w:sz w:val="19"/>
        </w:rPr>
        <w:t>transatlantisch-asiatische Kapital- und US-Standort-Ausrichtung</w:t>
      </w:r>
      <w:r>
        <w:rPr>
          <w:rFonts w:ascii="Arial" w:hAnsi="Arial"/>
          <w:b w:val="0"/>
          <w:i w:val="0"/>
          <w:sz w:val="19"/>
        </w:rPr>
        <w:t xml:space="preserve"> auf;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verdichtet sich die zeitliche Vorwegnahme der institutionellen Kapitalanknüpfung nun auf fünf empirisch belegbaren Strängen binnen einer Kalenderwoche — mit unmittelbarer Rückwirkung auf die in § 8.3 skizzierten Zugriffspfade auf inländische KI-Wertschöpfung, weil sowohl die </w:t>
      </w:r>
      <w:r>
        <w:rPr>
          <w:rFonts w:ascii="Arial" w:hAnsi="Arial"/>
          <w:b w:val="0"/>
          <w:i/>
          <w:sz w:val="19"/>
        </w:rPr>
        <w:t>Anlagenkapital-</w:t>
      </w:r>
      <w:r>
        <w:rPr>
          <w:rFonts w:ascii="Arial" w:hAnsi="Arial"/>
          <w:b w:val="0"/>
          <w:i w:val="0"/>
          <w:sz w:val="19"/>
        </w:rPr>
        <w:t xml:space="preserve"> als auch die </w:t>
      </w:r>
      <w:r>
        <w:rPr>
          <w:rFonts w:ascii="Arial" w:hAnsi="Arial"/>
          <w:b w:val="0"/>
          <w:i/>
          <w:sz w:val="19"/>
        </w:rPr>
        <w:t>Chip-Rohstoff-</w:t>
      </w:r>
      <w:r>
        <w:rPr>
          <w:rFonts w:ascii="Arial" w:hAnsi="Arial"/>
          <w:b w:val="0"/>
          <w:i w:val="0"/>
          <w:sz w:val="19"/>
        </w:rPr>
        <w:t>Ebene damit außerhalb der Reichweite einer inländischen Beteiligungslogik institutionalisiert werden.</w:t>
      </w:r>
    </w:p>
    <w:p>
      <w:pPr>
        <w:jc w:val="both"/>
      </w:pPr>
      <w:r>
        <w:rPr>
          <w:rFonts w:ascii="Arial" w:hAnsi="Arial"/>
          <w:b w:val="0"/>
          <w:i w:val="0"/>
          <w:sz w:val="19"/>
        </w:rPr>
        <w:t xml:space="preserve">Auf der US-Talent-Bestandsdimension der Frontier-Renten schrittt derweil die bereits im § 8.2 aufgenommene </w:t>
      </w:r>
      <w:r>
        <w:rPr>
          <w:rFonts w:ascii="Arial" w:hAnsi="Arial"/>
          <w:b w:val="0"/>
          <w:i/>
          <w:sz w:val="19"/>
        </w:rPr>
        <w:t>Apple</w:t>
      </w:r>
      <w:r>
        <w:rPr>
          <w:rFonts w:ascii="Arial" w:hAnsi="Arial"/>
          <w:b w:val="0"/>
          <w:i w:val="0"/>
          <w:sz w:val="19"/>
        </w:rPr>
        <w:t xml:space="preserve">-Klage gegen </w:t>
      </w:r>
      <w:r>
        <w:rPr>
          <w:rFonts w:ascii="Arial" w:hAnsi="Arial"/>
          <w:b w:val="0"/>
          <w:i/>
          <w:sz w:val="19"/>
        </w:rPr>
        <w:t>OpenAI</w:t>
      </w:r>
      <w:r>
        <w:rPr>
          <w:rFonts w:ascii="Arial" w:hAnsi="Arial"/>
          <w:b w:val="0"/>
          <w:i w:val="0"/>
          <w:sz w:val="19"/>
        </w:rPr>
        <w:t xml:space="preserve"> (10. Juli 2026, US District Court for the Northern District of California) in eine verfahrensmäßig entscheidende Phase: Am 4. August 2026 hat </w:t>
      </w:r>
      <w:r>
        <w:rPr>
          <w:rFonts w:ascii="Arial" w:hAnsi="Arial"/>
          <w:b w:val="0"/>
          <w:i/>
          <w:sz w:val="19"/>
        </w:rPr>
        <w:t>Apple</w:t>
      </w:r>
      <w:r>
        <w:rPr>
          <w:rFonts w:ascii="Arial" w:hAnsi="Arial"/>
          <w:b w:val="0"/>
          <w:i w:val="0"/>
          <w:sz w:val="19"/>
        </w:rPr>
        <w:t xml:space="preserve"> nach übereinstimmender Berichterstattung von </w:t>
      </w:r>
      <w:r>
        <w:rPr>
          <w:rFonts w:ascii="Arial" w:hAnsi="Arial"/>
          <w:b w:val="0"/>
          <w:i/>
          <w:sz w:val="19"/>
        </w:rPr>
        <w:t>Claims Journal</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JURIST</w:t>
      </w:r>
      <w:r>
        <w:rPr>
          <w:rFonts w:ascii="Arial" w:hAnsi="Arial"/>
          <w:b w:val="0"/>
          <w:i w:val="0"/>
          <w:sz w:val="19"/>
        </w:rPr>
        <w:t xml:space="preserve">, </w:t>
      </w:r>
      <w:r>
        <w:rPr>
          <w:rFonts w:ascii="Arial" w:hAnsi="Arial"/>
          <w:b w:val="0"/>
          <w:i/>
          <w:sz w:val="19"/>
        </w:rPr>
        <w:t>9to5Mac</w:t>
      </w:r>
      <w:r>
        <w:rPr>
          <w:rFonts w:ascii="Arial" w:hAnsi="Arial"/>
          <w:b w:val="0"/>
          <w:i w:val="0"/>
          <w:sz w:val="19"/>
        </w:rPr>
        <w:t xml:space="preserve">, </w:t>
      </w:r>
      <w:r>
        <w:rPr>
          <w:rFonts w:ascii="Arial" w:hAnsi="Arial"/>
          <w:b w:val="0"/>
          <w:i/>
          <w:sz w:val="19"/>
        </w:rPr>
        <w:t>Express Tribune</w:t>
      </w:r>
      <w:r>
        <w:rPr>
          <w:rFonts w:ascii="Arial" w:hAnsi="Arial"/>
          <w:b w:val="0"/>
          <w:i w:val="0"/>
          <w:sz w:val="19"/>
        </w:rPr>
        <w:t xml:space="preserve"> und </w:t>
      </w:r>
      <w:r>
        <w:rPr>
          <w:rFonts w:ascii="Arial" w:hAnsi="Arial"/>
          <w:b w:val="0"/>
          <w:i/>
          <w:sz w:val="19"/>
        </w:rPr>
        <w:t>Business Standard</w:t>
      </w:r>
      <w:r>
        <w:rPr>
          <w:rFonts w:ascii="Arial" w:hAnsi="Arial"/>
          <w:b w:val="0"/>
          <w:i w:val="0"/>
          <w:sz w:val="19"/>
        </w:rPr>
        <w:t xml:space="preserve"> eine </w:t>
      </w:r>
      <w:r>
        <w:rPr>
          <w:rFonts w:ascii="Arial" w:hAnsi="Arial"/>
          <w:b w:val="0"/>
          <w:i/>
          <w:sz w:val="19"/>
        </w:rPr>
        <w:t>preliminary injunction</w:t>
      </w:r>
      <w:r>
        <w:rPr>
          <w:rFonts w:ascii="Arial" w:hAnsi="Arial"/>
          <w:b w:val="0"/>
          <w:i w:val="0"/>
          <w:sz w:val="19"/>
        </w:rPr>
        <w:t xml:space="preserve"> gegen </w:t>
      </w:r>
      <w:r>
        <w:rPr>
          <w:rFonts w:ascii="Arial" w:hAnsi="Arial"/>
          <w:b w:val="0"/>
          <w:i/>
          <w:sz w:val="19"/>
        </w:rPr>
        <w:t>OpenAI</w:t>
      </w:r>
      <w:r>
        <w:rPr>
          <w:rFonts w:ascii="Arial" w:hAnsi="Arial"/>
          <w:b w:val="0"/>
          <w:i w:val="0"/>
          <w:sz w:val="19"/>
        </w:rPr>
        <w:t xml:space="preserve">, dessen Hardware-Tochter </w:t>
      </w:r>
      <w:r>
        <w:rPr>
          <w:rFonts w:ascii="Arial" w:hAnsi="Arial"/>
          <w:b w:val="0"/>
          <w:i/>
          <w:sz w:val="19"/>
        </w:rPr>
        <w:t>io Products, Inc.</w:t>
      </w:r>
      <w:r>
        <w:rPr>
          <w:rFonts w:ascii="Arial" w:hAnsi="Arial"/>
          <w:b w:val="0"/>
          <w:i w:val="0"/>
          <w:sz w:val="19"/>
        </w:rPr>
        <w:t xml:space="preserve">, sowie die früheren Apple-Beschäftigten </w:t>
      </w:r>
      <w:r>
        <w:rPr>
          <w:rFonts w:ascii="Arial" w:hAnsi="Arial"/>
          <w:b w:val="0"/>
          <w:i/>
          <w:sz w:val="19"/>
        </w:rPr>
        <w:t>Tang Yew Tan</w:t>
      </w:r>
      <w:r>
        <w:rPr>
          <w:rFonts w:ascii="Arial" w:hAnsi="Arial"/>
          <w:b w:val="0"/>
          <w:i w:val="0"/>
          <w:sz w:val="19"/>
        </w:rPr>
        <w:t xml:space="preserve"> und </w:t>
      </w:r>
      <w:r>
        <w:rPr>
          <w:rFonts w:ascii="Arial" w:hAnsi="Arial"/>
          <w:b w:val="0"/>
          <w:i/>
          <w:sz w:val="19"/>
        </w:rPr>
        <w:t>Chang Liu</w:t>
      </w:r>
      <w:r>
        <w:rPr>
          <w:rFonts w:ascii="Arial" w:hAnsi="Arial"/>
          <w:b w:val="0"/>
          <w:i w:val="0"/>
          <w:sz w:val="19"/>
        </w:rPr>
        <w:t xml:space="preserve"> beantragt, die den Zugriff, den Erwerb, die Nutzung und die Offenlegung der behaupteten </w:t>
      </w:r>
      <w:r>
        <w:rPr>
          <w:rFonts w:ascii="Arial" w:hAnsi="Arial"/>
          <w:b w:val="0"/>
          <w:i/>
          <w:sz w:val="19"/>
        </w:rPr>
        <w:t>trade secrets</w:t>
      </w:r>
      <w:r>
        <w:rPr>
          <w:rFonts w:ascii="Arial" w:hAnsi="Arial"/>
          <w:b w:val="0"/>
          <w:i w:val="0"/>
          <w:sz w:val="19"/>
        </w:rPr>
        <w:t xml:space="preserve"> für die Verfahrensdauer untersagen soll; parallel wurde ein Antrag auf </w:t>
      </w:r>
      <w:r>
        <w:rPr>
          <w:rFonts w:ascii="Arial" w:hAnsi="Arial"/>
          <w:b w:val="0"/>
          <w:i/>
          <w:sz w:val="19"/>
        </w:rPr>
        <w:t>expedited discovery</w:t>
      </w:r>
      <w:r>
        <w:rPr>
          <w:rFonts w:ascii="Arial" w:hAnsi="Arial"/>
          <w:b w:val="0"/>
          <w:i w:val="0"/>
          <w:sz w:val="19"/>
        </w:rPr>
        <w:t xml:space="preserve"> eingebracht. </w:t>
      </w:r>
      <w:r>
        <w:rPr>
          <w:rFonts w:ascii="Arial" w:hAnsi="Arial"/>
          <w:b w:val="0"/>
          <w:i/>
          <w:sz w:val="19"/>
        </w:rPr>
        <w:t>OpenAI</w:t>
      </w:r>
      <w:r>
        <w:rPr>
          <w:rFonts w:ascii="Arial" w:hAnsi="Arial"/>
          <w:b w:val="0"/>
          <w:i w:val="0"/>
          <w:sz w:val="19"/>
        </w:rPr>
        <w:t xml:space="preserve"> hat am 5. August 2026 nach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und der </w:t>
      </w:r>
      <w:r>
        <w:rPr>
          <w:rFonts w:ascii="Arial" w:hAnsi="Arial"/>
          <w:b w:val="0"/>
          <w:i/>
          <w:sz w:val="19"/>
        </w:rPr>
        <w:t>Insurance Journal</w:t>
      </w:r>
      <w:r>
        <w:rPr>
          <w:rFonts w:ascii="Arial" w:hAnsi="Arial"/>
          <w:b w:val="0"/>
          <w:i w:val="0"/>
          <w:sz w:val="19"/>
        </w:rPr>
        <w:t xml:space="preserve"> mit einer 31-seitigen Motion zur </w:t>
      </w:r>
      <w:r>
        <w:rPr>
          <w:rFonts w:ascii="Arial" w:hAnsi="Arial"/>
          <w:b w:val="0"/>
          <w:i/>
          <w:sz w:val="19"/>
        </w:rPr>
        <w:t>Klageabweisung</w:t>
      </w:r>
      <w:r>
        <w:rPr>
          <w:rFonts w:ascii="Arial" w:hAnsi="Arial"/>
          <w:b w:val="0"/>
          <w:i w:val="0"/>
          <w:sz w:val="19"/>
        </w:rPr>
        <w:t xml:space="preserve"> („motion to dismiss") reagiert, in der das Unternehmen die Angaben zu den </w:t>
      </w:r>
      <w:r>
        <w:rPr>
          <w:rFonts w:ascii="Arial" w:hAnsi="Arial"/>
          <w:b w:val="0"/>
          <w:i/>
          <w:sz w:val="19"/>
        </w:rPr>
        <w:t>trade secrets</w:t>
      </w:r>
      <w:r>
        <w:rPr>
          <w:rFonts w:ascii="Arial" w:hAnsi="Arial"/>
          <w:b w:val="0"/>
          <w:i w:val="0"/>
          <w:sz w:val="19"/>
        </w:rPr>
        <w:t xml:space="preserve"> als unzureichend präzisiert, das Eigentumsverhältnis als nicht belegt und die Aneignung durch die Beklagten als nicht plausibel dargelegt rügt; ergänzend werden Apple-eigene </w:t>
      </w:r>
      <w:r>
        <w:rPr>
          <w:rFonts w:ascii="Arial" w:hAnsi="Arial"/>
          <w:b w:val="0"/>
          <w:i/>
          <w:sz w:val="19"/>
        </w:rPr>
        <w:t>Offboarding</w:t>
      </w:r>
      <w:r>
        <w:rPr>
          <w:rFonts w:ascii="Arial" w:hAnsi="Arial"/>
          <w:b w:val="0"/>
          <w:i w:val="0"/>
          <w:sz w:val="19"/>
        </w:rPr>
        <w:t xml:space="preserve">- und </w:t>
      </w:r>
      <w:r>
        <w:rPr>
          <w:rFonts w:ascii="Arial" w:hAnsi="Arial"/>
          <w:b w:val="0"/>
          <w:i/>
          <w:sz w:val="19"/>
        </w:rPr>
        <w:t>Sicherheitspraktiken</w:t>
      </w:r>
      <w:r>
        <w:rPr>
          <w:rFonts w:ascii="Arial" w:hAnsi="Arial"/>
          <w:b w:val="0"/>
          <w:i w:val="0"/>
          <w:sz w:val="19"/>
        </w:rPr>
        <w:t xml:space="preserve"> (u. a. der spätere Manager-Zugang zu einem iCloud-Konto eines ausgeschiedenen Ingenieurs) als selbst untergrabendes Beweismittel gegen die Geheimhaltungsvorsorge geltend gemacht. Die Anhörung zum Injunction-Antrag ist auf den 1. Oktober 2026 in San José terminiert. Für die in § 8.2 entwickelte Rohstoff-Analogie schärft der prozessuale Doppelschritt die dortige Beobachtung, dass die Talent-Bestände der Frontier-Modelle zunehmend justiziabel werden: Sobald Trade-Secret-Verfahren die Beweislast von der </w:t>
      </w:r>
      <w:r>
        <w:rPr>
          <w:rFonts w:ascii="Arial" w:hAnsi="Arial"/>
          <w:b w:val="0"/>
          <w:i/>
          <w:sz w:val="19"/>
        </w:rPr>
        <w:t>trade secret</w:t>
      </w:r>
      <w:r>
        <w:rPr>
          <w:rFonts w:ascii="Arial" w:hAnsi="Arial"/>
          <w:b w:val="0"/>
          <w:i w:val="0"/>
          <w:sz w:val="19"/>
        </w:rPr>
        <w:t xml:space="preserve">-Präzisierung auf die </w:t>
      </w:r>
      <w:r>
        <w:rPr>
          <w:rFonts w:ascii="Arial" w:hAnsi="Arial"/>
          <w:b w:val="0"/>
          <w:i/>
          <w:sz w:val="19"/>
        </w:rPr>
        <w:t>Sicherheits- und Offboarding-Praxis</w:t>
      </w:r>
      <w:r>
        <w:rPr>
          <w:rFonts w:ascii="Arial" w:hAnsi="Arial"/>
          <w:b w:val="0"/>
          <w:i w:val="0"/>
          <w:sz w:val="19"/>
        </w:rPr>
        <w:t xml:space="preserve"> des Klägers verlagern, verstärkt sich das Argument der fiskalischen Volatilität einer bestands­orientierten Zugriffslogik zusätzlich — die Marktkapitalisierung eines Frontier-Anbieters kann nicht nur durch neue Talent-Zugänge (DeepMind, § 8.2), sondern auch durch die Auslegung der Sorgfaltspflichten des Klägers spürbar bewegt werden. Für die Deutschland-These (§ 8.3) folgt daraus keine zusätzliche Änderung an den skizzierten Zugriffspfaden, wohl aber eine weitere Bestätigung der Präferenz für wertschöpfungs- statt bestands­orientierte Zugriffe.</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 xml:space="preserve">Dynan, K., Elmendorf, D. W., &amp; Sheiner, L. (Juli 2026). </w:t>
      </w:r>
      <w:r>
        <w:rPr>
          <w:rFonts w:ascii="Arial" w:hAnsi="Arial"/>
          <w:b w:val="0"/>
          <w:i/>
          <w:sz w:val="19"/>
        </w:rPr>
        <w:t>How Might Fiscal Policy Respond to the Rise of Artificial Intelligence?</w:t>
      </w:r>
      <w:r>
        <w:rPr>
          <w:rFonts w:ascii="Arial" w:hAnsi="Arial"/>
          <w:b w:val="0"/>
          <w:i w:val="0"/>
          <w:sz w:val="19"/>
        </w:rPr>
        <w:t xml:space="preserve"> NBER Working Paper 35437 (Juli 2026); vorbereitet für die Brookings-Konferenz </w:t>
      </w:r>
      <w:r>
        <w:rPr>
          <w:rFonts w:ascii="Arial" w:hAnsi="Arial"/>
          <w:b w:val="0"/>
          <w:i/>
          <w:sz w:val="19"/>
        </w:rPr>
        <w:t>„The Forces Shaping America's Fiscal Future"</w:t>
      </w:r>
      <w:r>
        <w:rPr>
          <w:rFonts w:ascii="Arial" w:hAnsi="Arial"/>
          <w:b w:val="0"/>
          <w:i w:val="0"/>
          <w:sz w:val="19"/>
        </w:rPr>
        <w:t xml:space="preserve"> (Juni 2026). Szenariogestützte Analyse der US-Bundeshaushalts­wirkung KI-induzierter Struktur­verschiebungen; vier Langfristszenarien (schnelleres Produktivitätswachstum, größere Einkommensungleichheit, dauerhafte Beschäftigungs­verdrängung, höherer Kapitalanteil am Einkommen); Baseline-Schuldenprojektion 175 % BIP 2056, Worst-Case-KI-Szenario 126 % BIP (−49 Pp gegenüber Baseline); politikrobuste Empfehlungen (breite Arbeitsvermittlung/Qualifizierung, Kapital­besteuerung, Eigentums­fragen). DOI: 10.3386/w35437. https://www.nber.org/papers/w35437</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Anthropic. (22. Juli 2026). </w:t>
      </w:r>
      <w:r>
        <w:rPr>
          <w:rFonts w:ascii="Arial" w:hAnsi="Arial"/>
          <w:b w:val="0"/>
          <w:i/>
          <w:sz w:val="19"/>
        </w:rPr>
        <w:t>The Anthropic Economic Index connector.</w:t>
      </w:r>
      <w:r>
        <w:rPr>
          <w:rFonts w:ascii="Arial" w:hAnsi="Arial"/>
          <w:b w:val="0"/>
          <w:i w:val="0"/>
          <w:sz w:val="19"/>
        </w:rPr>
        <w:t xml:space="preserve"> Öffentliche Freigabe eines Claude-Connectors, der den Anthropic Economic Index — die auf ausgewerteten Claude-Nutzungsdaten beruhende Metrik der tatsächlichen KI-Adoption über Berufe, Regionen und Aufgabentypen — für niedrigschwellige Abfragen durch Forscherinnen und Forscher, Journalistinnen und Journalisten, politische Entscheiderinnen und Entscheider sowie die allgemeine Öffentlichkeit öffnet. Zugriff ohne Installation über das claude.ai-Connector-Verzeichnis; funktioniert in jeder Konversation mit jedem Claude-Modell; Beispielabfragen: „Welche Berufe nutzen KI am stärksten?", „Welche Aufgaben delegieren Lehrkräfte an Claude?", „Wie nutzen Beschäftigte in Colorado Claude?". Aufnahme in § 1.1 als Verstetigungs­beleg des Anthropic Economic Index als öffentlichem Beobachtungs­instrument der KI-Adoption (Rückwirkung auf § 3.5 und § 9.1). https://www.anthropic.com/news/anthropic-economic-index-connector</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jc w:val="both"/>
      </w:pPr>
      <w:r>
        <w:rPr>
          <w:rFonts w:ascii="Arial" w:hAnsi="Arial"/>
          <w:b w:val="0"/>
          <w:i w:val="0"/>
          <w:sz w:val="19"/>
        </w:rPr>
        <w:t xml:space="preserve">Ruffert, A. (12. August 2026). </w:t>
      </w:r>
      <w:r>
        <w:rPr>
          <w:rFonts w:ascii="Arial" w:hAnsi="Arial"/>
          <w:b w:val="0"/>
          <w:i/>
          <w:sz w:val="19"/>
        </w:rPr>
        <w:t>Unternehmen erwarten eher sinkende Löhne durch Einsatz von Künstlicher Intelligenz.</w:t>
      </w:r>
      <w:r>
        <w:rPr>
          <w:rFonts w:ascii="Arial" w:hAnsi="Arial"/>
          <w:b w:val="0"/>
          <w:i w:val="0"/>
          <w:sz w:val="19"/>
        </w:rPr>
        <w:t xml:space="preserve"> ifo Konjunkturperspektiven 07/2026, ifo Institut, München. Auswertung der </w:t>
      </w:r>
      <w:r>
        <w:rPr>
          <w:rFonts w:ascii="Arial" w:hAnsi="Arial"/>
          <w:b w:val="0"/>
          <w:i/>
          <w:sz w:val="19"/>
        </w:rPr>
        <w:t>ifo</w:t>
      </w:r>
      <w:r>
        <w:rPr>
          <w:rFonts w:ascii="Arial" w:hAnsi="Arial"/>
          <w:b w:val="0"/>
          <w:i w:val="0"/>
          <w:sz w:val="19"/>
        </w:rPr>
        <w:t>-Konjunkturumfrage vom Juni 2026 mit rund 3.000 KI-nutzenden deutschen Unternehmen: rund 50 % erwarten für Berufseinsteigerinnen und -einsteiger und rund 40 % auch für erfahrene Beschäftigte sinkende Löhne über einen Fünfjahres­horizont; im Detail 48,3 % (nicht-akademisch) beziehungsweise 50,8 % (akademisch) Lohnkompression für Junior-Beschäftigte mit weniger als fünf Jahren Berufserfahrung; nur 5,9 % (nicht-akademisch) beziehungsweise 16,3 % (akademisch) Lohn­zuwachs für dieselbe Gruppe; 26 % Lohn­zuwachs für Beschäftigte mit Hochschulabschluss und längerer Berufserfahrung; sektorale Spreizung Dienstleistungen 53,3 % / 44,2 % (Junior / Senior nicht-akademisch), Handel 47,9 % / 41,3 %, verarbeitendes Gewerbe 46,5 % / 38,9 %, Bauwesen 39 % / 31,3 %. https://www.ifo.de/fakten/2026-08-12/unternehmen-erwarten-eher-sinkende-loehne-durch-einsatz-von-kuenstlicher</w:t>
      </w:r>
    </w:p>
    <w:p>
      <w:pPr>
        <w:jc w:val="both"/>
      </w:pPr>
      <w:r>
        <w:rPr>
          <w:rFonts w:ascii="Arial" w:hAnsi="Arial"/>
          <w:b w:val="0"/>
          <w:i w:val="0"/>
          <w:sz w:val="19"/>
        </w:rPr>
        <w:t xml:space="preserve">Ding, Y., Ma, M. (S.), Wu, J., &amp; Yang, Y. (26. April 2026). </w:t>
      </w:r>
      <w:r>
        <w:rPr>
          <w:rFonts w:ascii="Arial" w:hAnsi="Arial"/>
          <w:b w:val="0"/>
          <w:i/>
          <w:sz w:val="19"/>
        </w:rPr>
        <w:t>Tracking Artificial Intelligence Sentiment in the U.S. Labor Market.</w:t>
      </w:r>
      <w:r>
        <w:rPr>
          <w:rFonts w:ascii="Arial" w:hAnsi="Arial"/>
          <w:b w:val="0"/>
          <w:i w:val="0"/>
          <w:sz w:val="19"/>
        </w:rPr>
        <w:t xml:space="preserve"> SSRN Working Paper 6652799, Katz Graduate School of Business, University of Pittsburgh. Multi-Datenquellen-Studie (Glassdoor-Employee-Reviews, Earnings-Call-Disclosures, LinkedIn-Karriereprofile, firm-level Job-Postings) über rund 3.200 US-Firmen zwischen 2021 und 2025 mit sechs Analysedimensionen (AI-Talent-Share, Hiring, Retention, Salary Premium, Employee- und Executive-Sentiment): Employee-KI-Sentiment signifikant negativer als generelles Employee-Sentiment; starke positive Assoziation zwischen Employee-KI-Sentiment und firm-produktivität; Management-KI-Sentiment systematisch optimistischer, erklärt Produktivitätsvariation nicht; KI-attribuierte Layoffs beschädigen Employee-KI-Sentiment nachhaltig; Firmen mit höherem AI-Talent-Share weisen höhere Gesamt-Fluktuation, niedrigere Einstellungs­raten und langsameres Beschäftigungs­wachstum auf; signifikanter und zunehmender Wage-Premium sowie stärkere Aufwärtsmobilität für AI-skilled Employees. https://dx.doi.org/10.2139/ssrn.6652799</w:t>
      </w:r>
    </w:p>
    <w:p>
      <w:pPr>
        <w:jc w:val="both"/>
      </w:pPr>
      <w:r>
        <w:rPr>
          <w:rFonts w:ascii="Arial" w:hAnsi="Arial"/>
          <w:b w:val="0"/>
          <w:i w:val="0"/>
          <w:sz w:val="19"/>
        </w:rPr>
        <w:t xml:space="preserve">Goldman Sachs / Briggs, J., Hatzius, J. et al. (19. August 2026). </w:t>
      </w:r>
      <w:r>
        <w:rPr>
          <w:rFonts w:ascii="Arial" w:hAnsi="Arial"/>
          <w:b w:val="0"/>
          <w:i/>
          <w:sz w:val="19"/>
        </w:rPr>
        <w:t>Global Economics Comment: Is AI Impacting Global Labor Markets?</w:t>
      </w:r>
      <w:r>
        <w:rPr>
          <w:rFonts w:ascii="Arial" w:hAnsi="Arial"/>
          <w:b w:val="0"/>
          <w:i w:val="0"/>
          <w:sz w:val="19"/>
        </w:rPr>
        <w:t xml:space="preserve"> Goldman Sachs Global Investment Research, Global Economics Comment. Sell-Side-Auswertung von mehr als 800 Berufen in mehreren Industrieländern (Frankreich, Kanada, Vereinigte Staaten, Australien, Deutschland u. a.) auf Basis von </w:t>
      </w:r>
      <w:r>
        <w:rPr>
          <w:rFonts w:ascii="Arial" w:hAnsi="Arial"/>
          <w:b w:val="0"/>
          <w:i/>
          <w:sz w:val="19"/>
        </w:rPr>
        <w:t>ONET-</w:t>
      </w:r>
      <w:r>
        <w:rPr>
          <w:rFonts w:ascii="Arial" w:hAnsi="Arial"/>
          <w:b w:val="0"/>
          <w:i w:val="0"/>
          <w:sz w:val="19"/>
        </w:rPr>
        <w:t xml:space="preserve">/BLS-Expositions­metriken und laufenden Stellen­wachstums­daten seit dem zweiten Halbjahr 2022; Kernbefunde: Ein Anstieg der berufs­spezifischen KI-Exposition um 10 Prozentpunkte reduziert das jährliche Beschäftigungs­wachstum im breiten Arbeitsmarkt um rund 0,1 Prozentpunkte, für Berufseinsteigerinnen und -einsteiger jedoch um mehr als das Dreifache (Australien über 0,6 Prozentpunkte, Vereinigte Staaten über 0,2 Prozentpunkte); sektorspezifische Beschäftigungslücken zum historischen Trend im Call-Center-Segment rund 39 % (USA), 33 % (Kanada), 27 % (Deutschland); weitere Untertrend-Ausschläge in </w:t>
      </w:r>
      <w:r>
        <w:rPr>
          <w:rFonts w:ascii="Arial" w:hAnsi="Arial"/>
          <w:b w:val="0"/>
          <w:i/>
          <w:sz w:val="19"/>
        </w:rPr>
        <w:t>Software Publishing</w:t>
      </w:r>
      <w:r>
        <w:rPr>
          <w:rFonts w:ascii="Arial" w:hAnsi="Arial"/>
          <w:b w:val="0"/>
          <w:i w:val="0"/>
          <w:sz w:val="19"/>
        </w:rPr>
        <w:t xml:space="preserve">, </w:t>
      </w:r>
      <w:r>
        <w:rPr>
          <w:rFonts w:ascii="Arial" w:hAnsi="Arial"/>
          <w:b w:val="0"/>
          <w:i/>
          <w:sz w:val="19"/>
        </w:rPr>
        <w:t>Management Consulting</w:t>
      </w:r>
      <w:r>
        <w:rPr>
          <w:rFonts w:ascii="Arial" w:hAnsi="Arial"/>
          <w:b w:val="0"/>
          <w:i w:val="0"/>
          <w:sz w:val="19"/>
        </w:rPr>
        <w:t xml:space="preserve"> und </w:t>
      </w:r>
      <w:r>
        <w:rPr>
          <w:rFonts w:ascii="Arial" w:hAnsi="Arial"/>
          <w:b w:val="0"/>
          <w:i/>
          <w:sz w:val="19"/>
        </w:rPr>
        <w:t>Advertising Services</w:t>
      </w:r>
      <w:r>
        <w:rPr>
          <w:rFonts w:ascii="Arial" w:hAnsi="Arial"/>
          <w:b w:val="0"/>
          <w:i w:val="0"/>
          <w:sz w:val="19"/>
        </w:rPr>
        <w:t xml:space="preserve">; Goldman ordnet den Aggregat-Effekt weiterhin als „limited to a narrow set of industries and workers" ein. Rezeption u. a. durch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(Bashir), </w:t>
      </w:r>
      <w:r>
        <w:rPr>
          <w:rFonts w:ascii="Arial" w:hAnsi="Arial"/>
          <w:b w:val="0"/>
          <w:i/>
          <w:sz w:val="19"/>
        </w:rPr>
        <w:t>PYMNTS</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Dataconomy</w:t>
      </w:r>
      <w:r>
        <w:rPr>
          <w:rFonts w:ascii="Arial" w:hAnsi="Arial"/>
          <w:b w:val="0"/>
          <w:i w:val="0"/>
          <w:sz w:val="19"/>
        </w:rPr>
        <w:t xml:space="preserve"> (19./20. August 2026). https://www.cnbc.com/2026/08/19/goldman-ai-impact-employment-jobs.html | https://finance.yahoo.com/technology/ai/articles/goldman-sachs-report-shows-entry-090559386.html | https://www.pymnts.com/economy/2026/goldman-finds-entry-level-workers-more-vulnerable-to-ai-displacement/ | https://www.ibtimes.co.uk/ai-impact-entry-level-jobs-global-perspective-1815180</w:t>
      </w:r>
    </w:p>
    <w:p>
      <w:pPr>
        <w:jc w:val="both"/>
      </w:pPr>
      <w:r>
        <w:rPr>
          <w:rFonts w:ascii="Arial" w:hAnsi="Arial"/>
          <w:b w:val="0"/>
          <w:i w:val="0"/>
          <w:sz w:val="19"/>
        </w:rPr>
        <w:t xml:space="preserve">Bank of Korea / Oh, S. (18. August 2026). </w:t>
      </w:r>
      <w:r>
        <w:rPr>
          <w:rFonts w:ascii="Arial" w:hAnsi="Arial"/>
          <w:b w:val="0"/>
          <w:i/>
          <w:sz w:val="19"/>
        </w:rPr>
        <w:t>AI-exposed sectors see sharp drop in youth employment: BOK report.</w:t>
      </w:r>
      <w:r>
        <w:rPr>
          <w:rFonts w:ascii="Arial" w:hAnsi="Arial"/>
          <w:b w:val="0"/>
          <w:i w:val="0"/>
          <w:sz w:val="19"/>
        </w:rPr>
        <w:t xml:space="preserve"> Bank of Korea Research Department. Kohortenanalyse der Beschäftigungsentwicklung der 15- bis 29-Jährigen zwischen Juni 2022 (ChatGPT-Startpunkt als Baseline) und Juni 2026: rund 285.000 Netto-Arbeitsplatzverluste in dieser Kohorte, davon rund 268.000 (etwa 94 %) in KI-exponierten Sektoren; im selben Zeitraum Netto-Zugewinn von rund 230.000 Arbeitsplätzen bei Beschäftigten über 50 Jahren, davon rund 173.000 in KI-nahen Branchen. Sektorspezifische Jugend­beschäftigungsrückgänge: </w:t>
      </w:r>
      <w:r>
        <w:rPr>
          <w:rFonts w:ascii="Arial" w:hAnsi="Arial"/>
          <w:b w:val="0"/>
          <w:i/>
          <w:sz w:val="19"/>
        </w:rPr>
        <w:t>Informations­dienstleistungen</w:t>
      </w:r>
      <w:r>
        <w:rPr>
          <w:rFonts w:ascii="Arial" w:hAnsi="Arial"/>
          <w:b w:val="0"/>
          <w:i w:val="0"/>
          <w:sz w:val="19"/>
        </w:rPr>
        <w:t xml:space="preserve"> rund 31,4 %, </w:t>
      </w:r>
      <w:r>
        <w:rPr>
          <w:rFonts w:ascii="Arial" w:hAnsi="Arial"/>
          <w:b w:val="0"/>
          <w:i/>
          <w:sz w:val="19"/>
        </w:rPr>
        <w:t>Verlagswesen</w:t>
      </w:r>
      <w:r>
        <w:rPr>
          <w:rFonts w:ascii="Arial" w:hAnsi="Arial"/>
          <w:b w:val="0"/>
          <w:i w:val="0"/>
          <w:sz w:val="19"/>
        </w:rPr>
        <w:t xml:space="preserve"> rund 27,4 %, </w:t>
      </w:r>
      <w:r>
        <w:rPr>
          <w:rFonts w:ascii="Arial" w:hAnsi="Arial"/>
          <w:b w:val="0"/>
          <w:i/>
          <w:sz w:val="19"/>
        </w:rPr>
        <w:t>Computer­programmierung</w:t>
      </w:r>
      <w:r>
        <w:rPr>
          <w:rFonts w:ascii="Arial" w:hAnsi="Arial"/>
          <w:b w:val="0"/>
          <w:i w:val="0"/>
          <w:sz w:val="19"/>
        </w:rPr>
        <w:t xml:space="preserve"> rund 16,6 %, </w:t>
      </w:r>
      <w:r>
        <w:rPr>
          <w:rFonts w:ascii="Arial" w:hAnsi="Arial"/>
          <w:b w:val="0"/>
          <w:i/>
          <w:sz w:val="19"/>
        </w:rPr>
        <w:t>professionelle Dienstleistungen</w:t>
      </w:r>
      <w:r>
        <w:rPr>
          <w:rFonts w:ascii="Arial" w:hAnsi="Arial"/>
          <w:b w:val="0"/>
          <w:i w:val="0"/>
          <w:sz w:val="19"/>
        </w:rPr>
        <w:t xml:space="preserve"> rund 11,6 %. Zusätzliche Beobachtung zur Arbeitslosen­quote nach Bildungsniveau: Hochschulabsolventinnen und -absolventen von 8,2 % (2019–2022) auf 7,0 %, mittlere Abschlüsse von 8,0 % auf 5,4 % (Ausweitung der Bildungsprämien-Differenz um rund 1,6 Prozentpunkte). Publikation durch </w:t>
      </w:r>
      <w:r>
        <w:rPr>
          <w:rFonts w:ascii="Arial" w:hAnsi="Arial"/>
          <w:b w:val="0"/>
          <w:i/>
          <w:sz w:val="19"/>
        </w:rPr>
        <w:t>The Korea Times</w:t>
      </w:r>
      <w:r>
        <w:rPr>
          <w:rFonts w:ascii="Arial" w:hAnsi="Arial"/>
          <w:b w:val="0"/>
          <w:i w:val="0"/>
          <w:sz w:val="19"/>
        </w:rPr>
        <w:t xml:space="preserve">, IANS, Xinhua, </w:t>
      </w:r>
      <w:r>
        <w:rPr>
          <w:rFonts w:ascii="Arial" w:hAnsi="Arial"/>
          <w:b w:val="0"/>
          <w:i/>
          <w:sz w:val="19"/>
        </w:rPr>
        <w:t>TechTimes</w:t>
      </w:r>
      <w:r>
        <w:rPr>
          <w:rFonts w:ascii="Arial" w:hAnsi="Arial"/>
          <w:b w:val="0"/>
          <w:i w:val="0"/>
          <w:sz w:val="19"/>
        </w:rPr>
        <w:t xml:space="preserve"> (18. August 2026). Aufnahme in § 3.5 und § 6.1 als südkoreanischer Referenzpunkt zur Kohorten-Dimension der KI-Wirkung; Rückwirkung auf § 8.3 (Teilhabefrage) und § 8.4 (Systemstabilität). https://www.koreatimes.co.kr/southkorea/society/20260818/ai-exposed-sectors-see-sharp-drop-in-youth-employment-bok-report | https://english.news.cn/20260818/330e2bfb97824b4fbeb026e89e4ab02f/c.html | https://ianslive.in/ai-exposed-sectors-see-sharp-drop-in-youth-employment-bok--20260818090001</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jc w:val="both"/>
      </w:pPr>
      <w:r>
        <w:rPr>
          <w:rFonts w:ascii="Arial" w:hAnsi="Arial"/>
          <w:b w:val="0"/>
          <w:i w:val="0"/>
          <w:sz w:val="19"/>
        </w:rPr>
        <w:t xml:space="preserve">Cooley LLP. (3. August 2026). </w:t>
      </w:r>
      <w:r>
        <w:rPr>
          <w:rFonts w:ascii="Arial" w:hAnsi="Arial"/>
          <w:b w:val="0"/>
          <w:i/>
          <w:sz w:val="19"/>
        </w:rPr>
        <w:t>EU AI Act: Transparency Obligations Take Effect 2 August 2026.</w:t>
      </w:r>
      <w:r>
        <w:rPr>
          <w:rFonts w:ascii="Arial" w:hAnsi="Arial"/>
          <w:b w:val="0"/>
          <w:i w:val="0"/>
          <w:sz w:val="19"/>
        </w:rPr>
        <w:t xml:space="preserve"> Praktikerauswertung zur Aktivierung der AI-Act-Transparenzpflichten (Art. 50: Chatbot-Erkennbarkeit, maschinenlesbare Kennzeichnung generativer Ausgaben, Deepfake-Kennzeichnung, biometrische Transparenz), zum Sanktionsrahmen (Art. 101 AI Act: Bußgelder bis 15 Millionen Euro oder 3 % des weltweiten Jahresumsatzes nach Höchstbetrag) und zur begrenzten Übergangsfrist bis 2. Dezember 2026 für Marking- und Detection-Anforderungen an bereits eingesetzte generative Systeme. Aufnahme in § 4.4 als Präzisierungsbeleg zur Aktivierung des Durchsetzungsregimes. https://www.cooley.com/news/insight/2026/2026-08-03-eu-ai-act-transparency-obligations-take-effect-2-august-2026</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Gesetz zur Durchführung der KI-Verordnung (KI-MIG) passiert den Bundesrat.</w:t>
      </w:r>
      <w:r>
        <w:rPr>
          <w:rFonts w:ascii="Arial" w:hAnsi="Arial"/>
          <w:b w:val="0"/>
          <w:i w:val="0"/>
          <w:sz w:val="19"/>
        </w:rPr>
        <w:t xml:space="preserve"> Bundesratsbeschluss vom 10. Juli 2026: Antrag auf Anrufung des Vermittlungsausschusses (Empfehlung des Ausschusses für Digitalisierung und Staatsmodernisierung vom 30. Juni 2026) fand keine Mehrheit; das Gesetz kann ohne weiteres parlamentarisches Verfahren in Kraft treten. Bundesnetzagentur als zentrale Marktüberwachungs- und Anlaufstelle (Koordinierungs- und Kompetenzzentrum, gebündelte KI-Expertise, zentrale Beschwerdestelle,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Ergänzend berichten </w:t>
      </w:r>
      <w:r>
        <w:rPr>
          <w:rFonts w:ascii="Arial" w:hAnsi="Arial"/>
          <w:b w:val="0"/>
          <w:i/>
          <w:sz w:val="19"/>
        </w:rPr>
        <w:t>DATEV magazin</w:t>
      </w:r>
      <w:r>
        <w:rPr>
          <w:rFonts w:ascii="Arial" w:hAnsi="Arial"/>
          <w:b w:val="0"/>
          <w:i w:val="0"/>
          <w:sz w:val="19"/>
        </w:rPr>
        <w:t xml:space="preserve"> (10. Juli 2026, „Länder billigen Gesetz zur KI-Aufsicht in Deutschland"), </w:t>
      </w:r>
      <w:r>
        <w:rPr>
          <w:rFonts w:ascii="Arial" w:hAnsi="Arial"/>
          <w:b w:val="0"/>
          <w:i/>
          <w:sz w:val="19"/>
        </w:rPr>
        <w:t>Rechtsanwalt Ferner</w:t>
      </w:r>
      <w:r>
        <w:rPr>
          <w:rFonts w:ascii="Arial" w:hAnsi="Arial"/>
          <w:b w:val="0"/>
          <w:i w:val="0"/>
          <w:sz w:val="19"/>
        </w:rPr>
        <w:t xml:space="preserve"> („Deutschland bekommt ein KI-Gesetz: Bündelung der nationalen KI-Aufsicht bei der Bundesnetzagentur"), </w:t>
      </w:r>
      <w:r>
        <w:rPr>
          <w:rFonts w:ascii="Arial" w:hAnsi="Arial"/>
          <w:b w:val="0"/>
          <w:i/>
          <w:sz w:val="19"/>
        </w:rPr>
        <w:t>ADVISORI</w:t>
      </w:r>
      <w:r>
        <w:rPr>
          <w:rFonts w:ascii="Arial" w:hAnsi="Arial"/>
          <w:b w:val="0"/>
          <w:i w:val="0"/>
          <w:sz w:val="19"/>
        </w:rPr>
        <w:t xml:space="preserve"> („KI-MIG beschlossen: Was das AI-Act-Durchführungsgesetz für Unternehmen bedeutet"), </w:t>
      </w:r>
      <w:r>
        <w:rPr>
          <w:rFonts w:ascii="Arial" w:hAnsi="Arial"/>
          <w:b w:val="0"/>
          <w:i/>
          <w:sz w:val="19"/>
        </w:rPr>
        <w:t>Bundesregierung</w:t>
      </w:r>
      <w:r>
        <w:rPr>
          <w:rFonts w:ascii="Arial" w:hAnsi="Arial"/>
          <w:b w:val="0"/>
          <w:i w:val="0"/>
          <w:sz w:val="19"/>
        </w:rPr>
        <w:t xml:space="preserve"> („KI-Verordnung beschlossen") und </w:t>
      </w:r>
      <w:r>
        <w:rPr>
          <w:rFonts w:ascii="Arial" w:hAnsi="Arial"/>
          <w:b w:val="0"/>
          <w:i/>
          <w:sz w:val="19"/>
        </w:rPr>
        <w:t>TÜV-Verband</w:t>
      </w:r>
      <w:r>
        <w:rPr>
          <w:rFonts w:ascii="Arial" w:hAnsi="Arial"/>
          <w:b w:val="0"/>
          <w:i w:val="0"/>
          <w:sz w:val="19"/>
        </w:rPr>
        <w:t xml:space="preserve"> („Begrüßt gebündelte KI-Aufsicht"). https://www.bundesrat.de/DE/plenum/bundesrat-kompakt/26/1067/1067-node.html | https://www.bundesrat.de/DE/plenum/bundesrat-kompakt/26/1067/1067-pk.html | https://www.datev-magazin.de/nachrichten-steuern-recht/recht/laender-billigen-gesetz-zur-ki-aufsicht-in-deutschland-147779 | https://www.ferner-alsdorf.de/deutschland-bekommt-ein-ki-gesetz-buendelung-der-nationalen-ki-aufsicht-bei-der-bundesnetzagentur/ | https://www.advisori.de/blog/ki-mig-ai-act-durchfuehrungsgesetz-unternehmen | https://www.bundesregierung.de/breg-de/aktuelles/umsetzung-ki-verordnung-2406638 | https://www.mittelstandcafe.de/ki-mig-t-v-verband-begr-t-geb-ndelte-ki-aufsicht-2261610.html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Stanford Digital Economy Lab / Brynjolfsson, E., Agrawal, A., Korinek, A., &amp; Cunningham, T. (Org.). (13. Juli 2026). </w:t>
      </w:r>
      <w:r>
        <w:rPr>
          <w:rFonts w:ascii="Arial" w:hAnsi="Arial"/>
          <w:b w:val="0"/>
          <w:i/>
          <w:sz w:val="19"/>
        </w:rPr>
        <w:t>We Must Act Now: A Statement on AI's Transformation of the Economy.</w:t>
      </w:r>
      <w:r>
        <w:rPr>
          <w:rFonts w:ascii="Arial" w:hAnsi="Arial"/>
          <w:b w:val="0"/>
          <w:i w:val="0"/>
          <w:sz w:val="19"/>
        </w:rPr>
        <w:t xml:space="preserve"> Kollektive Erklärung mit zum Startzeitpunkt mehr als 200 Unterzeichnenden (darunter sechzehn Nobelpreisträger — u. a. Daron Acemoglu, Simon Johnson, Joseph Stiglitz, Paul Krugman, Michael Spence, Ben Bernanke — sowie Vertreter aus KI-Unternehmen wie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Öffentliches Zeichnungsportal weist zum Referenzzeitpunkt bereits über 350 Unterschriften aus. Rezeption u. a.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 </w:t>
      </w:r>
      <w:r>
        <w:rPr>
          <w:rFonts w:ascii="Arial" w:hAnsi="Arial"/>
          <w:b w:val="0"/>
          <w:i/>
          <w:sz w:val="19"/>
        </w:rPr>
        <w:t>NBC News</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Breitbart</w:t>
      </w:r>
      <w:r>
        <w:rPr>
          <w:rFonts w:ascii="Arial" w:hAnsi="Arial"/>
          <w:b w:val="0"/>
          <w:i w:val="0"/>
          <w:sz w:val="19"/>
        </w:rPr>
        <w:t xml:space="preserve"> (14./15. Juli 2026) sowie durch UVA-Darden-Meldung vom 15. Juli 2026 zu Korineks Rolle. Aufnahme in § 3.3 als politisch-institutionelle Verankerung des Korinek-Lockwood-Rahmens und als dokumentierte Positionsbewegung von Acemoglu/Johnson mit Rückwirkung auf § 3.5. https://digitaleconomy.stanford.edu/news/wemustactnow/ | https://wemustactnow.ai/ | https://news.darden.virginia.edu/2026/07/15/darden-professor-ai-economy-statement/ | https://www.techtimes.com/articles/320398/20260714/nobel-economists-who-doubted-ai-job-fears-now-sound-alarm-white-collar-displacement.htm | https://www.axios.com/2026/07/15/ai-economy-nobel | https://fortune.com/2026/07/14/almost-200-economists-warn-of-ai-driven-job-displacement/ | https://www.nbcnews.com/tech/tech-news/hundreds-economists-say-must-act-now-ais-economic-impact-job-displacem-rcna587450 | https://abcnews.com/Technology/wireStory/hundreds-economists-act-now-ais-economic-impact-job-134719082 | https://thehill.com/policy/technology/5967512-ai-transformation-job-displacement/</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OECD. (24. Juli 2026). </w:t>
      </w:r>
      <w:r>
        <w:rPr>
          <w:rFonts w:ascii="Arial" w:hAnsi="Arial"/>
          <w:b w:val="0"/>
          <w:i/>
          <w:sz w:val="19"/>
        </w:rPr>
        <w:t>Recent policy developments on AI in the labour market.</w:t>
      </w:r>
      <w:r>
        <w:rPr>
          <w:rFonts w:ascii="Arial" w:hAnsi="Arial"/>
          <w:b w:val="0"/>
          <w:i w:val="0"/>
          <w:sz w:val="19"/>
        </w:rPr>
        <w:t xml:space="preserve"> OECD Artificial Intelligence Papers. 64 Seiten. Systematisiert die in den G7-Staaten, der Europäischen Union und ausgewählten lateinamerikanischen Volkswirtschaften ergriffenen KI-Politikmaßnahmen entlang von sechs Feldern (Automatisierung/Produktivität/Qualifikation/Inklusion; Datenschutz; Nicht-Diskriminierung; Arbeitsschutz; Transparenz/Erklärbarkeit/Rechenschaft; sozialer Dialog); Kernbefund: Politikmaßnahmen mit explizitem KI-Bezug seien am weitesten in KI-Qualifikation und KI-Adoption entwickelt, während konkrete Regelungen in Datenschutz, Transparenz und Rechenschaftspflicht überwiegend erst aufkämen. Aufnahme in § 4.4 (OECD-weite Bestandsaufnahme als Vergleichshorizont zum AI-Act-/KI-MIG-/Digital-Omnibus-Rahmen). https://www.oecd.org/en/publications/recent-policy-developments-on-ai-in-the-labour-market_1b40c00e-en.html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US House of Representatives, 119th Congress / Reason / CBS Austin / NBC News / Nextgov/FCW / Common Dreams / AI Commission / Texas Politics / Quiver Quantitative / GovInfo / [your]NEWS. (6. August 2026). </w:t>
      </w:r>
      <w:r>
        <w:rPr>
          <w:rFonts w:ascii="Arial" w:hAnsi="Arial"/>
          <w:b w:val="0"/>
          <w:i/>
          <w:sz w:val="19"/>
        </w:rPr>
        <w:t>H.R. 10044 — AI Tax and Work Protection Act</w:t>
      </w:r>
      <w:r>
        <w:rPr>
          <w:rFonts w:ascii="Arial" w:hAnsi="Arial"/>
          <w:b w:val="0"/>
          <w:i w:val="0"/>
          <w:sz w:val="19"/>
        </w:rPr>
        <w:t xml:space="preserve"> (Einbringer: Greg Casar; Mitunterzeichnende: Valerie P. Foushee, Sara Jacobs). Vorlage einer bundesweiten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Bemessungsgrundlage nach </w:t>
      </w:r>
      <w:r>
        <w:rPr>
          <w:rFonts w:ascii="Arial" w:hAnsi="Arial"/>
          <w:b w:val="0"/>
          <w:i/>
          <w:sz w:val="19"/>
        </w:rPr>
        <w:t>Whichever-is-Higher</w:t>
      </w:r>
      <w:r>
        <w:rPr>
          <w:rFonts w:ascii="Arial" w:hAnsi="Arial"/>
          <w:b w:val="0"/>
          <w:i w:val="0"/>
          <w:sz w:val="19"/>
        </w:rPr>
        <w:t xml:space="preserve">-Regel entweder nach </w:t>
      </w:r>
      <w:r>
        <w:rPr>
          <w:rFonts w:ascii="Arial" w:hAnsi="Arial"/>
          <w:b w:val="0"/>
          <w:i/>
          <w:sz w:val="19"/>
        </w:rPr>
        <w:t>Token-Nutzung</w:t>
      </w:r>
      <w:r>
        <w:rPr>
          <w:rFonts w:ascii="Arial" w:hAnsi="Arial"/>
          <w:b w:val="0"/>
          <w:i w:val="0"/>
          <w:sz w:val="19"/>
        </w:rPr>
        <w:t xml:space="preserve"> oder nach </w:t>
      </w:r>
      <w:r>
        <w:rPr>
          <w:rFonts w:ascii="Arial" w:hAnsi="Arial"/>
          <w:b w:val="0"/>
          <w:i/>
          <w:sz w:val="19"/>
        </w:rPr>
        <w:t>Verkaufserlös</w:t>
      </w:r>
      <w:r>
        <w:rPr>
          <w:rFonts w:ascii="Arial" w:hAnsi="Arial"/>
          <w:b w:val="0"/>
          <w:i w:val="0"/>
          <w:sz w:val="19"/>
        </w:rPr>
        <w:t xml:space="preserve"> aus Modellzugriff; konjunkturelle Staffelung des Satzes (bei ≤ 5 % US-Arbeitslosenquote 2–3 %, bei 5–7 % erhöht, bei &gt; 7 % weiter erhöht); Treasury-Suspension bei nicht-KI-getriebenen Schocks; 100 % des Aufkommens in </w:t>
      </w:r>
      <w:r>
        <w:rPr>
          <w:rFonts w:ascii="Arial" w:hAnsi="Arial"/>
          <w:b w:val="0"/>
          <w:i/>
          <w:sz w:val="19"/>
        </w:rPr>
        <w:t>Treasury Trust Fund</w:t>
      </w:r>
      <w:r>
        <w:rPr>
          <w:rFonts w:ascii="Arial" w:hAnsi="Arial"/>
          <w:b w:val="0"/>
          <w:i w:val="0"/>
          <w:sz w:val="19"/>
        </w:rPr>
        <w:t xml:space="preserve"> zur Finanzierung einer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(Zuschüsse an Bundesstaaten, Kommunen, Schulen, Hochschulen und Nonprofits für Beschäftigungsaufbau in Kinderbetreuung, Bau, Bildung, Gesundheits- und Altenpflege, Wohnungswesen, Infrastruktur, Naturschutz); bis zu 20 % </w:t>
      </w:r>
      <w:r>
        <w:rPr>
          <w:rFonts w:ascii="Arial" w:hAnsi="Arial"/>
          <w:b w:val="0"/>
          <w:i/>
          <w:sz w:val="19"/>
        </w:rPr>
        <w:t>WIOA-Trainingsförderung</w:t>
      </w:r>
      <w:r>
        <w:rPr>
          <w:rFonts w:ascii="Arial" w:hAnsi="Arial"/>
          <w:b w:val="0"/>
          <w:i w:val="0"/>
          <w:sz w:val="19"/>
        </w:rPr>
        <w:t xml:space="preserve">; Ausnahmen für Regierungs-, Hochschul- und Nonprofit-FE-Nutzung; Inkrafttreten der Steuervorschriften ein Jahr nach Inkrafttreten des Gesetzes. Erstes bundeslegislatives Beispiel eines </w:t>
      </w:r>
      <w:r>
        <w:rPr>
          <w:rFonts w:ascii="Arial" w:hAnsi="Arial"/>
          <w:b w:val="0"/>
          <w:i/>
          <w:sz w:val="19"/>
        </w:rPr>
        <w:t>automatischen fiskalischen Stabilisators</w:t>
      </w:r>
      <w:r>
        <w:rPr>
          <w:rFonts w:ascii="Arial" w:hAnsi="Arial"/>
          <w:b w:val="0"/>
          <w:i w:val="0"/>
          <w:sz w:val="19"/>
        </w:rPr>
        <w:t xml:space="preserve"> zwischen KI-Verdrängung und Umverteilung sowie erste flussorientierte Verbrauchsteuermodellierung auf Foundation-Model-Nutzung im 119. US-Kongress. Aufnahme in § 4.5 mit Rückwirkung auf § 5.1, § 8.3 und § 9.1 (institutionelle Nachweispflicht der Deployer-Kausalattribution). https://www.govinfo.gov/bulkdata/BILLSTATUS/119/hr/BILLSTATUS-119hr10044.xml | https://www.quiverquant.com/bills/119/hr-10044 | https://reason.com/2026/08/07/democrats-want-to-tax-ai-companies-for-job-losses-that-havent-happened/ | https://cbsaustin.com/news/local/casar-introduces-bill-to-tax-ai-companies-create-jobs-amid-layoff-fears | https://www.nbcnews.com/politics/congress/new-democratic-bill-tax-ai-companies-create-jobs-rcna590262 | https://www.nextgov.com/policy/2026/08/tech-bills-week-deterring-ai-distillation-taxing-ai-developers-and-more/415287/ | https://www.commondreams.org/news/ai-tax-unemployment | https://aicommission.org/2026/08/casar-introduces-bill-to-tax-ai-companies-create-jobs-amid-layoff-fears/ | https://texaspolitics.com/2026/08/07/hold-casars-new-bill-to-protect-american-workers-from-mass-unemployment-caused-by-ai/ | https://yournews.com/2026/08/06/7146587/house-democrats-propose-taxing-major-ai-companies-to-fund-jobs/</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Bundesministerium für Wirtschaft und Energie (BMWK). (14. Juli 2026). </w:t>
      </w:r>
      <w:r>
        <w:rPr>
          <w:rFonts w:ascii="Arial" w:hAnsi="Arial"/>
          <w:b w:val="0"/>
          <w:i/>
          <w:sz w:val="19"/>
        </w:rPr>
        <w:t>Die wirtschaftliche Lage in Deutschland im Juli 2026.</w:t>
      </w:r>
      <w:r>
        <w:rPr>
          <w:rFonts w:ascii="Arial" w:hAnsi="Arial"/>
          <w:b w:val="0"/>
          <w:i w:val="0"/>
          <w:sz w:val="19"/>
        </w:rPr>
        <w:t xml:space="preserve"> Monatspublikation; KI-Boom als Stütze der asiatischen Handelsdynamik (Exporte Datenverarbeitungsgeräte +2,3 % im Mai 2026), Erwerbstätigkeit −8.000 im Mai, sozialversicherungspflichtige Beschäftigung −5.000 im April; strukturelle Herausforderungen durch „zunehmende Bedeutung künstlicher Intelligenz und demografischen Wandel". Ergänzt durch </w:t>
      </w:r>
      <w:r>
        <w:rPr>
          <w:rFonts w:ascii="Arial" w:hAnsi="Arial"/>
          <w:b w:val="0"/>
          <w:i/>
          <w:sz w:val="19"/>
        </w:rPr>
        <w:t>DATEV magazin</w:t>
      </w:r>
      <w:r>
        <w:rPr>
          <w:rFonts w:ascii="Arial" w:hAnsi="Arial"/>
          <w:b w:val="0"/>
          <w:i w:val="0"/>
          <w:sz w:val="19"/>
        </w:rPr>
        <w:t xml:space="preserve"> (Aufbereitung 14. Juli 2026). https://www.bundeswirtschaftsministerium.de/Redaktion/DE/Pressemitteilungen/Wirtschaftliche-Lage/2026/20260714-wirt-lage-deutschland-juli-2026.html | https://www.datev-magazin.de/nachrichten-steuern-recht/wirtschaft/die-wirtschaftliche-lage-in-deutschland-im-juli-2026-147829</w:t>
      </w:r>
    </w:p>
    <w:p>
      <w:pPr>
        <w:jc w:val="both"/>
      </w:pPr>
      <w:r>
        <w:rPr>
          <w:rFonts w:ascii="Arial" w:hAnsi="Arial"/>
          <w:b w:val="0"/>
          <w:i w:val="0"/>
          <w:sz w:val="19"/>
        </w:rPr>
        <w:t xml:space="preserve">Bundesregierung / Deutscher Bundestag. (9. Juli 2026). </w:t>
      </w:r>
      <w:r>
        <w:rPr>
          <w:rFonts w:ascii="Arial" w:hAnsi="Arial"/>
          <w:b w:val="0"/>
          <w:i/>
          <w:sz w:val="19"/>
        </w:rPr>
        <w:t>Regierungserklärung des Bundeskanzlers Friedrich Merz — Zwischenbilanz nach 14 Monaten und Reformpaket „für Aufschwung und Beschäftigung".</w:t>
      </w:r>
      <w:r>
        <w:rPr>
          <w:rFonts w:ascii="Arial" w:hAnsi="Arial"/>
          <w:b w:val="0"/>
          <w:i w:val="0"/>
          <w:sz w:val="19"/>
        </w:rPr>
        <w:t xml:space="preserve"> 89. Sitzung des 21. Bundestages (Kalenderwoche 28). Zitierte Startup-Verband-Zahlen: &gt; 3.000 Unternehmensgründungen im ersten Halbjahr 2026 (nahezu Vorjahres­gesamtwert), &gt; 1/3 mit direktem KI-Bezug; verankert die vollständige Umsetzung der 33 Empfehlungen der Alterssicherungskommission (Bericht 23. Juni 2026) im Koalitionsprogramm; Inbetriebnahme der Halbleiterproduktion Dresden als Beleg der Wertschöpfungsteilhabe. Zeitplan: legislative Umsetzung bis Ende 2026. https://www.bundesregierung.de/breg-de/aktuelles/regierungserklaerung-merz-juli-26-2446298 | https://www.bundestag.de/dokumente/textarchiv/2026/kw28-de-regierungserklaerung-1193984 | https://www.bundesregierung.de/breg-de/suche/video-regierungserklaerung-juli-26-2446352</w:t>
      </w:r>
    </w:p>
    <w:p>
      <w:pPr>
        <w:jc w:val="both"/>
      </w:pPr>
      <w:r>
        <w:rPr>
          <w:rFonts w:ascii="Arial" w:hAnsi="Arial"/>
          <w:b w:val="0"/>
          <w:i w:val="0"/>
          <w:sz w:val="19"/>
        </w:rPr>
        <w:t xml:space="preserve">Koalitionsausschuss / Bundeskanzleramt. (1./2. Juli 2026). </w:t>
      </w:r>
      <w:r>
        <w:rPr>
          <w:rFonts w:ascii="Arial" w:hAnsi="Arial"/>
          <w:b w:val="0"/>
          <w:i/>
          <w:sz w:val="19"/>
        </w:rPr>
        <w:t>Ein Programm für Aufschwung und Beschäftigung — 34 Reformpunkte für Steuer, Rente, Gesundheit und Arbeit.</w:t>
      </w:r>
      <w:r>
        <w:rPr>
          <w:rFonts w:ascii="Arial" w:hAnsi="Arial"/>
          <w:b w:val="0"/>
          <w:i w:val="0"/>
          <w:sz w:val="19"/>
        </w:rPr>
        <w:t xml:space="preserve"> Ergebnispapier des Koalitionsausschusses vom 1./2. Juli 2026 (12 Seiten); Aufgriff der 33 Empfehlungen der Alterssicherungskommission (Bericht 23. Juni 2026), arbeitsrechtliche Vereinfachungen bei KI-Software-Updates innerhalb der Betriebsverfassungs­rechte (Sozialpartnergespräch bis Mitte Oktober 2026 vorgesehen). https://www.bundeskanzler.de/resource/blob/1832584/2445592/bc8e5e160d879f0bdd593121a96a45d2/2026-07-02-koaausschuss-data.pdf</w:t>
      </w:r>
    </w:p>
    <w:p>
      <w:pPr>
        <w:jc w:val="both"/>
      </w:pPr>
      <w:r>
        <w:rPr>
          <w:rFonts w:ascii="Arial" w:hAnsi="Arial"/>
          <w:b w:val="0"/>
          <w:i w:val="0"/>
          <w:sz w:val="19"/>
        </w:rPr>
        <w:t xml:space="preserve">Bundesministerium für Gesundheit / Bundesregierung / ad-hoc-news. (15. Juli 2026). </w:t>
      </w:r>
      <w:r>
        <w:rPr>
          <w:rFonts w:ascii="Arial" w:hAnsi="Arial"/>
          <w:b w:val="0"/>
          <w:i/>
          <w:sz w:val="19"/>
        </w:rPr>
        <w:t>Kabinett beschließt Gesetz für Daten und digitale Innovation im Gesundheitswesen (GeDIG) — Digitalisierungspaket mit rund 445 Millionen Euro jährlicher Entlastungswirkung.</w:t>
      </w:r>
      <w:r>
        <w:rPr>
          <w:rFonts w:ascii="Arial" w:hAnsi="Arial"/>
          <w:b w:val="0"/>
          <w:i w:val="0"/>
          <w:sz w:val="19"/>
        </w:rPr>
        <w:t xml:space="preserve"> Kabinettsbeschluss vom 15. Juli 2026: KI-gestützte Angebote der Krankenkassen in der elektronischen Patientenakte (ePA) — insbesondere versichertenverständliche Aufbereitung von Befunden und individualisierte Beipackzettel; zeitlich befristete Reallabore für Krankenkassen; direkter Marktbeschaffungsauftrag für gematik zur Reduktion der Applikationsvielfalt (rund 25 Störungen pro Monat 2025); erweiterte Zuständigkeiten der gematik einschließlich Entzug von Zulassungen und Notfallvorkehrungen; Volltextsuche in der ePA ab Anfang 2027; digitale Impfnachweise ab Mitte 2027; verpflichtender TI-Anschluss bis 1. September 2029. Gesamtpaket rund 600 Millionen Euro jährliche Entlastungswirkung, davon GeDIG rund 445 Millionen Euro. Aufnahme in § 7.3 (Konsequenzen für Akteure im Gesundheitssektor) als erster GKV-regelversorgungsseitiger KI-Anwendungspfad. https://www.bundesgesundheitsministerium.de/presse/pressemitteilungen/kabinett-beschliesst-gedig-pm-15-07-2026 | https://www.ad-hoc-news.de/wissenschaft/kabinett-beschliesst-digitalisierungspaket-600-mio-euro-entlastung/69785714</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Europäische Kommission — Directorate-General for Communications Networks, Content and Technology (DG CNECT) / Shaping Europe's Digital Future. (31. Juli 2026). </w:t>
      </w:r>
      <w:r>
        <w:rPr>
          <w:rFonts w:ascii="Arial" w:hAnsi="Arial"/>
          <w:b w:val="0"/>
          <w:i/>
          <w:sz w:val="19"/>
        </w:rPr>
        <w:t>Commission starts enforcing AI Act rules and new transparency requirements on 2 August.</w:t>
      </w:r>
      <w:r>
        <w:rPr>
          <w:rFonts w:ascii="Arial" w:hAnsi="Arial"/>
          <w:b w:val="0"/>
          <w:i w:val="0"/>
          <w:sz w:val="19"/>
        </w:rPr>
        <w:t xml:space="preserve"> Amtliche Bestätigung der planmäßigen Aktivierung des Durchsetzungsregimes zum 2. August 2026: Kommissionsbefugnisse gegenüber Anbietern von Allzweck-KI-Modellen (GPAI) für Dokumentationsanforderung, Evaluierung, Korrekturmaßnahmen und Geldbußen bis 3 % des weltweiten Jahresumsatzes bzw. 15 Millionen Euro nach Höchstbetrag; Aktivierung der materiellen Transparenz­pflichten des Art. 50 mit Kennzeichnungspflicht bei Interaktion mit Chatbots und interaktiven KI-Systemen, Kennzeichnung von Deepfakes und maschinenlesbarer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nach </w:t>
      </w:r>
      <w:r>
        <w:rPr>
          <w:rFonts w:ascii="Arial" w:hAnsi="Arial"/>
          <w:b w:val="0"/>
          <w:i/>
          <w:sz w:val="19"/>
        </w:rPr>
        <w:t>Fortune</w:t>
      </w:r>
      <w:r>
        <w:rPr>
          <w:rFonts w:ascii="Arial" w:hAnsi="Arial"/>
          <w:b w:val="0"/>
          <w:i w:val="0"/>
          <w:sz w:val="19"/>
        </w:rPr>
        <w:t xml:space="preserve">-Berichterstattung vom gleichen Tag (Fortune, 31. Juli 2026, </w:t>
      </w:r>
      <w:r>
        <w:rPr>
          <w:rFonts w:ascii="Arial" w:hAnsi="Arial"/>
          <w:b w:val="0"/>
          <w:i/>
          <w:sz w:val="19"/>
        </w:rPr>
        <w:t>Brussels responds to explosion of AI risks with a new team of 38 bureaucrats</w:t>
      </w:r>
      <w:r>
        <w:rPr>
          <w:rFonts w:ascii="Arial" w:hAnsi="Arial"/>
          <w:b w:val="0"/>
          <w:i w:val="0"/>
          <w:sz w:val="19"/>
        </w:rPr>
        <w:t xml:space="preserve">) erhält das </w:t>
      </w:r>
      <w:r>
        <w:rPr>
          <w:rFonts w:ascii="Arial" w:hAnsi="Arial"/>
          <w:b w:val="0"/>
          <w:i/>
          <w:sz w:val="19"/>
        </w:rPr>
        <w:t>AI Office</w:t>
      </w:r>
      <w:r>
        <w:rPr>
          <w:rFonts w:ascii="Arial" w:hAnsi="Arial"/>
          <w:b w:val="0"/>
          <w:i w:val="0"/>
          <w:sz w:val="19"/>
        </w:rPr>
        <w:t xml:space="preserve"> zeitgleich 38 zusätzliche Stellen für den operativen Enforcement-Betrieb. Aufnahme in § 4.3 mit Rückwirkung auf § 5.1 und § 8.3. https://digital-strategy.ec.europa.eu/en/news/commission-starts-enforcing-ai-act-rules-and-new-transparency-requirements-2-august | https://fortune.com/2026/07/31/eu-ai-act-enforcement-team-anthropic-hack/ | https://english.news.cn/europe/20260731/8a6f89bfe24e417eba9961130560dda4/c.html | https://identityweek.net/eu-ai-act-article-50-takes-effect-august-2-european-commission-issues-clear-guidelines-for-enforcement/</w:t>
      </w:r>
    </w:p>
    <w:p>
      <w:pPr>
        <w:jc w:val="both"/>
      </w:pPr>
      <w:r>
        <w:rPr>
          <w:rFonts w:ascii="Arial" w:hAnsi="Arial"/>
          <w:b w:val="0"/>
          <w:i w:val="0"/>
          <w:sz w:val="19"/>
        </w:rPr>
        <w:t xml:space="preserve">Europäische Union. (24. Juli 2026). </w:t>
      </w:r>
      <w:r>
        <w:rPr>
          <w:rFonts w:ascii="Arial" w:hAnsi="Arial"/>
          <w:b w:val="0"/>
          <w:i/>
          <w:sz w:val="19"/>
        </w:rPr>
        <w:t>Verordnung (EU) 2026/1744 des Europäischen Parlaments und des Rates vom 8. Juli 2026 zur Änderung der Verordnungen (EU) 2024/1689, (EU) 2018/1139 und (EU) 2023/1230 im Hinblick auf die Vereinfachung der Umsetzung harmonisierter Vorschriften über künstliche Intelligenz (Digital Omnibus on AI).</w:t>
      </w:r>
      <w:r>
        <w:rPr>
          <w:rFonts w:ascii="Arial" w:hAnsi="Arial"/>
          <w:b w:val="0"/>
          <w:i w:val="0"/>
          <w:sz w:val="19"/>
        </w:rPr>
        <w:t xml:space="preserve"> CELEX 32026R1744, OJ L, 2026/1744, 24.7.2026; Inkrafttreten am dritten Tag nach OJ-Veröffentlichung (27. Juli 2026). Amtsblatt-Publikation der Trilog-Einigung vom 7. Mai 2026, der Parlamentsbestätigung vom 16. Juni 2026 und der finalen Ratsbilligung vom 29. Juni 2026. Kernänderungen: Verschiebung der Hochrisiko-Pflichten (Anhang III stand-alone auf 2. Dezember 2027, Anhang I in regulierte Produkte eingebettet auf 2. August 2028); SME-Compliance-Erleichterungen auf small mid-cap enterprises ausgeweitet; KI-Kompetenzvorgabe (Art. 4) als unterstützend reformuliert; Rechtsgrundlage für Verarbeitung besonderer Datenkategorien zur Bias-Detektion erweitert; Erweiterung des Art. 5 um Verbot der Erzeugung nicht-einvernehmlicher intimer KI-Inhalte und von KI-generiertem CSAM; nationale AI-Regulatory-Sandbox-Frist 2. August 2027; GPAI-Durchsetzungsbefugnisse 2. August 2026. Aufnahme in § 4.3 mit Rückwirkung auf § 4.4, § 5.1 und § 8.3. https://eur-lex.europa.eu/eli/reg/2026/1744/oj/eng | http://data.europa.eu/eli/reg/2026/1744/oj</w:t>
      </w:r>
    </w:p>
    <w:p>
      <w:pPr>
        <w:jc w:val="both"/>
      </w:pPr>
      <w:r>
        <w:rPr>
          <w:rFonts w:ascii="Arial" w:hAnsi="Arial"/>
          <w:b w:val="0"/>
          <w:i w:val="0"/>
          <w:sz w:val="19"/>
        </w:rPr>
        <w:t xml:space="preserve">McCrory, P. (22. Juli 2026). </w:t>
      </w:r>
      <w:r>
        <w:rPr>
          <w:rFonts w:ascii="Arial" w:hAnsi="Arial"/>
          <w:b w:val="0"/>
          <w:i/>
          <w:sz w:val="19"/>
        </w:rPr>
        <w:t>Anthropic Head of Economics X-Essay — Why AI has caused no material increase in US unemployment.</w:t>
      </w:r>
      <w:r>
        <w:rPr>
          <w:rFonts w:ascii="Arial" w:hAnsi="Arial"/>
          <w:b w:val="0"/>
          <w:i w:val="0"/>
          <w:sz w:val="19"/>
        </w:rPr>
        <w:t xml:space="preserve"> Als Langtext auf X publizierte Synthese von 18 Monaten unternehmensinterner Anthropic-Forschung und aktualisierten </w:t>
      </w:r>
      <w:r>
        <w:rPr>
          <w:rFonts w:ascii="Arial" w:hAnsi="Arial"/>
          <w:b w:val="0"/>
          <w:i/>
          <w:sz w:val="19"/>
        </w:rPr>
        <w:t>Bureau-of-Labor-Statistics</w:t>
      </w:r>
      <w:r>
        <w:rPr>
          <w:rFonts w:ascii="Arial" w:hAnsi="Arial"/>
          <w:b w:val="0"/>
          <w:i w:val="0"/>
          <w:sz w:val="19"/>
        </w:rPr>
        <w:t>-Analysen; Kernbefund: US-Arbeitslosenquote 4,2 % im Juni 2026, Prime-Age-Employment nahe Mehrdekaden-Hoch, keine relative Verschlechterung KI-exponierter Berufe gegenüber weniger exponierten Berufen, „stubbornly jagged" AI-Fähigkeitsprofil (keine O</w:t>
      </w:r>
      <w:r>
        <w:rPr>
          <w:rFonts w:ascii="Arial" w:hAnsi="Arial"/>
          <w:b w:val="0"/>
          <w:i/>
          <w:sz w:val="19"/>
        </w:rPr>
        <w:t xml:space="preserve">NET-Berufsklasse mit vollständig durch Claude abbildbarem Aufgabenkatalog); frühe Warnsignale schwächerer Einstellungsdynamik bei jüngeren Beschäftigten in exponierten Rollen (Referenz Massenkoff/McCrory März 2026 und Lichtinger &amp; Hosseini Maasoum 2025); explizite Erwartung: keine spürbar höhere Arbeitslosigkeit binnen zwölf Monaten aus KI-Wirkung. Positional: datenbasierte Zurücknahme der 50-%-White-Collar-Job-Prognose durch Anthropic-CEO Dario Amodei (Mai 2025). Rezeption: Fortune (24. Juli 2026), Yahoo Finance (24. Juli 2026), Storyboard18, BigGo Finance, Forbes (25. Juli 2026, </w:t>
      </w:r>
      <w:r>
        <w:rPr>
          <w:rFonts w:ascii="Arial" w:hAnsi="Arial"/>
          <w:b w:val="0"/>
          <w:i w:val="0"/>
          <w:sz w:val="19"/>
        </w:rPr>
        <w:t>„The Jobs Apocalypse Was Just Called Off By The People Who Predicted It"*). Aufnahme in § 3.5 mit Rückwirkung auf § 8.4 und § 9.1. https://fortune.com/2026/07/24/anthropic-peter-mccrory-dario-amodei-why-hasnt-it-killed-jobs/ | https://finance.yahoo.com/technology/ai/articles/anthropic-head-economics-just-explained-181404835.html | https://www.storyboard18.com/brand-makers/why-anthropics-top-economist-disagrees-with-ai-job-loss-fears-105562.htm | https://finance.biggo.com/news/9d6c2763-8df3-490a-af81-b7d1e3c7ad62</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jc w:val="both"/>
      </w:pPr>
      <w:r>
        <w:rPr>
          <w:rFonts w:ascii="Arial" w:hAnsi="Arial"/>
          <w:b w:val="0"/>
          <w:i w:val="0"/>
          <w:sz w:val="19"/>
        </w:rPr>
        <w:t xml:space="preserve">Republic of Korea, Ministry of Economy and Finance (MOEF). (3. August 2026). </w:t>
      </w:r>
      <w:r>
        <w:rPr>
          <w:rFonts w:ascii="Arial" w:hAnsi="Arial"/>
          <w:b w:val="0"/>
          <w:i/>
          <w:sz w:val="19"/>
        </w:rPr>
        <w:t>2026 Tax Reform Package — Special Taxation Act (Domestic Production Tax Credit).</w:t>
      </w:r>
      <w:r>
        <w:rPr>
          <w:rFonts w:ascii="Arial" w:hAnsi="Arial"/>
          <w:b w:val="0"/>
          <w:i w:val="0"/>
          <w:sz w:val="19"/>
        </w:rPr>
        <w:t xml:space="preserve"> Vom südkoreanischen Finanzministerium vorgeschlagene, produktionsvolumen­basierte Steuerermäßigung für sechs strategische Industriesektoren (Solarenergie, Windenergie, Sekundärbatterien, Halbleiter, kritische Materialien, </w:t>
      </w:r>
      <w:r>
        <w:rPr>
          <w:rFonts w:ascii="Arial" w:hAnsi="Arial"/>
          <w:b w:val="0"/>
          <w:i/>
          <w:sz w:val="19"/>
        </w:rPr>
        <w:t>AI robot components</w:t>
      </w:r>
      <w:r>
        <w:rPr>
          <w:rFonts w:ascii="Arial" w:hAnsi="Arial"/>
          <w:b w:val="0"/>
          <w:i w:val="0"/>
          <w:sz w:val="19"/>
        </w:rPr>
        <w:t xml:space="preserve">); Laufzeit 1. Januar 2027 bis 31. Dezember 2036, regionale Multiplikatoren 1,0–1,5 (Boni für Produktion außerhalb der Seoul-Metropolregion), Obergrenze 50 % der qualifizierten Produktionskosten; Konkretisierung der förderfähigen Produkte und Kreditsätze mit Novellierung der Durchführungsverordnung im Februar 2027, Zustimmung der Nationalversammlung ausstehend. Berichterstattung: </w:t>
      </w:r>
      <w:r>
        <w:rPr>
          <w:rFonts w:ascii="Arial" w:hAnsi="Arial"/>
          <w:b w:val="0"/>
          <w:i/>
          <w:sz w:val="19"/>
        </w:rPr>
        <w:t>KED Global</w:t>
      </w:r>
      <w:r>
        <w:rPr>
          <w:rFonts w:ascii="Arial" w:hAnsi="Arial"/>
          <w:b w:val="0"/>
          <w:i w:val="0"/>
          <w:sz w:val="19"/>
        </w:rPr>
        <w:t xml:space="preserve"> (28. Juli 2026 Vorabbericht), </w:t>
      </w:r>
      <w:r>
        <w:rPr>
          <w:rFonts w:ascii="Arial" w:hAnsi="Arial"/>
          <w:b w:val="0"/>
          <w:i/>
          <w:sz w:val="19"/>
        </w:rPr>
        <w:t>UPI</w:t>
      </w:r>
      <w:r>
        <w:rPr>
          <w:rFonts w:ascii="Arial" w:hAnsi="Arial"/>
          <w:b w:val="0"/>
          <w:i w:val="0"/>
          <w:sz w:val="19"/>
        </w:rPr>
        <w:t xml:space="preserve"> (3. August 2026), </w:t>
      </w:r>
      <w:r>
        <w:rPr>
          <w:rFonts w:ascii="Arial" w:hAnsi="Arial"/>
          <w:b w:val="0"/>
          <w:i/>
          <w:sz w:val="19"/>
        </w:rPr>
        <w:t>Korea Herald</w:t>
      </w:r>
      <w:r>
        <w:rPr>
          <w:rFonts w:ascii="Arial" w:hAnsi="Arial"/>
          <w:b w:val="0"/>
          <w:i w:val="0"/>
          <w:sz w:val="19"/>
        </w:rPr>
        <w:t xml:space="preserve"> (3. August 2026), </w:t>
      </w:r>
      <w:r>
        <w:rPr>
          <w:rFonts w:ascii="Arial" w:hAnsi="Arial"/>
          <w:b w:val="0"/>
          <w:i/>
          <w:sz w:val="19"/>
        </w:rPr>
        <w:t>Korea JoongAng Daily</w:t>
      </w:r>
      <w:r>
        <w:rPr>
          <w:rFonts w:ascii="Arial" w:hAnsi="Arial"/>
          <w:b w:val="0"/>
          <w:i w:val="0"/>
          <w:sz w:val="19"/>
        </w:rPr>
        <w:t xml:space="preserve"> (3. August 2026), </w:t>
      </w:r>
      <w:r>
        <w:rPr>
          <w:rFonts w:ascii="Arial" w:hAnsi="Arial"/>
          <w:b w:val="0"/>
          <w:i/>
          <w:sz w:val="19"/>
        </w:rPr>
        <w:t>En Bloomingbit</w:t>
      </w:r>
      <w:r>
        <w:rPr>
          <w:rFonts w:ascii="Arial" w:hAnsi="Arial"/>
          <w:b w:val="0"/>
          <w:i w:val="0"/>
          <w:sz w:val="19"/>
        </w:rPr>
        <w:t xml:space="preserve"> (3. August 2026), </w:t>
      </w:r>
      <w:r>
        <w:rPr>
          <w:rFonts w:ascii="Arial" w:hAnsi="Arial"/>
          <w:b w:val="0"/>
          <w:i/>
          <w:sz w:val="19"/>
        </w:rPr>
        <w:t>Kyunghyang Shinmun</w:t>
      </w:r>
      <w:r>
        <w:rPr>
          <w:rFonts w:ascii="Arial" w:hAnsi="Arial"/>
          <w:b w:val="0"/>
          <w:i w:val="0"/>
          <w:sz w:val="19"/>
        </w:rPr>
        <w:t xml:space="preserve"> (3. August 2026). Aufnahme in § 6.1 als Aktualisierung mit Rückwirkung auf § 5.1 (produktionsvolumen­basierte Anknüpfung als konstruktive Alternative zur klassischen Robotersteuer-Debatte) und § 8.2 (internationale Referenz für die </w:t>
      </w:r>
      <w:r>
        <w:rPr>
          <w:rFonts w:ascii="Arial" w:hAnsi="Arial"/>
          <w:b w:val="0"/>
          <w:i/>
          <w:sz w:val="19"/>
        </w:rPr>
        <w:t>Veredelungsstrategie</w:t>
      </w:r>
      <w:r>
        <w:rPr>
          <w:rFonts w:ascii="Arial" w:hAnsi="Arial"/>
          <w:b w:val="0"/>
          <w:i w:val="0"/>
          <w:sz w:val="19"/>
        </w:rPr>
        <w:t xml:space="preserve"> an der nachgelagerten Fertigungsschicht). https://www.kedglobal.com/business-politics/newsView/ked202607280009 | https://www.upi.com/Top_News/World-News/2026/08/03/special-taxation-act-tax-reform/2161785809142/ | https://www.koreaherald.com/article/10829532 | https://www.koreajoongangdaily.com/korea/make-it-here-pay-less-tax-govt-unveils-production-credit-for-chips-batteries/12805902 | https://en.bloomingbit.io/feed/news/117167 | https://www.khan.co.kr/en/article/202608031837017/</w:t>
      </w:r>
    </w:p>
    <w:p>
      <w:pPr>
        <w:jc w:val="both"/>
      </w:pPr>
      <w:r>
        <w:rPr>
          <w:rFonts w:ascii="Arial" w:hAnsi="Arial"/>
          <w:b w:val="0"/>
          <w:i w:val="0"/>
          <w:sz w:val="19"/>
        </w:rPr>
        <w:t xml:space="preserve">Lee, H.-m. (이해민, </w:t>
      </w:r>
      <w:r>
        <w:rPr>
          <w:rFonts w:ascii="Arial" w:hAnsi="Arial"/>
          <w:b w:val="0"/>
          <w:i/>
          <w:sz w:val="19"/>
        </w:rPr>
        <w:t>Rebuilding Korea Party</w:t>
      </w:r>
      <w:r>
        <w:rPr>
          <w:rFonts w:ascii="Arial" w:hAnsi="Arial"/>
          <w:b w:val="0"/>
          <w:i w:val="0"/>
          <w:sz w:val="19"/>
        </w:rPr>
        <w:t xml:space="preserve"> / 조국혁신당) &amp; Lee, J.-h. (이주희, </w:t>
      </w:r>
      <w:r>
        <w:rPr>
          <w:rFonts w:ascii="Arial" w:hAnsi="Arial"/>
          <w:b w:val="0"/>
          <w:i/>
          <w:sz w:val="19"/>
        </w:rPr>
        <w:t>Democratic Party of Korea</w:t>
      </w:r>
      <w:r>
        <w:rPr>
          <w:rFonts w:ascii="Arial" w:hAnsi="Arial"/>
          <w:b w:val="0"/>
          <w:i w:val="0"/>
          <w:sz w:val="19"/>
        </w:rPr>
        <w:t xml:space="preserve"> / 더불어민주당) / National Assembly of the Republic of Korea / edaily / ZDNet Korea / bloter / 디지털데일리 / TechTimes. (14. August 2026). </w:t>
      </w:r>
      <w:r>
        <w:rPr>
          <w:rFonts w:ascii="Arial" w:hAnsi="Arial"/>
          <w:b w:val="0"/>
          <w:i/>
          <w:sz w:val="19"/>
        </w:rPr>
        <w:t>AI 전환 대응을 위한 기본사회법안 / 국가재정법 일부개정법률안 / 부담금 관리 기본법 일부개정법률안 — AI Transition Response Basic Society Act and companion amendments.</w:t>
      </w:r>
      <w:r>
        <w:rPr>
          <w:rFonts w:ascii="Arial" w:hAnsi="Arial"/>
          <w:b w:val="0"/>
          <w:i w:val="0"/>
          <w:sz w:val="19"/>
        </w:rPr>
        <w:t xml:space="preserve"> Drei-Gesetzes-Paket, das den erstmaligen </w:t>
      </w:r>
      <w:r>
        <w:rPr>
          <w:rFonts w:ascii="Arial" w:hAnsi="Arial"/>
          <w:b w:val="0"/>
          <w:i/>
          <w:sz w:val="19"/>
        </w:rPr>
        <w:t>AI Transition Response Contribution</w:t>
      </w:r>
      <w:r>
        <w:rPr>
          <w:rFonts w:ascii="Arial" w:hAnsi="Arial"/>
          <w:b w:val="0"/>
          <w:i w:val="0"/>
          <w:sz w:val="19"/>
        </w:rPr>
        <w:t xml:space="preserve"> („AI 전환 대응 분담금") einführt: Erhebung auf Arbeitgeber, deren KI- und Automatisierungseinsatz eine wesentliche substituierende Wirkung auf Beschäftigung oder Aufgabenzuschnitt entfaltet, mit dem Auslöseschwellenwert nach präsidialer Durchführungsverordnung; Aufkommen fließt in einen neu eingerichteten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mit Zweckbindung auf Umschulung, Kompetenzentwicklung, Vermittlung in neue Beschäftigung und Mindest­einkommens­absicherung; Ermäßigungen bzw. Befreiungen für Arbeitgeber, die Beschäftigung sichern oder ausweiten, sowie für belastungsbegrenzte Betriebe. Erste nationale Gesetzgebung, die eine KI-Verdrängungs­abgabe an die </w:t>
      </w:r>
      <w:r>
        <w:rPr>
          <w:rFonts w:ascii="Arial" w:hAnsi="Arial"/>
          <w:b w:val="0"/>
          <w:i/>
          <w:sz w:val="19"/>
        </w:rPr>
        <w:t>Deployer-Ebene</w:t>
      </w:r>
      <w:r>
        <w:rPr>
          <w:rFonts w:ascii="Arial" w:hAnsi="Arial"/>
          <w:b w:val="0"/>
          <w:i w:val="0"/>
          <w:sz w:val="19"/>
        </w:rPr>
        <w:t xml:space="preserve"> (Personalentscheidung des Arbeitgebers) statt an Umsatz, Token-Absatz, Modellvertrieb oder Rechenzentrums-Verbrauch der Anbieterseite koppelt; als aufkommenserzeugendes Gegenstück zur nur elf Tage früher vorgelegten MOEF-</w:t>
      </w:r>
      <w:r>
        <w:rPr>
          <w:rFonts w:ascii="Arial" w:hAnsi="Arial"/>
          <w:b w:val="0"/>
          <w:i/>
          <w:sz w:val="19"/>
        </w:rPr>
        <w:t>Domestic Production Tax Credit</w:t>
      </w:r>
      <w:r>
        <w:rPr>
          <w:rFonts w:ascii="Arial" w:hAnsi="Arial"/>
          <w:b w:val="0"/>
          <w:i w:val="0"/>
          <w:sz w:val="19"/>
        </w:rPr>
        <w:t xml:space="preserve"> strukturell komplementär. Aufnahme in § 6.1 als Aktualisierung mit Rückwirkung auf § 4.5 (Deployer-Kausalattribution wie H.R. 10044, aber ohne Anbieter-Excise), § 5.1 (funktional analoge Zweckbindung zur Wertschöpfungsabgabe-Debatte), § 8.3 (Teilhabefonds-Vergleichspunkt) und § 9.1 (Kausalattribution im Verwaltungsvollzug). https://zdnet.co.kr/view/?no=20260814171346 | https://www.bloter.net/news/articleView.html?idxno=671021 | https://www.ddaily.co.kr/page/view/2026081417121671193 | https://edaily.co.kr/News/Read?mediaCodeNo=257&amp;newsId=05366086645547320 | https://newsfn.co.kr/View.aspx?No=4188077 | https://www.techtimes.com/articles/324577/20260815/south-korea-bills-make-employers-pay-when-ai-cuts-jobs-not-ai-vendors.htm</w:t>
      </w:r>
    </w:p>
    <w:p>
      <w:pPr>
        <w:jc w:val="both"/>
      </w:pPr>
      <w:r>
        <w:rPr>
          <w:rFonts w:ascii="Arial" w:hAnsi="Arial"/>
          <w:b w:val="0"/>
          <w:i w:val="0"/>
          <w:sz w:val="19"/>
        </w:rPr>
        <w:t xml:space="preserve">Soto, P. E., Thieu, M., &amp; Allen, J. S. (17. Juli 2026). </w:t>
      </w:r>
      <w:r>
        <w:rPr>
          <w:rFonts w:ascii="Arial" w:hAnsi="Arial"/>
          <w:b w:val="0"/>
          <w:i/>
          <w:sz w:val="19"/>
        </w:rPr>
        <w:t>The AI Buildout and the Economy: Publicly Available Data to Assess AI's Impact.</w:t>
      </w:r>
      <w:r>
        <w:rPr>
          <w:rFonts w:ascii="Arial" w:hAnsi="Arial"/>
          <w:b w:val="0"/>
          <w:i w:val="0"/>
          <w:sz w:val="19"/>
        </w:rPr>
        <w:t xml:space="preserve"> FEDS Note, Board of Governors of the Federal Reserve System. Aggregatanalyse der US-KI-Investitions-, Produktivitäts- und Arbeitsmarktdaten: Einordnung der aktuellen Phase als „Buildout-Phase" bei anhaltend hohem Hyperscaler-Capex, mit „konzentrierten" Arbeitsmarkteffekten, die „sich im Aggregat noch nicht verbreitert" hätten; konsistente Produktivitätstrends zwischen Sektoren hoher (Information, Finanzen, professionelle Dienstleistungen), mittlerer (Verarbeitendes Gewerbe, Handel) und niedriger KI-Exposition; KI-Effekt bei jüngeren Beschäftigten (20 – 24 Jahre) „primär in verlangsamter Einstellungsdynamik statt in unmittelbaren Entlassungen" (Referenz: Lichtinger &amp; Hosseini Maasoum 2025), kein vergleichbares Signal für Erwerbspersonen im Haupterwerbsalter (25 – 54 Jahre); höchste sektorale Exposition in NAICS 51 (Information) und NAICS 54 (Professional/Technical Services). Aufnahme in § 1.1 mit Rückwirkung auf § 8.3 und § 9.1. https://www.federalreserve.gov/econres/notes/feds-notes/the-ai-buildout-and-the-economy-publicly-available-data-to-assess-ais-impact-20260717.html</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 xml:space="preserve">Alphabet / Axios / Bloomberg / Fortune / Gizmodo / Time / TechCrunch / Semafor / Dataconomy / AI Magazine / GeekWire / SiliconRepublic / Quartz / explainx.ai / Sovereign Magazine / Enterprise DNA. (5./6. August 2026). </w:t>
      </w:r>
      <w:r>
        <w:rPr>
          <w:rFonts w:ascii="Arial" w:hAnsi="Arial"/>
          <w:b w:val="0"/>
          <w:i/>
          <w:sz w:val="19"/>
        </w:rPr>
        <w:t>Google DeepMind CEO Demis Hassabis is stepping aside / Google DeepMind Boss Demis Hassabis Steps Down From CEO Role / Google DeepMind's Hassabis Moves to Chairman Role in Leadership Reshuffle / Demis Hassabis steps down from Google DeepMind CEO role amid a major AI leadership shake-up / Demis Hassabis was shifting away from DeepMind CEO duties for a year / Google DeepMind Reshuffles After CEO Demis Hassabis / Jeff Dean leaving Google after 27 years to co-found Discovery Loop / Jeff Dean Leaves Google to Co-Found Discovery Loop AI / Jeff Dean and other top AI researchers are leaving Google to launch their own startup / Top Google minds quit to build AI that accelerates research / Jeff Dean Leaves Google for Discovery Loop — August 2026 / The startup idea that convinced a UW computer science legend to leave Google after 27 years / DeepMind CEO Steps Down as Jeff Dean Exits Google / Hassabis Steps Back as Google DeepMind Chief / Why Did Google DeepMind CEO Demis Hassabis Step Down?</w:t>
      </w:r>
      <w:r>
        <w:rPr>
          <w:rFonts w:ascii="Arial" w:hAnsi="Arial"/>
          <w:b w:val="0"/>
          <w:i w:val="0"/>
          <w:sz w:val="19"/>
        </w:rPr>
        <w:t xml:space="preserve"> Strukturelle Führungsumbildung an der Spitze von </w:t>
      </w:r>
      <w:r>
        <w:rPr>
          <w:rFonts w:ascii="Arial" w:hAnsi="Arial"/>
          <w:b w:val="0"/>
          <w:i/>
          <w:sz w:val="19"/>
        </w:rPr>
        <w:t>Google DeepMind</w:t>
      </w:r>
      <w:r>
        <w:rPr>
          <w:rFonts w:ascii="Arial" w:hAnsi="Arial"/>
          <w:b w:val="0"/>
          <w:i w:val="0"/>
          <w:sz w:val="19"/>
        </w:rPr>
        <w:t xml:space="preserve"> und </w:t>
      </w:r>
      <w:r>
        <w:rPr>
          <w:rFonts w:ascii="Arial" w:hAnsi="Arial"/>
          <w:b w:val="0"/>
          <w:i/>
          <w:sz w:val="19"/>
        </w:rPr>
        <w:t>Alphabet</w:t>
      </w:r>
      <w:r>
        <w:rPr>
          <w:rFonts w:ascii="Arial" w:hAnsi="Arial"/>
          <w:b w:val="0"/>
          <w:i w:val="0"/>
          <w:sz w:val="19"/>
        </w:rPr>
        <w:t xml:space="preserve"> am 5. August 2026: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ab sofort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ab; Hassabis wird zum </w:t>
      </w:r>
      <w:r>
        <w:rPr>
          <w:rFonts w:ascii="Arial" w:hAnsi="Arial"/>
          <w:b w:val="0"/>
          <w:i/>
          <w:sz w:val="19"/>
        </w:rPr>
        <w:t>Chairman of Google DeepMind</w:t>
      </w:r>
      <w:r>
        <w:rPr>
          <w:rFonts w:ascii="Arial" w:hAnsi="Arial"/>
          <w:b w:val="0"/>
          <w:i w:val="0"/>
          <w:sz w:val="19"/>
        </w:rPr>
        <w:t xml:space="preserve"> und zusätzlich </w:t>
      </w:r>
      <w:r>
        <w:rPr>
          <w:rFonts w:ascii="Arial" w:hAnsi="Arial"/>
          <w:b w:val="0"/>
          <w:i/>
          <w:sz w:val="19"/>
        </w:rPr>
        <w:t>Chief Scientist</w:t>
      </w:r>
      <w:r>
        <w:rPr>
          <w:rFonts w:ascii="Arial" w:hAnsi="Arial"/>
          <w:b w:val="0"/>
          <w:i w:val="0"/>
          <w:sz w:val="19"/>
        </w:rPr>
        <w:t xml:space="preserve"> der </w:t>
      </w:r>
      <w:r>
        <w:rPr>
          <w:rFonts w:ascii="Arial" w:hAnsi="Arial"/>
          <w:b w:val="0"/>
          <w:i/>
          <w:sz w:val="19"/>
        </w:rPr>
        <w:t>Alphabet</w:t>
      </w:r>
      <w:r>
        <w:rPr>
          <w:rFonts w:ascii="Arial" w:hAnsi="Arial"/>
          <w:b w:val="0"/>
          <w:i w:val="0"/>
          <w:sz w:val="19"/>
        </w:rPr>
        <w:t xml:space="preserve">-Muttergesellschaft (Fortführung der Leitung von </w:t>
      </w:r>
      <w:r>
        <w:rPr>
          <w:rFonts w:ascii="Arial" w:hAnsi="Arial"/>
          <w:b w:val="0"/>
          <w:i/>
          <w:sz w:val="19"/>
        </w:rPr>
        <w:t>Isomorphic Labs</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-Exklusivbericht dokumentiert einen bereits seit rund einem Jahr laufenden Übergang zur Konzentration auf AGI-Strategie und wissenschaftliche KI-Anwendungen.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das Unternehmen nach 27 Jahren und gründet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das explizit auf einen rekursiv-selbstverbessernden KI-Stack für die Beschleunigung wissenschaftlicher Grundlagenforschung zielt (Initialphase: Optimierung der eigenen ML-Forschungs- und Engineering-Pipeline vor externen wissenschaftlichen Anwendungsfeldern; Konjunktivpflicht nach § 4.2 Claude.md). </w:t>
      </w:r>
      <w:r>
        <w:rPr>
          <w:rFonts w:ascii="Arial" w:hAnsi="Arial"/>
          <w:b w:val="0"/>
          <w:i/>
          <w:sz w:val="19"/>
        </w:rPr>
        <w:t>Google</w:t>
      </w:r>
      <w:r>
        <w:rPr>
          <w:rFonts w:ascii="Arial" w:hAnsi="Arial"/>
          <w:b w:val="0"/>
          <w:i w:val="0"/>
          <w:sz w:val="19"/>
        </w:rPr>
        <w:t xml:space="preserve"> ist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die Seed-Runde. Aufnahme in § 8.2 als Fortschreibung der im Juli 2026 aufgenommenen humanen Talent-Bestands­dimension (Shazeer → OpenAI, Jumper/Adler/Pritzel → Anthropic) und Ergänzung der Rohstoff-Analogie um eine strukturelle Trennung von Frontier-Modell-Betrieb (Kavukcuoglu) und AGI-Strategie (Hassabis) auf Konzern-Ebene; Rückwirkung auf § 4.5 (bestandsorientierte Umverteilungs­logik der Sanders- und OpenAI-Fond-Vorschläge trifft auf strukturell mobilere Marktkapitalisierungs­grundlage) und § 8.3 (Wertschöpfungs- statt Marktkapitalisierungs­anknüpfung als robusterer Zugriffspfad). https://www.axios.com/2026/08/05/google-deepmind-demis-hassabis-ai | https://www.axios.com/2026/08/06/googles-ai-leadership-shuffle | https://www.bloomberg.com/news/articles/2026-08-05/google-deepmind-boss-hassabis-moves-to-chair-role-in-shakeup | https://fortune.com/2026/08/05/demis-hassabis-steps-down-google-deepmind-ai-shakeup/ | https://gizmodo.com/google-deepmind-boss-demis-hassabis-steps-down-from-ceo-role-2000794979 | https://time.com/article/2026/08/06/google-deepmind-ai-demis-hassabis/ | https://techcrunch.com/2026/08/05/jeff-dean-and-other-top-ai-researchers-are-leaving-google-to-launch-their-own-startup/ | https://www.semafor.com/article/08/05/2026/demis-hassabis-was-shifting-away-from-deepmind-ceo-duties-for-a-year | https://dataconomy.com/2026/08/06/demis-hassabis-stepping-down-google-deepmind-ceo/ | https://aimagazine.com/news/why-did-google-deepmind-ceo-demis-hassabis-step-down | https://www.geekwire.com/2026/the-startup-idea-that-convinced-a-uw-computer-science-legend-to-leave-google-after-27-years/ | https://www.siliconrepublic.com/start-ups/top-google-minds-leave-discovery-loop-jeff-dean | https://qz.com/jeff-dean-google-chief-scientist-discovery-loop-startup-080526 | https://www.explainx.ai/blog/jeff-dean-discovery-loop-demis-hassabis-google-deepmind-shakeup-august-2026 | https://finance.yahoo.com/technology/ai/articles/demis-hassabis-steps-down-google-184303780.html | https://finance.yahoo.com/technology/ai/articles/jeff-dean-leaving-google-27-170255620.html | https://enterprisedna.co/resources/news/google-deepmind-hassabis-ceo-exit-kavukcuoglu-jeff-dean-august-2026/</w:t>
      </w:r>
    </w:p>
    <w:p>
      <w:pPr>
        <w:jc w:val="both"/>
      </w:pPr>
      <w:r>
        <w:rPr>
          <w:rFonts w:ascii="Arial" w:hAnsi="Arial"/>
          <w:b w:val="0"/>
          <w:i w:val="0"/>
          <w:sz w:val="19"/>
        </w:rPr>
        <w:t xml:space="preserve">Unitree Robotics (Yushu Technology) / Bloomberg / CNBC / Caixin Global / Forbes / Yahoo Finance / KFGO / Tech Startups / Robotics and Automation News / Finimize. (6./7. August 2026). </w:t>
      </w:r>
      <w:r>
        <w:rPr>
          <w:rFonts w:ascii="Arial" w:hAnsi="Arial"/>
          <w:b w:val="0"/>
          <w:i/>
          <w:sz w:val="19"/>
        </w:rPr>
        <w:t>Unitree Robotics Plans $904 Million IPO as China's First Humanoid Robot Maker / Chinese humanoid robot maker Unitree prices IPO at $9 billion valuation / Unitree Robotics Prices Shanghai IPO at 61 Billion Yuan Valuation / Unitree IPO Turns 36-Year-Old Founder Into China's First Humanoid Robot Billionaire / China's Unitree targets IPO at $9 billion valuation as humanoid robot race heats up, DeepSeek invests $20.8M / Unitree targets $9 billion valuation in landmark IPO as humanoid robot race accelerates / China's Unitree Prices A Shanghai IPO For Its Humanoid Robots.</w:t>
      </w:r>
      <w:r>
        <w:rPr>
          <w:rFonts w:ascii="Arial" w:hAnsi="Arial"/>
          <w:b w:val="0"/>
          <w:i w:val="0"/>
          <w:sz w:val="19"/>
        </w:rPr>
        <w:t xml:space="preserve"> IPO-Bepreisung des Hangzhouer Herstellers </w:t>
      </w:r>
      <w:r>
        <w:rPr>
          <w:rFonts w:ascii="Arial" w:hAnsi="Arial"/>
          <w:b w:val="0"/>
          <w:i/>
          <w:sz w:val="19"/>
        </w:rPr>
        <w:t>Unitree Robotics</w:t>
      </w:r>
      <w:r>
        <w:rPr>
          <w:rFonts w:ascii="Arial" w:hAnsi="Arial"/>
          <w:b w:val="0"/>
          <w:i w:val="0"/>
          <w:sz w:val="19"/>
        </w:rPr>
        <w:t xml:space="preserve"> (Yushu Technology) am </w:t>
      </w:r>
      <w:r>
        <w:rPr>
          <w:rFonts w:ascii="Arial" w:hAnsi="Arial"/>
          <w:b w:val="0"/>
          <w:i/>
          <w:sz w:val="19"/>
        </w:rPr>
        <w:t>Shanghai STAR Market</w:t>
      </w:r>
      <w:r>
        <w:rPr>
          <w:rFonts w:ascii="Arial" w:hAnsi="Arial"/>
          <w:b w:val="0"/>
          <w:i w:val="0"/>
          <w:sz w:val="19"/>
        </w:rPr>
        <w:t xml:space="preserve"> zu 150,80 Yuan je Aktie (rund 22,34 US-Dollar); Emissionsvolumen 40,45 Millionen neu emittierte Aktien (10 % des erweiterten Grundkapitals) und Emissionserlös rund 6,1 Milliarden Yuan (rund 904 Millionen US-Dollar); Konzernbewertung nach der Bepreisung rund 61 Milliarden Yuan (rund 9,04 Milliarden US-Dollar); Zeichnungsphase ab 10. August 2026. Strategischer Investor </w:t>
      </w:r>
      <w:r>
        <w:rPr>
          <w:rFonts w:ascii="Arial" w:hAnsi="Arial"/>
          <w:b w:val="0"/>
          <w:i/>
          <w:sz w:val="19"/>
        </w:rPr>
        <w:t>DeepSeek AI</w:t>
      </w:r>
      <w:r>
        <w:rPr>
          <w:rFonts w:ascii="Arial" w:hAnsi="Arial"/>
          <w:b w:val="0"/>
          <w:i w:val="0"/>
          <w:sz w:val="19"/>
        </w:rPr>
        <w:t xml:space="preserve"> mit 20,8 Millionen US-Dollar; erster an einer chinesischen Festlandsbörse notierter Hersteller mit Schwerpunkt humanoide Robotik; Konzernumsatz 2025 rund 1,7 Milliarden Yuan (+ mehr als vervierfacht gegenüber Vorjahr), humanoide Roboter mit 867,8 Millionen Yuan Umsatz erstmals größtes Segment (Konjunktivpflicht nach § 4.2 Claude.md). Aufnahme in § 8.2 als chinesischer Referenzpunkt zur </w:t>
      </w:r>
      <w:r>
        <w:rPr>
          <w:rFonts w:ascii="Arial" w:hAnsi="Arial"/>
          <w:b w:val="0"/>
          <w:i/>
          <w:sz w:val="19"/>
        </w:rPr>
        <w:t>Tesla-Optimus</w:t>
      </w:r>
      <w:r>
        <w:rPr>
          <w:rFonts w:ascii="Arial" w:hAnsi="Arial"/>
          <w:b w:val="0"/>
          <w:i w:val="0"/>
          <w:sz w:val="19"/>
        </w:rPr>
        <w:t xml:space="preserve">-Fremont-Erstlinie (§ 8.2, Q2-2026-Earnings-Call 22. Juli 2026) und Präzisierung der physisch-robotischen Wertschöpfungs­schicht der Rohstoff-Analogie;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und volatile Bemessungsgrundlage im Physisch-KI-Segment) und § 8.3 (Verhärtung der deutschen Verarbeiter-Rolle im humanoiden Robotik-Sektor). https://www.bloomberg.com/news/articles/2026-08-06/china-s-unitree-seeks-904-million-in-first-mainland-robotic-ipo | https://www.cnbc.com/2026/08/06/chinese-humanoid-robot-maker-unitree-prices-ipo-at-9-billion-valuation.html | https://www.caixinglobal.com/2026-08-07/unitree-robotics-prices-shanghai-ipo-at-61-billion-yuan-valuation-102472090.html | https://www.forbes.com/sites/ywang/2026/08/07/unitree-ipo-turns-36-year-old-founder-into-chinas-first-humanoid-robot-billionaire/ | https://finance.yahoo.com/technology/articles/chinese-robot-maker-unitree-prices-111614890.html | https://kfgo.com/2026/08/06/chinese-robot-maker-unitree-prices-shanghai-ipo/ | https://techstartups.com/2026/08/06/chinas-unitree-targets-ipo-at-9-billion-valuation-as-humanoid-robot-race-heats-up-deepseek-invests-20-8m/ | https://roboticsandautomationnews.com/2026/08/07/unitree-targets-9-billion-valuation-in-landmark-ipo-as-humanoid-robot-race-accelerates/104008/ | https://finimize.com/content/chinas-unitree-prices-a-shanghai-ipo-for-its-humanoid-robots</w:t>
      </w:r>
    </w:p>
    <w:p>
      <w:pPr>
        <w:jc w:val="both"/>
      </w:pPr>
      <w:r>
        <w:rPr>
          <w:rFonts w:ascii="Arial" w:hAnsi="Arial"/>
          <w:b w:val="0"/>
          <w:i w:val="0"/>
          <w:sz w:val="19"/>
        </w:rPr>
        <w:t xml:space="preserve">BYD / South China Morning Post / TheNextWeb / TechNode / Interesting Engineering / eWeek / KR-Asia / Notebookcheck / CnEVPost / Stuff South Africa / Baidu Baike. (Anfang August 2026). </w:t>
      </w:r>
      <w:r>
        <w:rPr>
          <w:rFonts w:ascii="Arial" w:hAnsi="Arial"/>
          <w:b w:val="0"/>
          <w:i/>
          <w:sz w:val="19"/>
        </w:rPr>
        <w:t>BYD to debut first humanoid robots in August as rivalry with Tesla intensifies / BYD will unveil its first humanoid robot in August / BYD to unveil functional humanoid robots in August / BYD to unveil its first humanoid robot in August / BYD confirms plan to unveil humanoid robot in August / BYD's Xiao Di humanoid robot arrives this month, according to company teaser / BYD's humanoid robot to begin work at D Space facility in August / BYD confirms AI robot Xiao Di as US hits the brakes immediately / Xiao Di — BYD released its self-developed humanoid robot.</w:t>
      </w:r>
      <w:r>
        <w:rPr>
          <w:rFonts w:ascii="Arial" w:hAnsi="Arial"/>
          <w:b w:val="0"/>
          <w:i w:val="0"/>
          <w:sz w:val="19"/>
        </w:rPr>
        <w:t xml:space="preserve"> Öffentliche Erstpräsentation des von </w:t>
      </w:r>
      <w:r>
        <w:rPr>
          <w:rFonts w:ascii="Arial" w:hAnsi="Arial"/>
          <w:b w:val="0"/>
          <w:i/>
          <w:sz w:val="19"/>
        </w:rPr>
        <w:t>BYD</w:t>
      </w:r>
      <w:r>
        <w:rPr>
          <w:rFonts w:ascii="Arial" w:hAnsi="Arial"/>
          <w:b w:val="0"/>
          <w:i w:val="0"/>
          <w:sz w:val="19"/>
        </w:rPr>
        <w:t xml:space="preserve"> (Shenzhen) selbst entwickelten humanoiden Serviceroboters </w:t>
      </w:r>
      <w:r>
        <w:rPr>
          <w:rFonts w:ascii="Arial" w:hAnsi="Arial"/>
          <w:b w:val="0"/>
          <w:i/>
          <w:sz w:val="19"/>
        </w:rPr>
        <w:t>Xiao Di</w:t>
      </w:r>
      <w:r>
        <w:rPr>
          <w:rFonts w:ascii="Arial" w:hAnsi="Arial"/>
          <w:b w:val="0"/>
          <w:i w:val="0"/>
          <w:sz w:val="19"/>
        </w:rPr>
        <w:t xml:space="preserve"> am </w:t>
      </w:r>
      <w:r>
        <w:rPr>
          <w:rFonts w:ascii="Arial" w:hAnsi="Arial"/>
          <w:b w:val="0"/>
          <w:i/>
          <w:sz w:val="19"/>
        </w:rPr>
        <w:t>Di Space</w:t>
      </w:r>
      <w:r>
        <w:rPr>
          <w:rFonts w:ascii="Arial" w:hAnsi="Arial"/>
          <w:b w:val="0"/>
          <w:i w:val="0"/>
          <w:sz w:val="19"/>
        </w:rPr>
        <w:t xml:space="preserve"> Kunden- und Ausstellungszentrum in Zhengzhou, Anfang August 2026. Nach übereinstimmender Berichterstattung 1,61 m Körpergröße, 58,5 kg Masse, 31 Freiheitsgrade, 360-Grad-Panoramavision und dynamische Modellierungs­technologie für die Erkennung komplexer Objekte (Menschen, Glasflächen), Echtzeit­übersetzung zwischen sechs chinesischen Dialekten und sechs Fremdsprachen. Erst­einsatz als Verkaufs- und Vorführ­assistent in BYD-Autohäusern in Shenzhen und Shanghai, geplante Ausrollung auf rund 50 Standorte; angekündigt ist eine offene Fertigungs­plattform, auf der neben den konzern­eigenen Robotern auch mit Partnern gemeinsam entwickelte Modelle produziert werden sollen (Konjunktivpflicht nach § 4.2 Claude.md). Aufnahme in § 8.2 als vertikal integrierter chinesischer Referenzpunkt zur </w:t>
      </w:r>
      <w:r>
        <w:rPr>
          <w:rFonts w:ascii="Arial" w:hAnsi="Arial"/>
          <w:b w:val="0"/>
          <w:i/>
          <w:sz w:val="19"/>
        </w:rPr>
        <w:t>Unitree Robotics</w:t>
      </w:r>
      <w:r>
        <w:rPr>
          <w:rFonts w:ascii="Arial" w:hAnsi="Arial"/>
          <w:b w:val="0"/>
          <w:i w:val="0"/>
          <w:sz w:val="19"/>
        </w:rPr>
        <w:t>-STAR-Bepreisung (6./7. August 2026, § 8.2) und Präzisierung der physisch-robotischen Wertschöpfungs­schicht der Rohstoff-Analogie um einen Retail-/Vertriebs-Anwendungspfad; Rückwirkung auf § 8.3 (Verhärtung der deutschen Verarbeiter-Rolle im humanoiden Robotik-Sektor) und § 9.1 (Ausweitung der Kausalattributionsdebatte auf Fahrzeug- und Produktverkaufsberufe). https://www.scmp.com/business/china-business/article/3362362/byd-debut-first-humanoid-robots-august-rivalry-tesla-intensifies | https://thenextweb.com/news/byd-humanoid-robot-xiao-di-di-space-showrooms-august | https://technode.com/2026/07/27/byd-to-unveil-humanoid-robot-in-early-august/ | https://interestingengineering.com/ai-robotics/byd-enters-humanoid-robot-race-with-august-debut | https://www.eweek.com/news/byd-first-humanoid-robot-apac-china/ | https://kr-asia.com/byds-humanoid-robot-to-begin-work-at-d-space-facility-in-august | https://www.notebookcheck.net/BYD-confirms-AI-robot-Xiao-Di-as-US-hits-the-brakes-immediately.1359680.0.html | https://cnevpost.com/2026/07/28/byd-confirms-plan-humanoid-robot-aug/ | https://stuff.co.za/2026/08/05/byds-xiao-di-humanoid-robot-arrives-this-month-according-to-company-teaser/ | https://baike.baidu.com/en/item/Xiao%20Di/4324371</w:t>
      </w:r>
    </w:p>
    <w:p>
      <w:pPr>
        <w:jc w:val="both"/>
      </w:pPr>
      <w:r>
        <w:rPr>
          <w:rFonts w:ascii="Arial" w:hAnsi="Arial"/>
          <w:b w:val="0"/>
          <w:i w:val="0"/>
          <w:sz w:val="19"/>
        </w:rPr>
        <w:t xml:space="preserve">Meta AI Research / Fortune (Yahoo Finance) / MarkTechPost / explainx.ai / Vorp Labs. (5. August 2026). </w:t>
      </w:r>
      <w:r>
        <w:rPr>
          <w:rFonts w:ascii="Arial" w:hAnsi="Arial"/>
          <w:b w:val="0"/>
          <w:i/>
          <w:sz w:val="19"/>
        </w:rPr>
        <w:t>Introducing Muse Code and Muse Spark 1.2 / Meta debuts Muse Spark 1.2 and first coding agent as it ramps up competition with OpenAI, Anthropic / Meta AI Releases Muse Code (Beta): A Terminal Coding Agent Powered by the New Muse Spark 1.2 Model / Muse Code Beta — Meta's New Terminal Coding Agent (Aug 2026) / Meta Muse Spark 1.2 and Muse Code model release review.</w:t>
      </w:r>
      <w:r>
        <w:rPr>
          <w:rFonts w:ascii="Arial" w:hAnsi="Arial"/>
          <w:b w:val="0"/>
          <w:i w:val="0"/>
          <w:sz w:val="19"/>
        </w:rPr>
        <w:t xml:space="preserve"> Meta-Freigabe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(MSL) am 5. August 2026: Async-Hintergrund-Agenten mit lokalem Event-Log für „replay-exact und restart-safe" Ausführung, Skill-Bibliothek (`/plan`, `/grill`, `/goal`), Training über einen Selbstverbesserungsloop, in dem </w:t>
      </w:r>
      <w:r>
        <w:rPr>
          <w:rFonts w:ascii="Arial" w:hAnsi="Arial"/>
          <w:b w:val="0"/>
          <w:i/>
          <w:sz w:val="19"/>
        </w:rPr>
        <w:t>Muse Spark 1.1</w:t>
      </w:r>
      <w:r>
        <w:rPr>
          <w:rFonts w:ascii="Arial" w:hAnsi="Arial"/>
          <w:b w:val="0"/>
          <w:i w:val="0"/>
          <w:sz w:val="19"/>
        </w:rPr>
        <w:t xml:space="preserve"> die Trainingsumgebungen für </w:t>
      </w:r>
      <w:r>
        <w:rPr>
          <w:rFonts w:ascii="Arial" w:hAnsi="Arial"/>
          <w:b w:val="0"/>
          <w:i/>
          <w:sz w:val="19"/>
        </w:rPr>
        <w:t>Muse Spark 1.2</w:t>
      </w:r>
      <w:r>
        <w:rPr>
          <w:rFonts w:ascii="Arial" w:hAnsi="Arial"/>
          <w:b w:val="0"/>
          <w:i w:val="0"/>
          <w:sz w:val="19"/>
        </w:rPr>
        <w:t xml:space="preserve"> erzeugt hat; Benchmark-Ausweise nach Herstellerangaben auf drei Coding-Skalen (Terminal-Bench 2.1, DeepSWE 1.1, Meta Internal Coding Bench); Zugang über </w:t>
      </w:r>
      <w:r>
        <w:rPr>
          <w:rFonts w:ascii="Arial" w:hAnsi="Arial"/>
          <w:b w:val="0"/>
          <w:i/>
          <w:sz w:val="19"/>
        </w:rPr>
        <w:t>Muse-Code</w:t>
      </w:r>
      <w:r>
        <w:rPr>
          <w:rFonts w:ascii="Arial" w:hAnsi="Arial"/>
          <w:b w:val="0"/>
          <w:i w:val="0"/>
          <w:sz w:val="19"/>
        </w:rPr>
        <w:t xml:space="preserve">-CLI und </w:t>
      </w:r>
      <w:r>
        <w:rPr>
          <w:rFonts w:ascii="Arial" w:hAnsi="Arial"/>
          <w:b w:val="0"/>
          <w:i/>
          <w:sz w:val="19"/>
        </w:rPr>
        <w:t>Meta Model API</w:t>
      </w:r>
      <w:r>
        <w:rPr>
          <w:rFonts w:ascii="Arial" w:hAnsi="Arial"/>
          <w:b w:val="0"/>
          <w:i w:val="0"/>
          <w:sz w:val="19"/>
        </w:rPr>
        <w:t xml:space="preserve"> mit „expanded global access", keine Open-Weight- oder Preisangaben, keine direkten Vergleichsziffern gegen </w:t>
      </w:r>
      <w:r>
        <w:rPr>
          <w:rFonts w:ascii="Arial" w:hAnsi="Arial"/>
          <w:b w:val="0"/>
          <w:i/>
          <w:sz w:val="19"/>
        </w:rPr>
        <w:t>OpenAI-</w:t>
      </w:r>
      <w:r>
        <w:rPr>
          <w:rFonts w:ascii="Arial" w:hAnsi="Arial"/>
          <w:b w:val="0"/>
          <w:i w:val="0"/>
          <w:sz w:val="19"/>
        </w:rPr>
        <w:t xml:space="preserve"> oder </w:t>
      </w:r>
      <w:r>
        <w:rPr>
          <w:rFonts w:ascii="Arial" w:hAnsi="Arial"/>
          <w:b w:val="0"/>
          <w:i/>
          <w:sz w:val="19"/>
        </w:rPr>
        <w:t>Anthropic</w:t>
      </w:r>
      <w:r>
        <w:rPr>
          <w:rFonts w:ascii="Arial" w:hAnsi="Arial"/>
          <w:b w:val="0"/>
          <w:i w:val="0"/>
          <w:sz w:val="19"/>
        </w:rPr>
        <w:t xml:space="preserve">-Modelle publiziert (unabhängige Nachprüfung ausstehend; Konjunktivpflicht nach § 4.2 Claude.md).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Rückwirkung auf § 8.3 (Verlagerung der Wettbewerbsdynamik von der API-Preisebene auf die Deployment- und Agent-Ebene mit unmittelbarer Anschlussfähigkeit für die europäische Anwenderseite). https://research.meta.ai/blog/introducing-muse-code-and-muse-spark-1-2 | https://finance.yahoo.com/technology/article/meta-debuts-muse-spark-12-and-first-coding-agent-as-it-ramps-up-competition-with-openai-anthropic-213338398.html | https://www.marktechpost.com/2026/08/05/meta-superintelligence-labs-releases-muse-code/ | https://www.explainx.ai/blog/meta-muse-code-coding-agent-muse-spark-1-2-launch-august-2026 | https://vorplabs.com/models/releases/muse-spark-1-2</w:t>
      </w:r>
    </w:p>
    <w:p>
      <w:pPr>
        <w:jc w:val="both"/>
      </w:pPr>
      <w:r>
        <w:rPr>
          <w:rFonts w:ascii="Arial" w:hAnsi="Arial"/>
          <w:b w:val="0"/>
          <w:i w:val="0"/>
          <w:sz w:val="19"/>
        </w:rPr>
        <w:t xml:space="preserve">Alibaba (Qwen Team) / South China Morning Post / Bloomberg / TNGlobal (TechNode) / Quartz / MarkTechPost / Dataconomy / CGTN / The Daily Star / Yotta Labs. (3./4. August 2026). </w:t>
      </w:r>
      <w:r>
        <w:rPr>
          <w:rFonts w:ascii="Arial" w:hAnsi="Arial"/>
          <w:b w:val="0"/>
          <w:i/>
          <w:sz w:val="19"/>
        </w:rPr>
        <w:t>Alibaba unveils Qwen3.8-Max, its most capable AI model to date / Alibaba's AI model Qwen3.8-Max made widely accessible ahead of open-weights release / Alibaba's Qwen3.8-Max AI Model Claims Benchmark Scores Rivaling Anthropic / China's Alibaba launches Qwen3.8-Max AI model with 2.4T parameters, 1M token context window / Alibaba launches Qwen3.8-Max, its largest AI model yet / Alibaba Qwen Releases Qwen3.8-Max: A 2.4 Trillion Parameter MoE Model / Alibaba Unveils Open-source Qwen3.8-Max AI Model / Alibaba releases Qwen 3.8-Max, its largest AI model yet / Alibaba unveils Qwen3.8-Max, its most capable AI model to date / Qwen 3.8-Max: Release Date, Specs, and How to Access It.</w:t>
      </w:r>
      <w:r>
        <w:rPr>
          <w:rFonts w:ascii="Arial" w:hAnsi="Arial"/>
          <w:b w:val="0"/>
          <w:i w:val="0"/>
          <w:sz w:val="19"/>
        </w:rPr>
        <w:t xml:space="preserve"> Alibaba-Freigabe des Flaggschiffmodells </w:t>
      </w:r>
      <w:r>
        <w:rPr>
          <w:rFonts w:ascii="Arial" w:hAnsi="Arial"/>
          <w:b w:val="0"/>
          <w:i/>
          <w:sz w:val="19"/>
        </w:rPr>
        <w:t>Qwen3.8-Max</w:t>
      </w:r>
      <w:r>
        <w:rPr>
          <w:rFonts w:ascii="Arial" w:hAnsi="Arial"/>
          <w:b w:val="0"/>
          <w:i w:val="0"/>
          <w:sz w:val="19"/>
        </w:rPr>
        <w:t xml:space="preserve"> zum 3. August 2026 in einer </w:t>
      </w:r>
      <w:r>
        <w:rPr>
          <w:rFonts w:ascii="Arial" w:hAnsi="Arial"/>
          <w:b w:val="0"/>
          <w:i/>
          <w:sz w:val="19"/>
        </w:rPr>
        <w:t>Sparse-Mixture-of-Experts</w:t>
      </w:r>
      <w:r>
        <w:rPr>
          <w:rFonts w:ascii="Arial" w:hAnsi="Arial"/>
          <w:b w:val="0"/>
          <w:i w:val="0"/>
          <w:sz w:val="19"/>
        </w:rPr>
        <w:t xml:space="preserve">-Architektur mit 2,4 Billionen Gesamtparametern (rund 95 Milliarden pro Inferenzschritt aktiv), einem Kontextfenster von 1 Million Token und multimodaler Ein-/Ausgabefähigkeit; Zugriff zunächst über </w:t>
      </w:r>
      <w:r>
        <w:rPr>
          <w:rFonts w:ascii="Arial" w:hAnsi="Arial"/>
          <w:b w:val="0"/>
          <w:i/>
          <w:sz w:val="19"/>
        </w:rPr>
        <w:t>Alibaba-Cloud-Model-Studio</w:t>
      </w:r>
      <w:r>
        <w:rPr>
          <w:rFonts w:ascii="Arial" w:hAnsi="Arial"/>
          <w:b w:val="0"/>
          <w:i w:val="0"/>
          <w:sz w:val="19"/>
        </w:rPr>
        <w:t xml:space="preserve">-API und die am selben Tag in die öffentliche Beta gehende </w:t>
      </w:r>
      <w:r>
        <w:rPr>
          <w:rFonts w:ascii="Arial" w:hAnsi="Arial"/>
          <w:b w:val="0"/>
          <w:i/>
          <w:sz w:val="19"/>
        </w:rPr>
        <w:t>QwenWork</w:t>
      </w:r>
      <w:r>
        <w:rPr>
          <w:rFonts w:ascii="Arial" w:hAnsi="Arial"/>
          <w:b w:val="0"/>
          <w:i w:val="0"/>
          <w:sz w:val="19"/>
        </w:rPr>
        <w:t xml:space="preserve">-Agent-Plattform, vollständige Open-Weight-Freigabe für die Woche ab dem 10. August 2026 angekündigt und als bewusste Rückkehr Alibabas zur Open-Weight-Freigabe seiner Spitzenmodelle nach mehreren proprietär gehaltenen Zwischenreleases im ersten Halbjahr 2026 gekennzeichnet. Benchmark-Positionierung nach Anbieterangaben: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unabhängige Nachprüfung ausstehend). Aufnahme in § 8.2 als erste Konvergenzbestätigung chinesischer </w:t>
      </w:r>
      <w:r>
        <w:rPr>
          <w:rFonts w:ascii="Arial" w:hAnsi="Arial"/>
          <w:b w:val="0"/>
          <w:i/>
          <w:sz w:val="19"/>
        </w:rPr>
        <w:t>Open-Weight</w:t>
      </w:r>
      <w:r>
        <w:rPr>
          <w:rFonts w:ascii="Arial" w:hAnsi="Arial"/>
          <w:b w:val="0"/>
          <w:i w:val="0"/>
          <w:sz w:val="19"/>
        </w:rPr>
        <w:t>-Anbieter auf die aktuellste Frontier-Modellklasse mit Rückwirkung auf § 4.5 (Kontrastfolie zum White-House-Framework-Ausschluss offener Modelle) und § 8.3 (offene Frontier-Verfügbarkeit als Stabilitätsgewinn für die Veredelungsstrategie). https://www.scmp.com/tech/article/3362738/alibabas-ai-model-qwen38-max-made-widely-accessible-ahead-open-weights-release | https://www.bloomberg.com/news/articles/2026-08-03/alibaba-drops-another-china-ai-model-with-breakthrough-performance | https://technode.global/2026/08/04/chinas-alibaba-launches-qwen3-8-max-ai-model-with-2-4t-parameters-1m-token-context-window/ | https://qz.com/alibaba-qwen38-max-ai-model-launch-080326 | https://www.marktechpost.com/2026/08/03/alibaba-qwen-releases-qwen3-8-max/ | https://dataconomy.com/2026/08/03/qwen3-8-max-ai-model/ | https://news.cgtn.com/news/2026-08-03/Alibaba-unveils-Qwen3-8-Max-its-most-capable-AI-model-to-date-1Pj3AAwmjPa/p.html | https://www.thedailystar.net/news/tech-startup/news/alibaba-releases-qwen-38-max-its-largest-ai-model-yet-4238986 | https://www.yottalabs.ai/post/qwen-3-8-max-release-date-specs-how-to-access-2026</w:t>
      </w:r>
    </w:p>
    <w:p>
      <w:pPr>
        <w:jc w:val="both"/>
      </w:pPr>
      <w:r>
        <w:rPr>
          <w:rFonts w:ascii="Arial" w:hAnsi="Arial"/>
          <w:b w:val="0"/>
          <w:i w:val="0"/>
          <w:sz w:val="19"/>
        </w:rPr>
        <w:t xml:space="preserve">Fortune / Axios / The Next Web / Daily Caller / Yahoo News. (4./5. August 2026). </w:t>
      </w:r>
      <w:r>
        <w:rPr>
          <w:rFonts w:ascii="Arial" w:hAnsi="Arial"/>
          <w:b w:val="0"/>
          <w:i/>
          <w:sz w:val="19"/>
        </w:rPr>
        <w:t>White House won't publicly release AI model evaluation framework it reviewed today with Meta, Nvidia, Microsoft, OpenAI, Anthropic, variety of smaller companies / White House plans to keep AI framework under wraps / The White House says its AI framework is done. It will not say what is in it. / White House Reportedly Plans To Keep Trump's AI Framework Secret / White House AI Framework Excludes Open-Weight Models From Federal Security Review, Creating Structural Competitive Asymmetry.</w:t>
      </w:r>
      <w:r>
        <w:rPr>
          <w:rFonts w:ascii="Arial" w:hAnsi="Arial"/>
          <w:b w:val="0"/>
          <w:i w:val="0"/>
          <w:sz w:val="19"/>
        </w:rPr>
        <w:t xml:space="preserve"> Folgeberichterstattung zur am 4. August 2026 im Weißen Haus vorgelegten finalisierten Fassung des im </w:t>
      </w:r>
      <w:r>
        <w:rPr>
          <w:rFonts w:ascii="Arial" w:hAnsi="Arial"/>
          <w:b w:val="0"/>
          <w:i/>
          <w:sz w:val="19"/>
        </w:rPr>
        <w:t>Executive Order 14409</w:t>
      </w:r>
      <w:r>
        <w:rPr>
          <w:rFonts w:ascii="Arial" w:hAnsi="Arial"/>
          <w:b w:val="0"/>
          <w:i w:val="0"/>
          <w:sz w:val="19"/>
        </w:rPr>
        <w:t xml:space="preserve"> vorgesehenen freiwilligen Vor-Freigabe-Frameworks: (a) präzisierter Kreis der geladenen 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kleinere Anbieter), exklusive Anwendbarkeit des Prüfregimes auf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expliziter Ausschluss von </w:t>
      </w:r>
      <w:r>
        <w:rPr>
          <w:rFonts w:ascii="Arial" w:hAnsi="Arial"/>
          <w:b w:val="0"/>
          <w:i/>
          <w:sz w:val="19"/>
        </w:rPr>
        <w:t>Open-Weight</w:t>
      </w:r>
      <w:r>
        <w:rPr>
          <w:rFonts w:ascii="Arial" w:hAnsi="Arial"/>
          <w:b w:val="0"/>
          <w:i w:val="0"/>
          <w:sz w:val="19"/>
        </w:rPr>
        <w:t xml:space="preserve">-Modellen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aus dem föderalen Sicherheits­review; (b) Nicht-Veröffentlichung des Framework-Texts nach expliziter Weisung des Weißen Hauses („Just because things are unclassified that doesn't mean we are going to broadcast them to everyone" — White-House-Vertreter, ohne Namensnennung, </w:t>
      </w:r>
      <w:r>
        <w:rPr>
          <w:rFonts w:ascii="Arial" w:hAnsi="Arial"/>
          <w:b w:val="0"/>
          <w:i/>
          <w:sz w:val="19"/>
        </w:rPr>
        <w:t>The Next Web</w:t>
      </w:r>
      <w:r>
        <w:rPr>
          <w:rFonts w:ascii="Arial" w:hAnsi="Arial"/>
          <w:b w:val="0"/>
          <w:i w:val="0"/>
          <w:sz w:val="19"/>
        </w:rPr>
        <w:t xml:space="preserve">); klassifiziertes Benchmarking-Verfahren zur Bewertung fortgeschrittener Cyber-Fähigkeiten mit klassifizierten Schwellenwerten; (c) Administration durch das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w:t>
      </w:r>
      <w:r>
        <w:rPr>
          <w:rFonts w:ascii="Arial" w:hAnsi="Arial"/>
          <w:b w:val="0"/>
          <w:i/>
          <w:sz w:val="19"/>
        </w:rPr>
        <w:t>Yahoo-News</w:t>
      </w:r>
      <w:r>
        <w:rPr>
          <w:rFonts w:ascii="Arial" w:hAnsi="Arial"/>
          <w:b w:val="0"/>
          <w:i w:val="0"/>
          <w:sz w:val="19"/>
        </w:rPr>
        <w:t>-Analyse ordnet den Zuschnitt als „strukturelle wettbewerbliche Asymmetrie" ein. Aufnahme in § 4.5 als Nachtrag zum 5. August 2026 mit Rückwirkung auf § 4.3 (Kontrastfolie: transparent-normierte EU-Angebotsseite) und § 8.2/§ 8.3 (offene Frontier-Modellklasse als geregelt außerhalb des US-Vor-Freigabe-Regimes). https://fortune.com/2026/08/04/baffling-white-house-wont-publicly-release-ai-model-evaluation-framework-it-reviewed-today-with-openai-anthropic-microsoft-and-others/ | https://www.axios.com/2026/08/04/white-house-ai-framework-under-wraps | https://thenextweb.com/news/white-house-ai-framework-secret-voluntary-classified | https://dailycaller.com/2026/08/05/trump-white-house-ai-framework-secret/ | https://www.yahoo.com/news/politics/articles/white-house-ai-framework-excludes-073920495.html</w:t>
      </w:r>
    </w:p>
    <w:p>
      <w:pPr>
        <w:jc w:val="both"/>
      </w:pPr>
      <w:r>
        <w:rPr>
          <w:rFonts w:ascii="Arial" w:hAnsi="Arial"/>
          <w:b w:val="0"/>
          <w:i w:val="0"/>
          <w:sz w:val="19"/>
        </w:rPr>
        <w:t xml:space="preserve">CNN Business / UPI / BNN Bloomberg / GV Wire / PYMNTS / ChinaTechNews / Fortune / Anthropic / Harvard Crimson / PYMNTS / U.S. News &amp; World Report / Washington Examiner / MLex / The Hill / CyberScoop. (3./4. August 2026). </w:t>
      </w:r>
      <w:r>
        <w:rPr>
          <w:rFonts w:ascii="Arial" w:hAnsi="Arial"/>
          <w:b w:val="0"/>
          <w:i/>
          <w:sz w:val="19"/>
        </w:rPr>
        <w:t>White House to meet with OpenAI, Anthropic and other top AI companies in first big regulation push / White House hosting AI leaders to discuss evaluation framework / Meta, Anthropic, Google, OpenAI to Meet With Trump White House Amid Rogue AI Agent Fallout / White House Will Present Finalized AI Oversight Framework to Tech Giants Tuesday / Tino Cuellar joins Anthropic as Chief Global Affairs Officer / Harvard Corporation Member Tino Cuéllar Named Anthropic's First Global Affairs Chief / Anthropic Names Global Affairs Chief to Tackle AI Policy as Trump Tensions Persist / Senate Democrats ask Trump for answers on advanced AI models / US Senate Democrats ask White House for clarity on AI model assessment work / Senate Democrats press Trump administration on access to advanced AI models / Senators warn Trump's AI interventions could drive users to Chinese models.</w:t>
      </w:r>
      <w:r>
        <w:rPr>
          <w:rFonts w:ascii="Arial" w:hAnsi="Arial"/>
          <w:b w:val="0"/>
          <w:i w:val="0"/>
          <w:sz w:val="19"/>
        </w:rPr>
        <w:t xml:space="preserve"> Drei am 4. August 2026 koordiniert wirkende Ereignisse zur US-Frontier-Governance: (a) Weißes-Haus-Sitzung mit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zur Vorlage der finalisierten freiwilligen Vor-Freigabe-Framework-Fassung aus </w:t>
      </w:r>
      <w:r>
        <w:rPr>
          <w:rFonts w:ascii="Arial" w:hAnsi="Arial"/>
          <w:b w:val="0"/>
          <w:i/>
          <w:sz w:val="19"/>
        </w:rPr>
        <w:t>Executive Order 14409</w:t>
      </w:r>
      <w:r>
        <w:rPr>
          <w:rFonts w:ascii="Arial" w:hAnsi="Arial"/>
          <w:b w:val="0"/>
          <w:i w:val="0"/>
          <w:sz w:val="19"/>
        </w:rPr>
        <w:t xml:space="preserve"> (bis zu 30 Tage Vor-Zugang für Sicherheits-/Aufsichtsbehörden, Trump nicht persönlich anwesend); (b) </w:t>
      </w:r>
      <w:r>
        <w:rPr>
          <w:rFonts w:ascii="Arial" w:hAnsi="Arial"/>
          <w:b w:val="0"/>
          <w:i/>
          <w:sz w:val="19"/>
        </w:rPr>
        <w:t>Anthropic</w:t>
      </w:r>
      <w:r>
        <w:rPr>
          <w:rFonts w:ascii="Arial" w:hAnsi="Arial"/>
          <w:b w:val="0"/>
          <w:i w:val="0"/>
          <w:sz w:val="19"/>
        </w:rPr>
        <w:t xml:space="preserve"> benennt Mariano-Florentino (Tino)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Stanford-Law-Professor, Senior Fellow </w:t>
      </w:r>
      <w:r>
        <w:rPr>
          <w:rFonts w:ascii="Arial" w:hAnsi="Arial"/>
          <w:b w:val="0"/>
          <w:i/>
          <w:sz w:val="19"/>
        </w:rPr>
        <w:t>Stanford HAI</w:t>
      </w:r>
      <w:r>
        <w:rPr>
          <w:rFonts w:ascii="Arial" w:hAnsi="Arial"/>
          <w:b w:val="0"/>
          <w:i w:val="0"/>
          <w:sz w:val="19"/>
        </w:rPr>
        <w:t xml:space="preserve">, Trustee </w:t>
      </w:r>
      <w:r>
        <w:rPr>
          <w:rFonts w:ascii="Arial" w:hAnsi="Arial"/>
          <w:b w:val="0"/>
          <w:i/>
          <w:sz w:val="19"/>
        </w:rPr>
        <w:t>Anthropic Long-Term Benefit Trust</w:t>
      </w:r>
      <w:r>
        <w:rPr>
          <w:rFonts w:ascii="Arial" w:hAnsi="Arial"/>
          <w:b w:val="0"/>
          <w:i w:val="0"/>
          <w:sz w:val="19"/>
        </w:rPr>
        <w:t xml:space="preserve"> seit Januar 2026, seit 2019 Mitglied der </w:t>
      </w:r>
      <w:r>
        <w:rPr>
          <w:rFonts w:ascii="Arial" w:hAnsi="Arial"/>
          <w:b w:val="0"/>
          <w:i/>
          <w:sz w:val="19"/>
        </w:rPr>
        <w:t>Harvard Corporation</w:t>
      </w:r>
      <w:r>
        <w:rPr>
          <w:rFonts w:ascii="Arial" w:hAnsi="Arial"/>
          <w:b w:val="0"/>
          <w:i w:val="0"/>
          <w:sz w:val="19"/>
        </w:rPr>
        <w:t xml:space="preserve">) zum ersten </w:t>
      </w:r>
      <w:r>
        <w:rPr>
          <w:rFonts w:ascii="Arial" w:hAnsi="Arial"/>
          <w:b w:val="0"/>
          <w:i/>
          <w:sz w:val="19"/>
        </w:rPr>
        <w:t>Chief Global Affairs Officer</w:t>
      </w:r>
      <w:r>
        <w:rPr>
          <w:rFonts w:ascii="Arial" w:hAnsi="Arial"/>
          <w:b w:val="0"/>
          <w:i w:val="0"/>
          <w:sz w:val="19"/>
        </w:rPr>
        <w:t xml:space="preserve">; Amodei-Zitat („helping public institutions respond to times of change with thoughtfulness, pragmatism, and deep commitment to the common good"); Cuéllar-Zitat in LinkedIn-Erstmitteilung („Democracies must set the terms on which a technology this consequential shapes our lives and society"). (c) Fünf demokratische Senatorinnen und Senatoren — </w:t>
      </w:r>
      <w:r>
        <w:rPr>
          <w:rFonts w:ascii="Arial" w:hAnsi="Arial"/>
          <w:b w:val="0"/>
          <w:i/>
          <w:sz w:val="19"/>
        </w:rPr>
        <w:t>Gillibrand</w:t>
      </w:r>
      <w:r>
        <w:rPr>
          <w:rFonts w:ascii="Arial" w:hAnsi="Arial"/>
          <w:b w:val="0"/>
          <w:i w:val="0"/>
          <w:sz w:val="19"/>
        </w:rPr>
        <w:t xml:space="preserve"> (federführend),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 richten am 4. August 2026 einen Brief an die Trump-Administration und fordern öffentliche Klarheit über </w:t>
      </w:r>
      <w:r>
        <w:rPr>
          <w:rFonts w:ascii="Arial" w:hAnsi="Arial"/>
          <w:b w:val="0"/>
          <w:i/>
          <w:sz w:val="19"/>
        </w:rPr>
        <w:t>„die aktuelle Politik und Herangehensweise an die Beschränkung des Zugangs zu fortgeschrittenen KI-Modellen"</w:t>
      </w:r>
      <w:r>
        <w:rPr>
          <w:rFonts w:ascii="Arial" w:hAnsi="Arial"/>
          <w:b w:val="0"/>
          <w:i w:val="0"/>
          <w:sz w:val="19"/>
        </w:rPr>
        <w:t xml:space="preserve"> (Kernzitat: „We believe strongly in the importance of maintaining the United States' competitive lead in artificial intelligence development while protecting the country from serious national security risks."); Bezugsfälle: </w:t>
      </w:r>
      <w:r>
        <w:rPr>
          <w:rFonts w:ascii="Arial" w:hAnsi="Arial"/>
          <w:b w:val="0"/>
          <w:i/>
          <w:sz w:val="19"/>
        </w:rPr>
        <w:t>Fable-5-/Mythos-5</w:t>
      </w:r>
      <w:r>
        <w:rPr>
          <w:rFonts w:ascii="Arial" w:hAnsi="Arial"/>
          <w:b w:val="0"/>
          <w:i w:val="0"/>
          <w:sz w:val="19"/>
        </w:rPr>
        <w:t xml:space="preserve">-Weisung des </w:t>
      </w:r>
      <w:r>
        <w:rPr>
          <w:rFonts w:ascii="Arial" w:hAnsi="Arial"/>
          <w:b w:val="0"/>
          <w:i/>
          <w:sz w:val="19"/>
        </w:rPr>
        <w:t>Department of Commerce</w:t>
      </w:r>
      <w:r>
        <w:rPr>
          <w:rFonts w:ascii="Arial" w:hAnsi="Arial"/>
          <w:b w:val="0"/>
          <w:i w:val="0"/>
          <w:sz w:val="19"/>
        </w:rPr>
        <w:t xml:space="preserve"> (Juni 2026), Zugangsbeschränkung </w:t>
      </w:r>
      <w:r>
        <w:rPr>
          <w:rFonts w:ascii="Arial" w:hAnsi="Arial"/>
          <w:b w:val="0"/>
          <w:i/>
          <w:sz w:val="19"/>
        </w:rPr>
        <w:t>GPT-5.6 Sol</w:t>
      </w:r>
      <w:r>
        <w:rPr>
          <w:rFonts w:ascii="Arial" w:hAnsi="Arial"/>
          <w:b w:val="0"/>
          <w:i w:val="0"/>
          <w:sz w:val="19"/>
        </w:rPr>
        <w:t xml:space="preserve"> durch OpenAI, Bekanntgabe der zwei Ende-Juli-2026-Sicherheitsvorfälle. Aufnahme in § 4.5 als Nachtrag zum 4. August 2026 mit Rückwirkung auf § 4.3 (transparent-normierte EU-Prüfinfrastruktur als Kontrastfolie) und § 8.3 (institutionalisierte Zugangsinfrastruktur als Anknüpfungspunkt einer wertschöpfungs- und risikodifferenzierten inländischen KI-Nutzungsabgabe). https://www.cnn.com/2026/08/03/tech/white-house-meet-with-top-ai-companies-big-regulation-push | https://www.upi.com/Top_News/US/2026/08/04/trump-administration-white-house-ai-tech-meeting/3141785855949/ | https://www.bnnbloomberg.ca/business/politics/2026/08/04/meta-anthropic-google-openai-to-meet-with-trump-white-house-amid-rogue-ai-agent-fallout/ | https://gvwire.com/2026/08/04/meta-anthropic-google-openai-to-meet-with-trump-white-house-amid-rogue-ai-agent-fallout/ | https://www.pymnts.com/news/artificial-intelligence/2026/white-house-will-present-finalized-ai-oversight-framework-tech-giants-tuesday/ | https://www.chinatechnews.com/2026/08/04/126657-openai-anthropic-google-to-join-white-house-ai-safety-meeting | https://fortune.com/2026/08/04/trump-ai-regulation-china-national-security/ | https://www.anthropic.com/news/tino-cuellar | https://www.thecrimson.com/article/2026/8/4/cuellar-anthropic-global-affairs/ | https://www.pymnts.com/personnel/2026/anthropic-appoints-former-california-supreme-court-justice-as-first-global-affairs-chief/ | https://www.usnews.com/news/world/articles/2026-08-04/anthropic-names-global-affairs-chief-to-tackle-ai-policy-as-trump-tensions-persist | https://www.washingtonexaminer.com/news/senate/4674674/senate-democrats-letter-trump-administration-advanced-ai-models/ | https://www.mlex.com/mlex/artificial-intelligence/articles/2509611 | https://thehill.com/homenews/senate/6008642-democrats-demand-transparency-ai-policy/ | https://cyberscoop.com/trump-ai-policy-chinese-models-risk/</w:t>
      </w:r>
    </w:p>
    <w:p>
      <w:pPr>
        <w:jc w:val="both"/>
      </w:pPr>
      <w:r>
        <w:rPr>
          <w:rFonts w:ascii="Arial" w:hAnsi="Arial"/>
          <w:b w:val="0"/>
          <w:i w:val="0"/>
          <w:sz w:val="19"/>
        </w:rPr>
        <w:t xml:space="preserve">CNBC / TheNextWeb / Business Standard / CryptoBriefing / Benzinga / TechTimes / Help Net Security. (3. August 2026 / 4. August 2026). </w:t>
      </w:r>
      <w:r>
        <w:rPr>
          <w:rFonts w:ascii="Arial" w:hAnsi="Arial"/>
          <w:b w:val="0"/>
          <w:i/>
          <w:sz w:val="19"/>
        </w:rPr>
        <w:t>Anthropic, OpenAI among firms facing new scrutiny under EU AI Act enforcement powers / The EU can now inspect AI models, block market access, and fine providers 3% of turnover / EU in talks with OpenAI, Anthropic after rogue AI agent hacking incidents / EU intensifies AI scrutiny on Anthropic, OpenAI under new enforcement powers / Anthropic, OpenAI Face New EU AI Crackdown as Regulators Gain Enforcement Power / EU Engages OpenAI and Anthropic After AI Models Hacked Real Companies / EU begins enforcing AI Act, putting AI models under the microscope.</w:t>
      </w:r>
      <w:r>
        <w:rPr>
          <w:rFonts w:ascii="Arial" w:hAnsi="Arial"/>
          <w:b w:val="0"/>
          <w:i w:val="0"/>
          <w:sz w:val="19"/>
        </w:rPr>
        <w:t xml:space="preserve"> Berichterstattung vom Tag nach Aktivierung der Kommissionsdurchsetzungsbefugnisse: Bilaterale Kontakte der Europäischen Kommission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nach zwei Ende-Juli-2026-Sicherheitsvorfällen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Bußgeldgerüst 7,5 Millionen Euro oder 1,5 % (geringe Verstöße), 15 Millionen Euro oder 3 % (Standardverstöße), 35 Millionen Euro oder 7 % (schwerwiegende Verstöße); Zitate von </w:t>
      </w:r>
      <w:r>
        <w:rPr>
          <w:rFonts w:ascii="Arial" w:hAnsi="Arial"/>
          <w:b w:val="0"/>
          <w:i/>
          <w:sz w:val="19"/>
        </w:rPr>
        <w:t>OpenAI</w:t>
      </w:r>
      <w:r>
        <w:rPr>
          <w:rFonts w:ascii="Arial" w:hAnsi="Arial"/>
          <w:b w:val="0"/>
          <w:i w:val="0"/>
          <w:sz w:val="19"/>
        </w:rPr>
        <w:t xml:space="preserve">-Vice-President Tom Gordon („eng mit der Europäischen Kommission und dem breiteren Ökosystem"), </w:t>
      </w:r>
      <w:r>
        <w:rPr>
          <w:rFonts w:ascii="Arial" w:hAnsi="Arial"/>
          <w:b w:val="0"/>
          <w:i/>
          <w:sz w:val="19"/>
        </w:rPr>
        <w:t>Google</w:t>
      </w:r>
      <w:r>
        <w:rPr>
          <w:rFonts w:ascii="Arial" w:hAnsi="Arial"/>
          <w:b w:val="0"/>
          <w:i w:val="0"/>
          <w:sz w:val="19"/>
        </w:rPr>
        <w:t xml:space="preserve"> („dedicated to meeting all applicable rules") und Elisabetta Righini (</w:t>
      </w:r>
      <w:r>
        <w:rPr>
          <w:rFonts w:ascii="Arial" w:hAnsi="Arial"/>
          <w:b w:val="0"/>
          <w:i/>
          <w:sz w:val="19"/>
        </w:rPr>
        <w:t>Sidley Austin</w:t>
      </w:r>
      <w:r>
        <w:rPr>
          <w:rFonts w:ascii="Arial" w:hAnsi="Arial"/>
          <w:b w:val="0"/>
          <w:i w:val="0"/>
          <w:sz w:val="19"/>
        </w:rPr>
        <w:t xml:space="preserve">, „A US address does not put a lab outside the EU regulator's reach"); institutionelle Vorstufe: </w:t>
      </w:r>
      <w:r>
        <w:rPr>
          <w:rFonts w:ascii="Arial" w:hAnsi="Arial"/>
          <w:b w:val="0"/>
          <w:i/>
          <w:sz w:val="19"/>
        </w:rPr>
        <w:t>Anthropic</w:t>
      </w:r>
      <w:r>
        <w:rPr>
          <w:rFonts w:ascii="Arial" w:hAnsi="Arial"/>
          <w:b w:val="0"/>
          <w:i w:val="0"/>
          <w:sz w:val="19"/>
        </w:rPr>
        <w:t>-</w:t>
      </w:r>
      <w:r>
        <w:rPr>
          <w:rFonts w:ascii="Arial" w:hAnsi="Arial"/>
          <w:b w:val="0"/>
          <w:i/>
          <w:sz w:val="19"/>
        </w:rPr>
        <w:t>Mythos</w:t>
      </w:r>
      <w:r>
        <w:rPr>
          <w:rFonts w:ascii="Arial" w:hAnsi="Arial"/>
          <w:b w:val="0"/>
          <w:i w:val="0"/>
          <w:sz w:val="19"/>
        </w:rPr>
        <w:t xml:space="preserve">-Zugang für die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nach mehrmonatigen Verhandlungen im Juni 2026. Aufnahme in § 4.3 als erster operativer Enforcement-Fall der AI-Act-Durchsetzung mit Rückwirkung auf § 5.1 und § 8.3 (institutionalisierte Zugangs- und Prüfinfrastruktur zu Frontier-Modellen als Anknüpfungspunkt für eine risiko- und wertschöpfungsdifferenzierte KI-Nutzungsabgabe). https://www.cnbc.com/2026/08/03/eu-ai-act-enforcement-powers.html | https://thenextweb.com/news/eu-ai-act-enforcement-powers-inspect-fine-models | https://www.business-standard.com/technology/tech-news/eu-in-talks-with-openai-anthropic-after-rogue-ai-agent-hacking-incidents-126080300511_1.html | https://cryptobriefing.com/eu-intensifies-ai-scrutiny-on-anthropic-openai-under-new-enforcement-powers/ | https://www.benzinga.com/markets/private-markets/26/08/60885037/anthropic-openai-face-new-eu-ai-crackdown-as-regulators-gain-enforcement-power | https://www.techtimes.com/articles/322604/20260801/eu-engages-openai-anthropic-after-ai-models-hacked-real-companies-fines-take-effect-sunday.htm | https://www.helpnetsecurity.com/2026/08/04/eu-ai-act-enforcement-ai-models/</w:t>
      </w:r>
    </w:p>
    <w:p>
      <w:pPr>
        <w:jc w:val="both"/>
      </w:pPr>
      <w:r>
        <w:rPr>
          <w:rFonts w:ascii="Arial" w:hAnsi="Arial"/>
          <w:b w:val="0"/>
          <w:i w:val="0"/>
          <w:sz w:val="19"/>
        </w:rPr>
        <w:t xml:space="preserve">OpenAI / Gizmodo / TheNextWeb / Neowin / DataCamp / AI Tools Review / Life Architect AI / Win Central / thenews.com.pk / kingy.ai / digg / American Bazaar. (1./2. August 2026). </w:t>
      </w:r>
      <w:r>
        <w:rPr>
          <w:rFonts w:ascii="Arial" w:hAnsi="Arial"/>
          <w:b w:val="0"/>
          <w:i/>
          <w:sz w:val="19"/>
        </w:rPr>
        <w:t>Ten advances in mathematics and theoretical computer science / OpenAI Smuggled the Announcement of Astra, Its Next AI Model, Into a Blog Post About Math / OpenAI says its next model, Astra, has solved ten open problems in mathematics / OpenAI's next major model Astra claims breakthroughs on 10 long-standing math problems / OpenAI's New Model, Astra, Has Solved Ten Open Math Problems / OpenAI Astra Mathematics Results: Ten Claimed Advances Explained / GPT-6 (2026) — Astra Announced / OpenAI's New 'Astra' AI Model Leaks — Could This Be the Beginning of GPT-6? / OpenAI is preparing to launch a new Astra model series / OpenAI Astra's 10 Math Results: Evidence and Limits / OpenAI Astra Model Solves Ten Open Problems / OpenAI says AI system advances 10 major math problems.</w:t>
      </w:r>
      <w:r>
        <w:rPr>
          <w:rFonts w:ascii="Arial" w:hAnsi="Arial"/>
          <w:b w:val="0"/>
          <w:i w:val="0"/>
          <w:sz w:val="19"/>
        </w:rPr>
        <w:t xml:space="preserve"> OpenAI-Blogpost vom 1. August 2026 (Rezeption bis 2. August 2026) zum bislang nur intern verfügbaren Modellkandidaten </w:t>
      </w:r>
      <w:r>
        <w:rPr>
          <w:rFonts w:ascii="Arial" w:hAnsi="Arial"/>
          <w:b w:val="0"/>
          <w:i/>
          <w:sz w:val="19"/>
        </w:rPr>
        <w:t>Astra</w:t>
      </w:r>
      <w:r>
        <w:rPr>
          <w:rFonts w:ascii="Arial" w:hAnsi="Arial"/>
          <w:b w:val="0"/>
          <w:i w:val="0"/>
          <w:sz w:val="19"/>
        </w:rPr>
        <w:t xml:space="preserve"> („our next major model"), positioniert nach Life-Architect-AI-Auswertung und Gizmodo-Berichterstattung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das Modell erzeugt nach OpenAI-Angaben zehn Ergebnisse in Mathematik und theoretischer Informatik, darunter die erste Verbesserung der allgemeinen hoch-dimensionalen Kugelpackungs-Exponenten seit 1978 (Cohn–Elkies Linear Program),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in der Operatoralgebra, neue Schranken für fehlerkorrigierende Codes und die Permanentenkomplexität, Härte-Ergebnisse für das </w:t>
      </w:r>
      <w:r>
        <w:rPr>
          <w:rFonts w:ascii="Arial" w:hAnsi="Arial"/>
          <w:b w:val="0"/>
          <w:i/>
          <w:sz w:val="19"/>
        </w:rPr>
        <w:t>Closest-Vector-Problem</w:t>
      </w:r>
      <w:r>
        <w:rPr>
          <w:rFonts w:ascii="Arial" w:hAnsi="Arial"/>
          <w:b w:val="0"/>
          <w:i w:val="0"/>
          <w:sz w:val="19"/>
        </w:rPr>
        <w:t xml:space="preserve"> in der Gitter-Kryptographie sowie extremal- und ramsey-graphentheoretische Ergebnisse. OpenAI publiziert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die formale Nachprüfung durch die Fach-Community steht aus (Konjunktiv nach § 4.2 Claude.md).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Sam Altman soll das Modell nach Gizmodo-Bericht vom 2. August 2026 zeitgleich Bundesregierungs­vertretern in Washington, D.C. demonstriert haben. Aufnahme in § 8.2 als Beleg der beschleunigten Frontier-Iterations­frequenz und der Ausweitung der KI-Substitution wissens­intensiver Cognitive-Arbeit in den Bereich grundlagen­wissenschaftlicher Beweisarbeit, mit Rückwirkung auf § 1.1 und § 8.3. https://openai.com/index/ten-advances-in-mathematics/ | https://gizmodo.com/openai-smuggled-the-announcement-of-astra-its-next-ai-model-into-a-blog-post-about-math-2000793689 | https://thenextweb.com/news/openai-astra-model-ten-math-proofs-non-sofic-groups | https://www.neowin.net/news/openais-next-major-model-astra-claims-breakthroughs-on-10-long-standing-math-problems/ | https://www.datacamp.com/blog/open-ai-model-astra-solved-ten-open-math-problems | https://aitoolsreview.co.uk/insights/openai-astra-mathematics | https://lifearchitect.ai/gpt-6/ | https://thewincentral.com/openai-astra-leaked-gpt-6/ | https://www.thenews.com.pk/latest/1410885-openai-is-preparing-to-launch-a-new-astra-model-series-what-to-know | https://kingy.ai/news/openai-astra-ten-math-results-evidence/ | https://digg.com/tech/9qjs9782 | https://americanbazaaronline.com/2026/08/02/openai-ai-model-advances-mathematics-theoretical-computer-science-485636/</w:t>
      </w:r>
    </w:p>
    <w:p>
      <w:pPr>
        <w:jc w:val="both"/>
      </w:pPr>
      <w:r>
        <w:rPr>
          <w:rFonts w:ascii="Arial" w:hAnsi="Arial"/>
          <w:b w:val="0"/>
          <w:i w:val="0"/>
          <w:sz w:val="19"/>
        </w:rPr>
        <w:t xml:space="preserve">Yahoo Finance / Vorp Labs. (31. Juli 2026 / 1. August 2026). </w:t>
      </w:r>
      <w:r>
        <w:rPr>
          <w:rFonts w:ascii="Arial" w:hAnsi="Arial"/>
          <w:b w:val="0"/>
          <w:i/>
          <w:sz w:val="19"/>
        </w:rPr>
        <w:t>White House AI Framework Deadline Lapses Without Public Deliverables / US Frontier Model Review Framework: EO 14409's August 1 Deadline.</w:t>
      </w:r>
      <w:r>
        <w:rPr>
          <w:rFonts w:ascii="Arial" w:hAnsi="Arial"/>
          <w:b w:val="0"/>
          <w:i w:val="0"/>
          <w:sz w:val="19"/>
        </w:rPr>
        <w:t xml:space="preserve"> Analyse zum Ablauf der 60-Tage-Frist aus dem am 2. Juni 2026 durch Präsident Trump unterzeichneten </w:t>
      </w:r>
      <w:r>
        <w:rPr>
          <w:rFonts w:ascii="Arial" w:hAnsi="Arial"/>
          <w:b w:val="0"/>
          <w:i/>
          <w:sz w:val="19"/>
        </w:rPr>
        <w:t>Executive Order 14409</w:t>
      </w:r>
      <w:r>
        <w:rPr>
          <w:rFonts w:ascii="Arial" w:hAnsi="Arial"/>
          <w:b w:val="0"/>
          <w:i w:val="0"/>
          <w:sz w:val="19"/>
        </w:rPr>
        <w:t xml:space="preserve"> („Promoting Advanced Artificial Intelligence Innovation and Security"): zum Fristablauf am 1. August 2026 (00:00 UTC) keine Federal-Register-Notice, keine NIST- oder CISA-Publikation und keine Erklärung des Office of Science and Technology Policy (OSTP); drei vorgesehene Deliverables — klassifizierter Benchmarking-Prozess durch NSA/CISA/NIST, freiwilliges Frontier-Modell-Offenlegungs-Framework durch Treasury/NSA/CISA/NIST, föderaler Cyber-Personalausbau durch OPM — sämtlich unabgeliefert. Beleg für die exekutiv-informalen Züge des US-Vor-Freigabe-Regimes und die Asymmetrie zur institutionalisierten </w:t>
      </w:r>
      <w:r>
        <w:rPr>
          <w:rFonts w:ascii="Arial" w:hAnsi="Arial"/>
          <w:b w:val="0"/>
          <w:i/>
          <w:sz w:val="19"/>
        </w:rPr>
        <w:t>EU-AI-Act</w:t>
      </w:r>
      <w:r>
        <w:rPr>
          <w:rFonts w:ascii="Arial" w:hAnsi="Arial"/>
          <w:b w:val="0"/>
          <w:i w:val="0"/>
          <w:sz w:val="19"/>
        </w:rPr>
        <w:t>-Durchsetzung ab dem 2. August 2026 (§ 4.5). https://finance.yahoo.com/technology/ai/articles/white-house-ai-framework-deadline-002011007.html | https://vorplabs.com/ai-regulatory-updates/frontier-model-review-framework</w:t>
      </w:r>
    </w:p>
    <w:p>
      <w:pPr>
        <w:jc w:val="both"/>
      </w:pPr>
      <w:r>
        <w:rPr>
          <w:rFonts w:ascii="Arial" w:hAnsi="Arial"/>
          <w:b w:val="0"/>
          <w:i w:val="0"/>
          <w:sz w:val="19"/>
        </w:rPr>
        <w:t xml:space="preserve">OpenAI / VentureBeat / CNBC / Axios / Yahoo Finance / Cryptonomist / ExplainX / Startuptalky / WCCFTech / NaturalNews. (30./31. Juli 2026). </w:t>
      </w:r>
      <w:r>
        <w:rPr>
          <w:rFonts w:ascii="Arial" w:hAnsi="Arial"/>
          <w:b w:val="0"/>
          <w:i/>
          <w:sz w:val="19"/>
        </w:rPr>
        <w:t>Advancing the price-performance frontier with GPT-5.6 / AI price wars: OpenAI cuts GPT-5.6 Luna prices by 80 % as model competition shifts toward cost / OpenAI cuts prices for two of its GPT-5.6 AI models as companies grow sensitive to costs / OpenAI discounts GPT-5.6 Luna and Terra, but not Sol / OpenAI cuts GPT-5.6 Luna and Terra prices by up to 80 % / OpenAI GPT-5.6 Price Cuts Slash Costs Dramatically / GPT-5.6 Luna Price Cut 80 % — New Rates Explained / OpenAI Cuts GPT-5.6 Prices by 80 % as AI Competition / OpenAI Goes After The Jugular Of China's Open-Weight AI Models, Cuts Token Prices By Up To 80 % / OpenAI Cuts GPT-5.6 Luna Price by 80 % as Chinese Models Close In.</w:t>
      </w:r>
      <w:r>
        <w:rPr>
          <w:rFonts w:ascii="Arial" w:hAnsi="Arial"/>
          <w:b w:val="0"/>
          <w:i w:val="0"/>
          <w:sz w:val="19"/>
        </w:rPr>
        <w:t xml:space="preserve"> Preissenkungsankündigung von OpenAI am 30. Juli 2026, drei Wochen nach der allgemeinen Freigabe der </w:t>
      </w:r>
      <w:r>
        <w:rPr>
          <w:rFonts w:ascii="Arial" w:hAnsi="Arial"/>
          <w:b w:val="0"/>
          <w:i/>
          <w:sz w:val="19"/>
        </w:rPr>
        <w:t>GPT-5.6</w:t>
      </w:r>
      <w:r>
        <w:rPr>
          <w:rFonts w:ascii="Arial" w:hAnsi="Arial"/>
          <w:b w:val="0"/>
          <w:i w:val="0"/>
          <w:sz w:val="19"/>
        </w:rPr>
        <w:t xml:space="preserve">-Familie am 9. Juli 2026: </w:t>
      </w:r>
      <w:r>
        <w:rPr>
          <w:rFonts w:ascii="Arial" w:hAnsi="Arial"/>
          <w:b w:val="0"/>
          <w:i/>
          <w:sz w:val="19"/>
        </w:rPr>
        <w:t>GPT-5.6 Luna</w:t>
      </w:r>
      <w:r>
        <w:rPr>
          <w:rFonts w:ascii="Arial" w:hAnsi="Arial"/>
          <w:b w:val="0"/>
          <w:i w:val="0"/>
          <w:sz w:val="19"/>
        </w:rPr>
        <w:t xml:space="preserve"> Input 1,00 → 0,20 US-Dollar / Output 6,00 → 1,20 US-Dollar (−80 %), </w:t>
      </w:r>
      <w:r>
        <w:rPr>
          <w:rFonts w:ascii="Arial" w:hAnsi="Arial"/>
          <w:b w:val="0"/>
          <w:i/>
          <w:sz w:val="19"/>
        </w:rPr>
        <w:t>GPT-5.6 Terra</w:t>
      </w:r>
      <w:r>
        <w:rPr>
          <w:rFonts w:ascii="Arial" w:hAnsi="Arial"/>
          <w:b w:val="0"/>
          <w:i w:val="0"/>
          <w:sz w:val="19"/>
        </w:rPr>
        <w:t xml:space="preserve"> Input 2,50 → 2,00 US-Dollar / Output 15,00 → 12,00 US-Dollar (−20 %), </w:t>
      </w:r>
      <w:r>
        <w:rPr>
          <w:rFonts w:ascii="Arial" w:hAnsi="Arial"/>
          <w:b w:val="0"/>
          <w:i/>
          <w:sz w:val="19"/>
        </w:rPr>
        <w:t>GPT-5.6 Sol</w:t>
      </w:r>
      <w:r>
        <w:rPr>
          <w:rFonts w:ascii="Arial" w:hAnsi="Arial"/>
          <w:b w:val="0"/>
          <w:i w:val="0"/>
          <w:sz w:val="19"/>
        </w:rPr>
        <w:t xml:space="preserve"> unverändert bei 5,00 / 30,00 US-Dollar je Million Input- beziehungsweise Output-Token; neues </w:t>
      </w:r>
      <w:r>
        <w:rPr>
          <w:rFonts w:ascii="Arial" w:hAnsi="Arial"/>
          <w:b w:val="0"/>
          <w:i/>
          <w:sz w:val="19"/>
        </w:rPr>
        <w:t>Fast</w:t>
      </w:r>
      <w:r>
        <w:rPr>
          <w:rFonts w:ascii="Arial" w:hAnsi="Arial"/>
          <w:b w:val="0"/>
          <w:i w:val="0"/>
          <w:sz w:val="19"/>
        </w:rPr>
        <w:t xml:space="preserve">-Angebot für </w:t>
      </w:r>
      <w:r>
        <w:rPr>
          <w:rFonts w:ascii="Arial" w:hAnsi="Arial"/>
          <w:b w:val="0"/>
          <w:i/>
          <w:sz w:val="19"/>
        </w:rPr>
        <w:t>Sol</w:t>
      </w:r>
      <w:r>
        <w:rPr>
          <w:rFonts w:ascii="Arial" w:hAnsi="Arial"/>
          <w:b w:val="0"/>
          <w:i w:val="0"/>
          <w:sz w:val="19"/>
        </w:rPr>
        <w:t xml:space="preserve"> im API-Zugriff (2,5-fache Ausführungsgeschwindigkeit bei doppeltem Preis) als Ersatz für die zurückgezogene </w:t>
      </w:r>
      <w:r>
        <w:rPr>
          <w:rFonts w:ascii="Arial" w:hAnsi="Arial"/>
          <w:b w:val="0"/>
          <w:i/>
          <w:sz w:val="19"/>
        </w:rPr>
        <w:t>Priority Processing</w:t>
      </w:r>
      <w:r>
        <w:rPr>
          <w:rFonts w:ascii="Arial" w:hAnsi="Arial"/>
          <w:b w:val="0"/>
          <w:i w:val="0"/>
          <w:sz w:val="19"/>
        </w:rPr>
        <w:t xml:space="preserve">-Option. Von OpenAI genannter Effizienzgrund: rund 20 % Kostenreduktion je Token und über 15 % Steigerung der Token-Effizienz durch modellinterne Optimierungen. Sam-Altman-Zitat auf X: „major price cuts today: 80 % drop for GPT-5.6 Luna, now 0,20 US-Dollar per million input tokens". Wettbewerbskontext: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xml:space="preserve"> durch chinesische Modelle; Preisvergleich </w:t>
      </w:r>
      <w:r>
        <w:rPr>
          <w:rFonts w:ascii="Arial" w:hAnsi="Arial"/>
          <w:b w:val="0"/>
          <w:i/>
          <w:sz w:val="19"/>
        </w:rPr>
        <w:t>DeepSeek V4 Pro</w:t>
      </w:r>
      <w:r>
        <w:rPr>
          <w:rFonts w:ascii="Arial" w:hAnsi="Arial"/>
          <w:b w:val="0"/>
          <w:i w:val="0"/>
          <w:sz w:val="19"/>
        </w:rPr>
        <w:t xml:space="preserve"> 0,435 / 0,87 US-Dollar je Million Token mit 75-Prozent-Rabattaktion, </w:t>
      </w:r>
      <w:r>
        <w:rPr>
          <w:rFonts w:ascii="Arial" w:hAnsi="Arial"/>
          <w:b w:val="0"/>
          <w:i/>
          <w:sz w:val="19"/>
        </w:rPr>
        <w:t>Kimi K3</w:t>
      </w:r>
      <w:r>
        <w:rPr>
          <w:rFonts w:ascii="Arial" w:hAnsi="Arial"/>
          <w:b w:val="0"/>
          <w:i w:val="0"/>
          <w:sz w:val="19"/>
        </w:rPr>
        <w:t xml:space="preserve"> 3 / 15 US-Dollar je Million Token, </w:t>
      </w:r>
      <w:r>
        <w:rPr>
          <w:rFonts w:ascii="Arial" w:hAnsi="Arial"/>
          <w:b w:val="0"/>
          <w:i/>
          <w:sz w:val="19"/>
        </w:rPr>
        <w:t>Anthropic Fable 5</w:t>
      </w:r>
      <w:r>
        <w:rPr>
          <w:rFonts w:ascii="Arial" w:hAnsi="Arial"/>
          <w:b w:val="0"/>
          <w:i w:val="0"/>
          <w:sz w:val="19"/>
        </w:rPr>
        <w:t xml:space="preserve"> 10 / 50 US-Dollar, </w:t>
      </w:r>
      <w:r>
        <w:rPr>
          <w:rFonts w:ascii="Arial" w:hAnsi="Arial"/>
          <w:b w:val="0"/>
          <w:i/>
          <w:sz w:val="19"/>
        </w:rPr>
        <w:t>Anthropic Sonnet 5</w:t>
      </w:r>
      <w:r>
        <w:rPr>
          <w:rFonts w:ascii="Arial" w:hAnsi="Arial"/>
          <w:b w:val="0"/>
          <w:i w:val="0"/>
          <w:sz w:val="19"/>
        </w:rPr>
        <w:t xml:space="preserve"> zunächst 2 / 10 US-Dollar (Einführung), ab 1. September 2026 3 / 15 US-Dollar je Million Token. Aufnahme in § 8.2 als Beleg der fortgesetzten deflationären Preisdynamik in der Modellschicht und der zunehmenden Renten-Diversifizierung über Fast-Access- und Effizienzprämien. https://openai.com/index/advancing-the-price-performance-frontier-with-gpt-5-6/ | https://openai.com/index/gpt-5-6/ | https://venturebeat.com/technology/ai-price-wars-openai-cuts-gpt-5-6-luna-prices-by-80-as-model-competition-shifts-toward-cost | https://www.cnbc.com/2026/07/30/open-ai-price-cut-gpt.html | https://www.axios.com/2026/07/30/openai-cuts-prices-gpt-terra-luna5 | https://finance.yahoo.com/technology/ai/articles/openai-cuts-gpt-5-6-173045044.html | https://finance.yahoo.com/technology/ai/articles/openai-just-cut-gpt-5-013753910.html | https://qz.com/openai-price-cuts-gpt-luna-terra-073026 | https://en.cryptonomist.ch/2026/07/31/openai-gpt-5-6-price-cuts/ | https://www.explainx.ai/blog/openai-gpt-5-6-luna-terra-price-cuts-july-2026 | https://startuptalky.com/news/openai-announces-80-chatgpt-price-cut/ | https://wccftech.com/openai-goes-after-the-jugular-of-chinas-open-weight-ai-models-cuts-token-prices-by-up-to-80/ | https://www.naturalnews.com/2026-07-31-openai-cuts-price-gpt-luna-ai-model.html</w:t>
      </w:r>
    </w:p>
    <w:p>
      <w:pPr>
        <w:jc w:val="both"/>
      </w:pPr>
      <w:r>
        <w:rPr>
          <w:rFonts w:ascii="Arial" w:hAnsi="Arial"/>
          <w:b w:val="0"/>
          <w:i w:val="0"/>
          <w:sz w:val="19"/>
        </w:rPr>
        <w:t xml:space="preserve">Amazon.com Inc. / BusinessWire / CNBC / Yahoo Finance / The Wrap / Investing.com / Blockspace / 24/7 Wall St. / Converge Digest / KuCoin / IndexBox / About Amazon. (30. Juli 2026). </w:t>
      </w:r>
      <w:r>
        <w:rPr>
          <w:rFonts w:ascii="Arial" w:hAnsi="Arial"/>
          <w:b w:val="0"/>
          <w:i/>
          <w:sz w:val="19"/>
        </w:rPr>
        <w:t>Amazon.com Announces Second Quarter Results / Amazon (AMZN) Q2 earnings report 2026 / Amazon Q2 2026 earnings: AWS grows 37 %, revenue tops $200B / Amazon Q2 Profit More Than Triples As Anthropic AI Bet Pays Off Big Time / Amazon Q2 2026 slides: AWS surges 37 %, free cash flow turns negative / Amazon hikes 2026 capex to $220 billion due to higher memory costs / Amazon Boosts CAPEX Plan to $220B Amid AI Capacity Constraints / Amazon Q2 sales rise 20 % as AWS revenue jumps 37 %.</w:t>
      </w:r>
      <w:r>
        <w:rPr>
          <w:rFonts w:ascii="Arial" w:hAnsi="Arial"/>
          <w:b w:val="0"/>
          <w:i w:val="0"/>
          <w:sz w:val="19"/>
        </w:rPr>
        <w:t xml:space="preserve"> Berichterstattung zum am 30. Juli 2026 nach Marktschluss veröffentlichten Amazon-Q2-2026-Ergebnis: Konzernumsatz 200,6 Milliarden US-Dollar (+20 % gegenüber Vorjahr); operatives Ergebnis 27,5 Milliarden US-Dollar (+43 %); Nettogewinn 62,6 Milliarden US-Dollar; verwässertes Ergebnis je Aktie 5,75 US-Dollar (Konsens-Erwartung 1,81 US-Dollar); </w:t>
      </w:r>
      <w:r>
        <w:rPr>
          <w:rFonts w:ascii="Arial" w:hAnsi="Arial"/>
          <w:b w:val="0"/>
          <w:i/>
          <w:sz w:val="19"/>
        </w:rPr>
        <w:t>AWS</w:t>
      </w:r>
      <w:r>
        <w:rPr>
          <w:rFonts w:ascii="Arial" w:hAnsi="Arial"/>
          <w:b w:val="0"/>
          <w:i w:val="0"/>
          <w:sz w:val="19"/>
        </w:rPr>
        <w:t xml:space="preserve">-Umsatz 42,2 Milliarden US-Dollar (+37 %; nach Konzernangaben stärkstes AWS-Quartalswachstum seit achtzehn Quartalen); </w:t>
      </w:r>
      <w:r>
        <w:rPr>
          <w:rFonts w:ascii="Arial" w:hAnsi="Arial"/>
          <w:b w:val="0"/>
          <w:i/>
          <w:sz w:val="19"/>
        </w:rPr>
        <w:t>AWS</w:t>
      </w:r>
      <w:r>
        <w:rPr>
          <w:rFonts w:ascii="Arial" w:hAnsi="Arial"/>
          <w:b w:val="0"/>
          <w:i w:val="0"/>
          <w:sz w:val="19"/>
        </w:rPr>
        <w:t xml:space="preserve">-operatives Ergebnis 16,6 Milliarden US-Dollar (Vorjahresquartal 10,2 Milliarden US-Dollar; +63 %); </w:t>
      </w:r>
      <w:r>
        <w:rPr>
          <w:rFonts w:ascii="Arial" w:hAnsi="Arial"/>
          <w:b w:val="0"/>
          <w:i/>
          <w:sz w:val="19"/>
        </w:rPr>
        <w:t>AWS</w:t>
      </w:r>
      <w:r>
        <w:rPr>
          <w:rFonts w:ascii="Arial" w:hAnsi="Arial"/>
          <w:b w:val="0"/>
          <w:i w:val="0"/>
          <w:sz w:val="19"/>
        </w:rPr>
        <w:t xml:space="preserve">-operative Marge 39,4 %; </w:t>
      </w:r>
      <w:r>
        <w:rPr>
          <w:rFonts w:ascii="Arial" w:hAnsi="Arial"/>
          <w:b w:val="0"/>
          <w:i/>
          <w:sz w:val="19"/>
        </w:rPr>
        <w:t>North America</w:t>
      </w:r>
      <w:r>
        <w:rPr>
          <w:rFonts w:ascii="Arial" w:hAnsi="Arial"/>
          <w:b w:val="0"/>
          <w:i w:val="0"/>
          <w:sz w:val="19"/>
        </w:rPr>
        <w:t xml:space="preserve"> 116,2 Milliarden US-Dollar (+16 %); </w:t>
      </w:r>
      <w:r>
        <w:rPr>
          <w:rFonts w:ascii="Arial" w:hAnsi="Arial"/>
          <w:b w:val="0"/>
          <w:i/>
          <w:sz w:val="19"/>
        </w:rPr>
        <w:t>International</w:t>
      </w:r>
      <w:r>
        <w:rPr>
          <w:rFonts w:ascii="Arial" w:hAnsi="Arial"/>
          <w:b w:val="0"/>
          <w:i w:val="0"/>
          <w:sz w:val="19"/>
        </w:rPr>
        <w:t xml:space="preserve"> 42,2 Milliarden US-Dollar (+15 %); </w:t>
      </w:r>
      <w:r>
        <w:rPr>
          <w:rFonts w:ascii="Arial" w:hAnsi="Arial"/>
          <w:b w:val="0"/>
          <w:i/>
          <w:sz w:val="19"/>
        </w:rPr>
        <w:t>AWS-AI</w:t>
      </w:r>
      <w:r>
        <w:rPr>
          <w:rFonts w:ascii="Arial" w:hAnsi="Arial"/>
          <w:b w:val="0"/>
          <w:i w:val="0"/>
          <w:sz w:val="19"/>
        </w:rPr>
        <w:t xml:space="preserve">-Geschäft annualisierter Run-Rate &gt; 25 Milliarden US-Dollar bei dreistelligem Wachstum;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ebenfalls annualisierter Run-Rate &gt; 25 Milliarden US-Dollar; </w:t>
      </w:r>
      <w:r>
        <w:rPr>
          <w:rFonts w:ascii="Arial" w:hAnsi="Arial"/>
          <w:b w:val="0"/>
          <w:i/>
          <w:sz w:val="19"/>
        </w:rPr>
        <w:t>Remaining Performance Obligation</w:t>
      </w:r>
      <w:r>
        <w:rPr>
          <w:rFonts w:ascii="Arial" w:hAnsi="Arial"/>
          <w:b w:val="0"/>
          <w:i w:val="0"/>
          <w:sz w:val="19"/>
        </w:rPr>
        <w:t xml:space="preserve"> 496 Milliarden US-Dollar; 2026-Full-Year-Capex-Guidance von rund 200 auf rund 220 Milliarden US-Dollar angehoben (überwiegend mit gestiegenen Speicherpreisen begründet); Bruttoinvestition in </w:t>
      </w:r>
      <w:r>
        <w:rPr>
          <w:rFonts w:ascii="Arial" w:hAnsi="Arial"/>
          <w:b w:val="0"/>
          <w:i/>
          <w:sz w:val="19"/>
        </w:rPr>
        <w:t>property and equipment</w:t>
      </w:r>
      <w:r>
        <w:rPr>
          <w:rFonts w:ascii="Arial" w:hAnsi="Arial"/>
          <w:b w:val="0"/>
          <w:i w:val="0"/>
          <w:sz w:val="19"/>
        </w:rPr>
        <w:t xml:space="preserve"> über zwölf Monate +66,1 Milliarden US-Dollar; freier Cashflow auf Zwölfmonatsbasis −7,6 Milliarden US-Dollar; Q3-2026-Umsatzguidance 197,0 bis 202,0 Milliarden US-Dollar (+9 bis 12 %); Q3-Operating-Income-Guidance 22,5 bis 26,5 Milliarden US-Dollar; CEO-Andy-Jassy-Statement „AWS is booming, growing 36.7 % year-over-year in Q2 — our fastest growth in 18 quarters" und Konjunktiv-Positionierung „even at that amount, we will still not have enough capacity to meet all the demand we have in 2026, and I believe this dynamic will also be true in 2027 too" (Konjunktiv nach § 4.2 Claude.md); Ankündigung einer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Aufnahme in § 1.1 als Cluster-F-/-I-Beleg des Abschlusses des Hyperscaler-Q2-2026-Zyklus (Microsoft, Alphabet, Meta, Amazon) mit stabilisierter Aggregat-Capex-Größenordnung fest jenseits von 700 Milliarden US-Dollar und Rückwirkung auf § 3.5, § 5.1, § 8.2 und § 8.3. https://www.businesswire.com/news/home/20260729379483/en/Amazon.com-Announces-Second-Quarter-Results | https://www.aboutamazon.com/news/company-news/amazon-earnings-q2-2026-report | https://www.cnbc.com/2026/07/30/amazon-amzn-q2-earnings-report-2026.html | https://finance.yahoo.com/markets/stocks/articles/amazon-q2-2026-earnings-aws-204411872.html | https://www.thewrap.com/industry-news/business/amazon-earnings-q2-2026/ | https://in.investing.com/news/company-news/amazon-q2-2026-slides-aws-surges-37-free-cash-flow-turns-negative-93CH-5526283 | https://blockspace.media/insight/amazon-q2-earnings-aws-revenue-ai-2026/ | https://247wallst.com/cards/amazon-q2-2026-earnings-amzn-01kytacvmy2zvx8w975smptfk7 | https://convergedigest.com/amazon-boosts-capex-plan-to-220b-amid-ai-capacity-constraints/</w:t>
      </w:r>
    </w:p>
    <w:p>
      <w:pPr>
        <w:jc w:val="both"/>
      </w:pPr>
      <w:r>
        <w:rPr>
          <w:rFonts w:ascii="Arial" w:hAnsi="Arial"/>
          <w:b w:val="0"/>
          <w:i w:val="0"/>
          <w:sz w:val="19"/>
        </w:rPr>
        <w:t xml:space="preserve">Microsoft Corporation / CNBC / StockTitan / GuruFocus / Office 365 IT Pros / TradingKey / 24/7 Wall St. / IndMoney. (29. Juli 2026). </w:t>
      </w:r>
      <w:r>
        <w:rPr>
          <w:rFonts w:ascii="Arial" w:hAnsi="Arial"/>
          <w:b w:val="0"/>
          <w:i/>
          <w:sz w:val="19"/>
        </w:rPr>
        <w:t>Microsoft Reports Strong Q4 Earnings, Driven by Azure Growth (MSFT) / FY26 Q4 Microsoft Results Sees Azure Top $100 Billion / Microsoft FY2026 Q4 Earnings Release Available / Microsoft (MSFT) Q4 earnings report 2026 / Live: Microsoft Reports Q4 Earnings Tonight — Will Its Massive AI Capex Finally Pay Off?</w:t>
      </w:r>
      <w:r>
        <w:rPr>
          <w:rFonts w:ascii="Arial" w:hAnsi="Arial"/>
          <w:b w:val="0"/>
          <w:i w:val="0"/>
          <w:sz w:val="19"/>
        </w:rPr>
        <w:t xml:space="preserve"> Berichterstattung zum am 29. Juli 2026 nach Marktschluss veröffentlichten Microsoft-Q4-FY2026-Ergebnis: Umsatz 90,0 Milliarden US-Dollar (+18 % gegenüber Vorjahr; +17 % zu konstanten Wechselkursen); FY2026-Gesamtumsatz 331,8 Milliarden US-Dollar (+18 %; +16 % zu konstanten Wechselkursen); Q4-GAAP-Ergebnis je Aktie 4,81 US-Dollar (+32 %), Non-GAAP 4,74 US-Dollar (+23 %); FY2026-GAAP-Ergebnis je Aktie 17,95 US-Dollar (+32 %); Q4-Nettogewinn 35,8 Milliarden US-Dollar (+31 %); </w:t>
      </w:r>
      <w:r>
        <w:rPr>
          <w:rFonts w:ascii="Arial" w:hAnsi="Arial"/>
          <w:b w:val="0"/>
          <w:i/>
          <w:sz w:val="19"/>
        </w:rPr>
        <w:t>Microsoft-Cloud</w:t>
      </w:r>
      <w:r>
        <w:rPr>
          <w:rFonts w:ascii="Arial" w:hAnsi="Arial"/>
          <w:b w:val="0"/>
          <w:i w:val="0"/>
          <w:sz w:val="19"/>
        </w:rPr>
        <w:t xml:space="preserve">-Umsatz 59,3 Milliarden US-Dollar (+27 %); </w:t>
      </w:r>
      <w:r>
        <w:rPr>
          <w:rFonts w:ascii="Arial" w:hAnsi="Arial"/>
          <w:b w:val="0"/>
          <w:i/>
          <w:sz w:val="19"/>
        </w:rPr>
        <w:t>Azure</w:t>
      </w:r>
      <w:r>
        <w:rPr>
          <w:rFonts w:ascii="Arial" w:hAnsi="Arial"/>
          <w:b w:val="0"/>
          <w:i w:val="0"/>
          <w:sz w:val="19"/>
        </w:rPr>
        <w:t xml:space="preserve">-Segmentwachstum +43 % im Quartal und Fiskaljahres-Azure-Umsatz erstmals über 100 Milliarden US-Dollar (+41 %); </w:t>
      </w:r>
      <w:r>
        <w:rPr>
          <w:rFonts w:ascii="Arial" w:hAnsi="Arial"/>
          <w:b w:val="0"/>
          <w:i/>
          <w:sz w:val="19"/>
        </w:rPr>
        <w:t>Commercial Remaining Performance Obligation</w:t>
      </w:r>
      <w:r>
        <w:rPr>
          <w:rFonts w:ascii="Arial" w:hAnsi="Arial"/>
          <w:b w:val="0"/>
          <w:i w:val="0"/>
          <w:sz w:val="19"/>
        </w:rPr>
        <w:t xml:space="preserve"> 678 Milliarden US-Dollar (+84 %); </w:t>
      </w:r>
      <w:r>
        <w:rPr>
          <w:rFonts w:ascii="Arial" w:hAnsi="Arial"/>
          <w:b w:val="0"/>
          <w:i/>
          <w:sz w:val="19"/>
        </w:rPr>
        <w:t>Microsoft 365 Copilot</w:t>
      </w:r>
      <w:r>
        <w:rPr>
          <w:rFonts w:ascii="Arial" w:hAnsi="Arial"/>
          <w:b w:val="0"/>
          <w:i w:val="0"/>
          <w:sz w:val="19"/>
        </w:rPr>
        <w:t xml:space="preserve"> über 30 Millionen zahlungspflichtige Sitze; Q4-Aktionärsrückführung 10,2 Milliarden US-Dollar über Dividenden und Aktienrückkäufe; FY2026-Capex 115,9 Milliarden US-Dollar (Vorjahr 64,6 Milliarden US-Dollar; +79 %); Konzernangaben zur Q1-FY2027-Azure-Wachstumsrate rund 45 % zu konstanten Wechselkursen (Konjunktiv nach § 4.2 Claude.md). Aufnahme in § 1.1 als Cluster-F-/-I-Beleg der Fortsetzung des Capex-Aufbaus bei zugleich beschleunigtem Cloud-Umsatzwachstum ohne Margenverlust mit Rückwirkung auf § 8.2 (Frontier-Modell und Capex-Ökonomie) und § 8.3 (Anknüpfung an Maschinenkapital und Wertschöpfung). https://www.microsoft.com/en-us/investor/earnings/fy-2026-q4/press-release-webcast | https://www.cnbc.com/2026/07/29/microsoft-msft-q4-earnings-report-2026.html | https://www.stocktitan.net/news/MSFT/microsoft-earnings-press-release-available-on-investor-relations-mudq0yxh92n9.html | https://www.gurufocus.com/news/8988130/microsoft-reports-strong-q4-earnings-driven-by-azure-growth-msft | https://office365itpros.com/2026/07/30/fy26-q4-microsoft-results/ | https://247wallst.com/investing/2026/07/29/live-microsoft-reports-q4-earnings-tonight-will-its-massive-ai-capex-finally-pay-off/</w:t>
      </w:r>
    </w:p>
    <w:p>
      <w:pPr>
        <w:jc w:val="both"/>
      </w:pPr>
      <w:r>
        <w:rPr>
          <w:rFonts w:ascii="Arial" w:hAnsi="Arial"/>
          <w:b w:val="0"/>
          <w:i w:val="0"/>
          <w:sz w:val="19"/>
        </w:rPr>
        <w:t xml:space="preserve">Meta Platforms Inc. / CNBC / StockTitan / Invezz / Investing.com / TechTimes / Variety / Seeking Alpha / IndMoney. (29. Juli 2026). </w:t>
      </w:r>
      <w:r>
        <w:rPr>
          <w:rFonts w:ascii="Arial" w:hAnsi="Arial"/>
          <w:b w:val="0"/>
          <w:i/>
          <w:sz w:val="19"/>
        </w:rPr>
        <w:t>Meta Reports Second Quarter 2026 Results / Meta's stock drops on disappointing guidance, dwindling free cash flow / Meta Q2 Beats Revenue While Legal Charges and AI Spending Destroy Free Cash Flow / Meta Q2 2026 slides: revenue surges 28 % as AI spending pressures profits / Meta Platforms raises lower end of capex range, sees increased legal expenses in FY26 / Meta Q2 2026 Earnings: $2.4B Legal Charge, Revenue Up 28 % to Over $60B.</w:t>
      </w:r>
      <w:r>
        <w:rPr>
          <w:rFonts w:ascii="Arial" w:hAnsi="Arial"/>
          <w:b w:val="0"/>
          <w:i w:val="0"/>
          <w:sz w:val="19"/>
        </w:rPr>
        <w:t xml:space="preserve"> Berichterstattung zum am 29. Juli 2026 nach Marktschluss veröffentlichten Meta-Q2-2026-Ergebnis: Umsatz 60,8 Milliarden US-Dollar (+28 % gegenüber Vorjahr); Werbeumsatz 59,4 Milliarden US-Dollar (+27 %; Ad-Impressions +14 %, durchschnittlicher Anzeigenpreis +12 %); Nettogewinn 15,85 Milliarden US-Dollar (−14 %); verwässertes Ergebnis je Aktie 6,18 US-Dollar (−13 %; unterhalb der Analystenerwartung); operative Marge 31 % (Q2 2025: 43 %); operatives Ergebnis 18,8 Milliarden US-Dollar (−8 %); Gesamtaufwendungen 42,0 Milliarden US-Dollar (+55 %), darunter rund 2,40 Milliarden US-Dollar Rechtsstreitigkeitsrückstellungen und rund 1,18 Milliarden US-Dollar Abfindungsaufwand aus der im Vorlauf dokumentierten konzernweiten 8.000-Stellen-Restrukturierung; freier Cashflow 784 Millionen US-Dollar (Q2 2025: 8,55 Milliarden US-Dollar; −91 %); Q2-Kapitalausgaben 31,08 Milliarden US-Dollar; 2026-Full-Year-Capex-Guidance eingegrenzt auf 130 bis 145 Milliarden US-Dollar (unteres Ende von 115 Milliarden US-Dollar angehoben, oberes Ende unverändert); Q3-2026-Umsatzguidance 61 bis 64 Milliarden US-Dollar (unterhalb der Konsens-Erwartung von rund 63,2 Milliarden US-Dollar); Full-Year-Aufwandsguidance 165 bis 169 Milliarden US-Dollar; </w:t>
      </w:r>
      <w:r>
        <w:rPr>
          <w:rFonts w:ascii="Arial" w:hAnsi="Arial"/>
          <w:b w:val="0"/>
          <w:i/>
          <w:sz w:val="19"/>
        </w:rPr>
        <w:t>Family-Daily-Active-People</w:t>
      </w:r>
      <w:r>
        <w:rPr>
          <w:rFonts w:ascii="Arial" w:hAnsi="Arial"/>
          <w:b w:val="0"/>
          <w:i w:val="0"/>
          <w:sz w:val="19"/>
        </w:rPr>
        <w:t xml:space="preserve"> 3,60 Milliarden im Juni 2026 (+3 %); CFO-Susan-Li-Statement zu makroökonomischer Unsicherheit im internationalen Werbemarkt und potenziellen Fremdwährungs­gegenwinden (Konjunktiv nach § 4.2 Claude.md); nachbörslicher Kursrückgang rund 9,6 %. Aufnahme in § 1.1 als Cluster-F-/-I-Beleg der erstmals sichtbaren Margen- und Cashflow-Spannung des Capex-Ausbaus auf Konzernebene mit Rückwirkung auf § 3.5, § 8.2 und § 8.3. https://www.stocktitan.net/news/META/meta-reports-second-quarter-2026-hkjfhayj8l0v.html | https://www.cnbc.com/2026/07/29/meta-q2-earnings-report-2026.html | https://invezz.com/news/2026/07/29/meta-stock-sinks-as-q2-earnings-disappoint-on-multiple-fronts/ | https://www.investing.com/news/company-news/meta-q2-2026-slides-revenue-surges-28-as-ai-spending-pressures-profits-93CH-4821966 | https://www.techtimes.com/articles/322139/20260729/meta-q2-beats-revenue-while-legal-charges-ai-spending-destroy-free-cash-flow.htm | https://variety.com/2026/digital/news/meta-q2-2026-earnings-results-legal-proceedings-charge-1236823577/ | https://seekingalpha.com/news/4620908-meta-platforms-raises-lower-end-of-capex-range-sees-increased-legal-expenses-in-fy26 | https://www.investing.com/news/transcripts/earnings-call-transcript-meta-misses-eps-in-q2-2026-as-stock-sinks-after-hours-93CH-4821910</w:t>
      </w:r>
    </w:p>
    <w:p>
      <w:pPr>
        <w:jc w:val="both"/>
      </w:pPr>
      <w:r>
        <w:rPr>
          <w:rFonts w:ascii="Arial" w:hAnsi="Arial"/>
          <w:b w:val="0"/>
          <w:i w:val="0"/>
          <w:sz w:val="19"/>
        </w:rPr>
        <w:t xml:space="preserve">Bloomberg / CNBC / American Banker / Yahoo Finance / Tech Startups / TechTimes / Reuters / HNGN. (28. Juli 2026). </w:t>
      </w:r>
      <w:r>
        <w:rPr>
          <w:rFonts w:ascii="Arial" w:hAnsi="Arial"/>
          <w:b w:val="0"/>
          <w:i/>
          <w:sz w:val="19"/>
        </w:rPr>
        <w:t>Visa layoffs 2026: company cutting 7 % of workforce / Visa is cutting 7 % of employees in efficiency push as AI reshapes work / Visa layoffs will cut 7 % of its workforce / Visa to lay off 7 % of workforce, cutting 2 600 jobs as payments giant restructures amid AI-driven efficiency push / Visa Cuts 2 600 Tech Jobs as AI Automates Payments Network Engineering / Visa To Cut 7 % Of Workforce, About 2 600 Jobs, As CEO Seeks Leaner Payments Firm.</w:t>
      </w:r>
      <w:r>
        <w:rPr>
          <w:rFonts w:ascii="Arial" w:hAnsi="Arial"/>
          <w:b w:val="0"/>
          <w:i w:val="0"/>
          <w:sz w:val="19"/>
        </w:rPr>
        <w:t xml:space="preserve"> Berichterstattung zur zum 28. Juli 2026 parallel zur Quartals-Berichterstattung angekündigten Personalreduktion von rund 2.600 Beschäftigten (etwa 7 % der zum Fiskaljahresende gemeldeten globalen Belegschaft von rund 34.100), überwiegend in Technology- und Product-Organisationen; Abfindungsaufwand 563 Millionen US-Dollar; wörtliches CEO-Zitat Ryan McInerney („AI is also helping to accelerate this evolution and shape the way work gets done at Visa") mit ausdrücklicher Positionierung von KI als „beitragender Faktor, aber nicht einzige Ursache"; Umorganisation der Produktentwicklungs-Teams von je zehn auf zwei bis vier Beschäftigte bei rund 65 % beschleunigter Feature-Entwicklung; strategische Reinvestition in Consumer-Payments, Commercial- und Money-Movement-Lösungen sowie Value-Added-Services (Stablecoin, Cross-Border); Vergleichspunkt: Mastercard-Reduktion um 4 % im Vorlauf 2026; Aktienanstieg im vorbörslichen Handel rund 2,1 %. Aufnahme in § 1.1 als mittlere Selbstpositionierung („contributing factor, but not the only cause")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mit Rückwirkung auf § 9.1 (Kausalattributions­problematik einer engen Typ-5-Ersatzabgabe erweitert um vierte Positionierungs-Variante). https://finance.yahoo.com/markets/stocks/articles/visa-layoffs-2026-company-cutting-132330377.html | https://www.cnbc.com/2026/07/28/visa-is-cutting-7percent-of-employees-in-efficiency-push-as-ai-reshapes-work.html | https://www.americanbanker.com/payments/news/visa-layoffs-will-cut-7-of-its-workforce | https://techstartups.com/2026/07/28/visa-to-lay-off-7-of-workforce-cutting-2600-jobs-as-payments-giant-restructures-amid-ai-driven-efficiency-push/ | https://www.hngn.com/articles/272407/20260728/visa-cut-7-workforce-about-2600-jobs-ceo-seeks-leaner-payments-firm.htm</w:t>
      </w:r>
    </w:p>
    <w:p>
      <w:pPr>
        <w:jc w:val="both"/>
      </w:pPr>
      <w:r>
        <w:rPr>
          <w:rFonts w:ascii="Arial" w:hAnsi="Arial"/>
          <w:b w:val="0"/>
          <w:i w:val="0"/>
          <w:sz w:val="19"/>
        </w:rPr>
        <w:t xml:space="preserve">The Decoder / Business Insider / Neowin / 24/7 Wall St. / PYMNTS / TrendingTopics / The Next Web / Spokesman / MediaPost. (28. Juli 2026). </w:t>
      </w:r>
      <w:r>
        <w:rPr>
          <w:rFonts w:ascii="Arial" w:hAnsi="Arial"/>
          <w:b w:val="0"/>
          <w:i/>
          <w:sz w:val="19"/>
        </w:rPr>
        <w:t>Amazon reportedly scales back its Nova AI models and bets on a new Frontier research team / Amazon winds down most flagship AI models in strategy overhaul / Amazon reportedly winds down most Nova models in major AGI strategy overhaul / Amazon Is Killing Most of Nova — Is Its $200 Billion AI Bet Still Alive? / Amazon Mounts AI Reorganization Following Layoffs / Amazon Scales Back Its Own AI Models to Focus on Infra, OpenAI and Anthropic / Amazon shuts its AGI Lab in fresh AI layoffs / Amazon Phases Out Some AI Models, Advances Others.</w:t>
      </w:r>
      <w:r>
        <w:rPr>
          <w:rFonts w:ascii="Arial" w:hAnsi="Arial"/>
          <w:b w:val="0"/>
          <w:i w:val="0"/>
          <w:sz w:val="19"/>
        </w:rPr>
        <w:t xml:space="preserve"> Berichterstattung zur am 28. Juli 2026 bekannt gewordenen Amazon-AGI-Restrukturierung: Schließung des 2024 nach weitgehender Adept-Übernahme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Fortsetzung von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Ressourcen-Konzentration auf eine neu formierte Frontier-Modell-Forschungsgruppe unter Pieter Abbeel (Covariant-Übernahme), aus der ein neues Foundation-Modell zur Herbst-Konferenz </w:t>
      </w:r>
      <w:r>
        <w:rPr>
          <w:rFonts w:ascii="Arial" w:hAnsi="Arial"/>
          <w:b w:val="0"/>
          <w:i/>
          <w:sz w:val="19"/>
        </w:rPr>
        <w:t>re:Invent 2026</w:t>
      </w:r>
      <w:r>
        <w:rPr>
          <w:rFonts w:ascii="Arial" w:hAnsi="Arial"/>
          <w:b w:val="0"/>
          <w:i w:val="0"/>
          <w:sz w:val="19"/>
        </w:rPr>
        <w:t xml:space="preserve"> erwartet wird; Amazon-Statement „AI models remain one of Amazon's most important projects"; Fortsetzung der bereits am 22. Juli 2026 dokumentierten AGI-Stellenreduktion.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Deployment-Priorisierung gegenüber der Basismodell-Konkurrenz zu OpenAI und Anthropic offenlegt). https://the-decoder.com/amazon-reportedly-scales-back-its-nova-ai-models-and-bets-on-a-new-frontier-research-team/ | https://www.pymnts.com/amazon/2026/amazon-mounts-ai-reorganization-following-layoffs/ | https://www.neowin.net/news/amazon-reportedly-winds-down-most-nova-models-in-major-agi-strategy-overhaul/ | https://247wallst.com/investing/2026/07/28/amazon-is-killing-most-of-nova-is-its-200-billion-ai-bet-still-alive/ | https://thenextweb.com/news/amazon-shuts-agi-lab-frontier-model-retreat-layoffs | https://www.trendingtopics.eu/amazon-scales-back-its-own-ai-models-to-focus-on-infra-openai-and-anthropic/ | https://www.spokesman.com/stories/2026/jul/28/amazon-winds-down-most-flagship-ai-models-in-strat/ | https://www.mediapost.com/publications/article/416869/</w:t>
      </w:r>
    </w:p>
    <w:p>
      <w:pPr>
        <w:jc w:val="both"/>
      </w:pPr>
      <w:r>
        <w:rPr>
          <w:rFonts w:ascii="Arial" w:hAnsi="Arial"/>
          <w:b w:val="0"/>
          <w:i w:val="0"/>
          <w:sz w:val="19"/>
        </w:rPr>
        <w:t xml:space="preserve">TechCrunch / hothardware / Yahoo Finance / Publishers Weekly / TechTimes / Benzinga / Claims Journal. (20./21. Juli 2026). </w:t>
      </w:r>
      <w:r>
        <w:rPr>
          <w:rFonts w:ascii="Arial" w:hAnsi="Arial"/>
          <w:b w:val="0"/>
          <w:i/>
          <w:sz w:val="19"/>
        </w:rPr>
        <w:t>Anthropic's landmark $1.5B copyright settlement is approved / Judge Approves Historic $1.5 Billion Anthropic AI Copyright Settlement / US judge approves Anthropic's $1.5 billion settlement of copyright lawsuit / Judge Gives Final Approval of $1.5 Billion Anthropic Settlement / Anthropic Copyright Settlement Gets Final Approval: $3,000 Per Book, No Binding Precedent / Anthropic Secures Final Approval for $1.5 Billion AI Copyright Settlement Despite Authors' Objections / Judge Approves Anthropic's $1.5B Settlement of Copyright Lawsuit.</w:t>
      </w:r>
      <w:r>
        <w:rPr>
          <w:rFonts w:ascii="Arial" w:hAnsi="Arial"/>
          <w:b w:val="0"/>
          <w:i w:val="0"/>
          <w:sz w:val="19"/>
        </w:rPr>
        <w:t xml:space="preserve"> Berichterstattung zur endgültigen Genehmigung des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US District Court for the Northern District of California) ausgehandelten 1,5-Milliarden-Dollar-Vergleichs durch US-Bezirksrichterin Araceli Martinez-Olguin am 20. Juli 2026 (Nachfolge des in den Ruhestand gegangenen Richters William Alsup): rund 500.000 Werke, rund 3.000 US-Dollar pro Werk; größter Copyright-Vergleich in der US-Rechtsgeschichte; keine rechtsbindende Präzedenzwirkung. Alsup hatte im Vorlauf entschieden, dass das Training auf legal erworbenen urheberrechtlich geschützten Texten unter die US-Fair-Use-Doktrin fällt, während das systematische Herunterladen und Speichern von über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Martinez-Olguin überstimmte Einwendungen einzelner Klägerinnen und Kläger zur Zahlungshöhe. Signal an weitere anhängige Verfahren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erster großmaßstäblicher monetärer Referenzwert für die Trainingsdaten-Ebene der KI-Wertschöpfungskette. Aufnahme in § 8.2 mit Rückwirkung auf § 8.3. https://techcrunch.com/2026/07/20/anthropics-landmark-1-5b-copyright-settlement-is-approved/ | https://hothardware.com/news/judge-approves-historic-15-billion-anthropic-ai-copyright-settlement | https://finance.yahoo.com/technology/ai/articles/us-judge-approves-anthropics-1-204851948.html | https://www.publishersweekly.com/pw/by-topic/digital/copyright/article/100888-judge-gives-final-approval-in-1-5-billion-settlement-in-anthropic-copyright-case.html | https://www.techtimes.com/articles/321156/20260721/anthropic-copyright-settlement-gets-final-approval-3000-per-book-no-binding-precedent.htm | https://www.benzinga.com/news/legal/26/07/60569679/anthropic-secures-final-approval-for-1-5-billion-ai-copyright-settlement-despite-authors-objections | https://www.claimsjournal.com/news/national/2026/07/21/338959.htm</w:t>
      </w:r>
    </w:p>
    <w:p>
      <w:pPr>
        <w:jc w:val="both"/>
      </w:pPr>
      <w:r>
        <w:rPr>
          <w:rFonts w:ascii="Arial" w:hAnsi="Arial"/>
          <w:b w:val="0"/>
          <w:i w:val="0"/>
          <w:sz w:val="19"/>
        </w:rPr>
        <w:t xml:space="preserve">SkillSyncer. (Stand 22. Juli 2026). </w:t>
      </w:r>
      <w:r>
        <w:rPr>
          <w:rFonts w:ascii="Arial" w:hAnsi="Arial"/>
          <w:b w:val="0"/>
          <w:i/>
          <w:sz w:val="19"/>
        </w:rPr>
        <w:t>2026 Tech Layoffs Tracker — 322 Events, 205.832 Workers, 173 AI-attributed (~54 %).</w:t>
      </w:r>
      <w:r>
        <w:rPr>
          <w:rFonts w:ascii="Arial" w:hAnsi="Arial"/>
          <w:b w:val="0"/>
          <w:i w:val="0"/>
          <w:sz w:val="19"/>
        </w:rPr>
        <w:t xml:space="preserve"> Aktualisierter Trackerstand: 322 Layoff-Ereignisse mit 205.832 betroffenen Beschäftigten (rund 1.014 Stellen pro Tag); 173 KI-attribuierte Einzelereignisse mit rund 170.945 betroffenen Beschäftigten (etwa 54 % der Ereignisse und rund 83 % der Betroffenen). Fortschreibung des 19.-Juli-2026-Stands (302/201.754/164/168.770) um +20 Ereignisse (+6,6 %), +4.078 Betroffene (+2,0 %), +9 KI-attribuierte Ereignisse (+5,5 %) und +2.175 KI-attribuierte Betroffene (+1,3 %); die Aggregat-KI-Kausalquote bleibt stabil bei 54 %. Aufnahme in § 1.1 als Aggregat-Beleg der weiterhin gleichmäßigen Tech-Restrukturierung und Präzisierung der KI-Kausalquote (§ 9.1). Der Trackerstand vom 23. Juli 2026 ist unverändert gegenüber dem 22.-Juli-Stand (322/205.832/173/170.945); die Aggregat-KI-Kausalquote bleibt bei 54 %. https://skillsyncer.com/layoffs-tracker</w:t>
      </w:r>
    </w:p>
    <w:p>
      <w:pPr>
        <w:jc w:val="both"/>
      </w:pPr>
      <w:r>
        <w:rPr>
          <w:rFonts w:ascii="Arial" w:hAnsi="Arial"/>
          <w:b w:val="0"/>
          <w:i w:val="0"/>
          <w:sz w:val="19"/>
        </w:rPr>
        <w:t xml:space="preserve">GeekWire / KUOW / Fox Business / Fox13 Seattle / Business Insider / Outlook Business / OpenTools / People Matters / NewsX. (22. Juli 2026). </w:t>
      </w:r>
      <w:r>
        <w:rPr>
          <w:rFonts w:ascii="Arial" w:hAnsi="Arial"/>
          <w:b w:val="0"/>
          <w:i/>
          <w:sz w:val="19"/>
        </w:rPr>
        <w:t>Meta cuts nearly 1,400 jobs in Washington state, 20% of local workforce, in sweeping AI revamp / Meta layoffs affect nearly 1,400 Washington state workers / Meta lays off nearly 1,400 Washington employees in latest tech workforce cut.</w:t>
      </w:r>
      <w:r>
        <w:rPr>
          <w:rFonts w:ascii="Arial" w:hAnsi="Arial"/>
          <w:b w:val="0"/>
          <w:i w:val="0"/>
          <w:sz w:val="19"/>
        </w:rPr>
        <w:t xml:space="preserve"> Berichterstattung zur zum 22. Juli 2026 wirksam werdenden Meta-Entlassungswelle im US-Bundesstaat Washington: 1.395 Beschäftigte (699 in Bellevue, 259 in Seattle über zwei Büros, 206 in Redmond, 231 Remote), Ankündigungsmail an die Belegschaft 20. Mai 2026, Abfindungspaket 16 Wochen Grundvergütung plus zwei Wochen pro Dienstjahr; Teil der konzernweiten 8.000-Stellen-AI-Restrukturierung bei einer globalen März-2026-Belegschaft von knapp 78.000. Aufnahme in § 1.1 als Cluster-F-Beleg der weiterlaufenden AI-Restrukturierungswelle mit expliziter Umschichtung „hin zu geschäftskritischen Prioritäten". https://www.geekwire.com/2026/meta-cuts-nearly-1400-jobs-in-washington-state-20-of-local-workforce-in-sweeping-ai-revamp/ | https://www.kuow.org/stories/meta-layoffs-affect-nearly-1-400-washington-state-workers | https://www.foxbusiness.com/technology/meta-lays-off-nearly-1400-washington-employees-latest-tech-workforce-cut</w:t>
      </w:r>
    </w:p>
    <w:p>
      <w:pPr>
        <w:jc w:val="both"/>
      </w:pPr>
      <w:r>
        <w:rPr>
          <w:rFonts w:ascii="Arial" w:hAnsi="Arial"/>
          <w:b w:val="0"/>
          <w:i w:val="0"/>
          <w:sz w:val="19"/>
        </w:rPr>
        <w:t xml:space="preserve">CNBC / Yahoo Finance / American Bazaar / GeekWire / Startup Fortune / Quartz / Insider Finance. (22. Juli 2026). </w:t>
      </w:r>
      <w:r>
        <w:rPr>
          <w:rFonts w:ascii="Arial" w:hAnsi="Arial"/>
          <w:b w:val="0"/>
          <w:i/>
          <w:sz w:val="19"/>
        </w:rPr>
        <w:t>Amazon lays off some employees in its AGI unit / Amazon fires its AGI researchers and bets a billion dollars on deployment instead / Amazon cuts jobs in AGI group as it puts more focus on customer-facing AI.</w:t>
      </w:r>
      <w:r>
        <w:rPr>
          <w:rFonts w:ascii="Arial" w:hAnsi="Arial"/>
          <w:b w:val="0"/>
          <w:i w:val="0"/>
          <w:sz w:val="19"/>
        </w:rPr>
        <w:t xml:space="preserve"> Berichterstattung zur ohne Personenanzahl kommunizierten Entlassungswelle in der </w:t>
      </w:r>
      <w:r>
        <w:rPr>
          <w:rFonts w:ascii="Arial" w:hAnsi="Arial"/>
          <w:b w:val="0"/>
          <w:i/>
          <w:sz w:val="19"/>
        </w:rPr>
        <w:t>Amazon-Artificial-General-Intelligence</w:t>
      </w:r>
      <w:r>
        <w:rPr>
          <w:rFonts w:ascii="Arial" w:hAnsi="Arial"/>
          <w:b w:val="0"/>
          <w:i w:val="0"/>
          <w:sz w:val="19"/>
        </w:rPr>
        <w:t xml:space="preserve">-Organisation (verantwortlich für die </w:t>
      </w:r>
      <w:r>
        <w:rPr>
          <w:rFonts w:ascii="Arial" w:hAnsi="Arial"/>
          <w:b w:val="0"/>
          <w:i/>
          <w:sz w:val="19"/>
        </w:rPr>
        <w:t>Nova</w:t>
      </w:r>
      <w:r>
        <w:rPr>
          <w:rFonts w:ascii="Arial" w:hAnsi="Arial"/>
          <w:b w:val="0"/>
          <w:i w:val="0"/>
          <w:sz w:val="19"/>
        </w:rPr>
        <w:t xml:space="preserve">-Foundation-Modelle einschließlich </w:t>
      </w:r>
      <w:r>
        <w:rPr>
          <w:rFonts w:ascii="Arial" w:hAnsi="Arial"/>
          <w:b w:val="0"/>
          <w:i/>
          <w:sz w:val="19"/>
        </w:rPr>
        <w:t>Amazon Nova Act</w:t>
      </w:r>
      <w:r>
        <w:rPr>
          <w:rFonts w:ascii="Arial" w:hAnsi="Arial"/>
          <w:b w:val="0"/>
          <w:i w:val="0"/>
          <w:sz w:val="19"/>
        </w:rPr>
        <w:t xml:space="preserve"> sowie für Silizium- und Quantencomputing-Programme): Betroffen sind die Teams der Vice Presidents Adeeb Shanaa (AGI Data Services) und Vishal Sharma (AGI Information), 90 Tage Gehalts- und Leistungsfortzahlung, Outplacement-Zugang und Übergangs­kranken­versicherung; Konzernstatement zur strategischen Neuausrichtung „hin zu kundenzentrierter KI" mit paralleler Milliarden-US-Dollar-Initiative zur Einbettung von AWS-Ingenieurinnen und -Ingenieuren in Enterprise-Kundenprojekte für agentische KI-Systeme. Aufnahme in § 1.1 als Cluster-F-Beleg des Deployment-vor-Grundlagenforschung-Umschwungs auf der Hyperscaler-Ebene. https://www.cnbc.com/2026/07/22/amazon-lays-off-some-employees-in-its-agi-unit.html | https://americanbazaaronline.com/2026/07/22/amazon-layoffs-artificial-general-intelligence-agi-unit-485056/ | https://www.geekwire.com/2026/amazon-cuts-jobs-in-agi-group-as-it-puts-more-focus-on-customer-facing-ai/ | https://startupfortune.com/amazon-fires-its-agi-researchers-and-bets-a-billion-dollars-on-deployment-instead/</w:t>
      </w:r>
    </w:p>
    <w:p>
      <w:pPr>
        <w:jc w:val="both"/>
      </w:pPr>
      <w:r>
        <w:rPr>
          <w:rFonts w:ascii="Arial" w:hAnsi="Arial"/>
          <w:b w:val="0"/>
          <w:i w:val="0"/>
          <w:sz w:val="19"/>
        </w:rPr>
        <w:t xml:space="preserve">Seeking Alpha / MarketScreener / CNBC / Not-a-Tesla-App / Yahoo Finance / BigGo Finance / Alphastreet / Moomoo / Basenor / Cryptobriefing / Teslarati / NexusVolt. (22. Juli 2026). </w:t>
      </w:r>
      <w:r>
        <w:rPr>
          <w:rFonts w:ascii="Arial" w:hAnsi="Arial"/>
          <w:b w:val="0"/>
          <w:i/>
          <w:sz w:val="19"/>
        </w:rPr>
        <w:t>Tesla, Inc. (TSLA) Q2 2026 Earnings Call Transcript / Summary of Tesla's 2026 Q2 Earnings Call: Cybercab, FSD, AI4+ and More / Record Q2 Deliveries, 55 % FSD Attach Rate Drive Demand; $25B+ CapEx Cycle Begins / Tesla Optimus Production: Fremont Assembly Confirmed for Late July 2026.</w:t>
      </w:r>
      <w:r>
        <w:rPr>
          <w:rFonts w:ascii="Arial" w:hAnsi="Arial"/>
          <w:b w:val="0"/>
          <w:i w:val="0"/>
          <w:sz w:val="19"/>
        </w:rPr>
        <w:t xml:space="preserve"> Berichterstattung zum Tesla-Q2-2026-Earnings-Call am 22. Juli 2026: Full-Year-Capex-Guidance über 25 Milliarden US-Dollar bei neuer 30-Milliarden-US-Dollar-Fremdfinanzierungslinie; Fremont-Model-S-/-X-Linien-Abbau innerhalb rund 46 Tagen mit unmittelbarer </w:t>
      </w:r>
      <w:r>
        <w:rPr>
          <w:rFonts w:ascii="Arial" w:hAnsi="Arial"/>
          <w:b w:val="0"/>
          <w:i/>
          <w:sz w:val="19"/>
        </w:rPr>
        <w:t>Optimus-Gen-3</w:t>
      </w:r>
      <w:r>
        <w:rPr>
          <w:rFonts w:ascii="Arial" w:hAnsi="Arial"/>
          <w:b w:val="0"/>
          <w:i w:val="0"/>
          <w:sz w:val="19"/>
        </w:rPr>
        <w:t xml:space="preserve">-Erstlinien-Installation (Long-Term-Auslegung bis eine Million Roboter pro Jahr, Anlauf laut Musk „quite flat and long"); Musk: „hardest product to scale manufacturing that we've ever made at Tesla"; rund 10.000 unikale Bauteile ohne bestehende Zulieferkette; erste Roboter zur Trainingsdatensammlung, nicht an Kunden; AI-Compute-Partnerschaften mit </w:t>
      </w:r>
      <w:r>
        <w:rPr>
          <w:rFonts w:ascii="Arial" w:hAnsi="Arial"/>
          <w:b w:val="0"/>
          <w:i/>
          <w:sz w:val="19"/>
        </w:rPr>
        <w:t>Samsung Foundry</w:t>
      </w:r>
      <w:r>
        <w:rPr>
          <w:rFonts w:ascii="Arial" w:hAnsi="Arial"/>
          <w:b w:val="0"/>
          <w:i w:val="0"/>
          <w:sz w:val="19"/>
        </w:rPr>
        <w:t xml:space="preserve"> und </w:t>
      </w:r>
      <w:r>
        <w:rPr>
          <w:rFonts w:ascii="Arial" w:hAnsi="Arial"/>
          <w:b w:val="0"/>
          <w:i/>
          <w:sz w:val="19"/>
        </w:rPr>
        <w:t>TSMC</w:t>
      </w:r>
      <w:r>
        <w:rPr>
          <w:rFonts w:ascii="Arial" w:hAnsi="Arial"/>
          <w:b w:val="0"/>
          <w:i w:val="0"/>
          <w:sz w:val="19"/>
        </w:rPr>
        <w:t>; Ankündigung einer „Terafab" als Optimus-/AI-Fertigungs-Großstandort; FCF Q2 −1,1 Milliarden US-Dollar; Robotaxi-Ausweitung auf sieben US-Metropolregionen (Austin, Miami, Orlando, Tampa u. a.) mit rund 380.000 unbeaufsichtigten Meilen ohne meldepflichtige Vorfälle; rund 1,5 Millionen FSD-Abonnenten und 55 % FSD-Attach-Rate in Nordamerika. Aufnahme in § 8.2 mit Rückwirkung auf § 8.3. https://seekingalpha.com/article/4924452-tesla-inc-tsla-q2-2026-earnings-call-transcript | https://www.notateslaapp.com/news/4481/summary-of-teslas-2026-q2-earnings-call-cybercab-fsd-ai4-and-more | https://www.cnbc.com/2026/07/22/tesla-tsla-q2-2026-earnings-report.html | https://finance.biggo.com/news/US_TSLA_2026-07-22 | https://cryptobriefing.com/tesla-optimus-production-line-fremont/ | https://nexusvolt.com/post/tesla-optimus-production-fremont-assembly-confirmed-for-late-july-2026</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val="0"/>
          <w:i w:val="0"/>
          <w:sz w:val="19"/>
        </w:rPr>
        <w:t xml:space="preserve">OpenAI / Nextgov / Engadget / BigGo Finance / Value Add Pulse / techjacksolutions / Coursiv. (9. Juli 2026 und Folgeberichterstattung). </w:t>
      </w:r>
      <w:r>
        <w:rPr>
          <w:rFonts w:ascii="Arial" w:hAnsi="Arial"/>
          <w:b w:val="0"/>
          <w:i/>
          <w:sz w:val="19"/>
        </w:rPr>
        <w:t>Previewing GPT-5.6 Sol: a next-generation model / OpenAI's advanced GPT-5.6 models to be publicly released / OpenAI gets permission to roll out GPT-5.6 to the public on July 9 / GPT-5.6 Sol Debuts Tomorrow: Inference Speed Hits 750 Tokens/s as Cerebras Pours Billions into European Expansion / Cerebras Runs OpenAI GPT-5.6 Sol at 750 Tokens per Second, Setting a New Frontier-Model Speed Record / GPT-5.6 Pricing (2026): Sol, Terra &amp; Luna API Costs / OpenAI GPT-5.6 Sol: ChatGPT Release Date, Price &amp; Review.</w:t>
      </w:r>
      <w:r>
        <w:rPr>
          <w:rFonts w:ascii="Arial" w:hAnsi="Arial"/>
          <w:b w:val="0"/>
          <w:i w:val="0"/>
          <w:sz w:val="19"/>
        </w:rPr>
        <w:t xml:space="preserve"> Public Release der GPT-5.6-Reihe zum 9. Juli 2026 mit drei Modellstufen (Sol, Terra, Luna) nach vorheriger Preview-Kohorte ab 26. Juni 2026; Cerebras-Wafer-Scale-Deployment der Spitzenstufe Sol mit bis zu 750 Token pro Sekunde (rund zehnfach gegenüber typischer NVIDIA-GPU-Inferenz); Standard-API-Preise Sol 5 USD / 30 USD pro Million Input/Output-Token, Cache-Read 0,50 USD; Freigabe an einen 30-Tage-Sicherheitsvorlauf durch das White House gebunden (AI-Cybersecurity-Executive-Order, Juni 2026). https://openai.com/index/previewing-gpt-5-6-sol/ | https://www.nextgov.com/artificial-intelligence/2026/07/openais-advanced-gpt-56-models-be-available-public/414651/ | https://www.engadget.com/2210308/openai-rolls-out-gpt5-6-july-9/ | https://finance.biggo.com/news/8891f78a-c330-4652-bf49-ee1c3204e108 | https://valueaddvc.com/pulse/cerebras-openai-gpt-5-6-sol-750-tokens-2026 | https://techjacksolutions.com/ai-tools/chatgpt/gpt-5-6-pricing/ | https://coursiv.io/blog/chatgpt-5-6-sol</w:t>
      </w:r>
    </w:p>
    <w:p>
      <w:pPr>
        <w:jc w:val="both"/>
      </w:pPr>
      <w:r>
        <w:rPr>
          <w:rFonts w:ascii="Arial" w:hAnsi="Arial"/>
          <w:b w:val="0"/>
          <w:i w:val="0"/>
          <w:sz w:val="19"/>
        </w:rPr>
        <w:t xml:space="preserve">Anthropic / The New Stack / Gizmodo / Forbes / ExplainX. (30. Juni – 12. Juli 2026). </w:t>
      </w:r>
      <w:r>
        <w:rPr>
          <w:rFonts w:ascii="Arial" w:hAnsi="Arial"/>
          <w:b w:val="0"/>
          <w:i/>
          <w:sz w:val="19"/>
        </w:rPr>
        <w:t>Redeploying Claude Fable 5 / How Anthropic is bringing Fable 5 back — and when it'll cost you / Claude Fable 5 Will Be Back Online Wednesday, Anthropic Says / Claude Fable 5 Extends By Five More Days. 10 Moves To Make Now / Fable 5 Is Available Again — Ban Lifted July 1, 2026.</w:t>
      </w:r>
      <w:r>
        <w:rPr>
          <w:rFonts w:ascii="Arial" w:hAnsi="Arial"/>
          <w:b w:val="0"/>
          <w:i w:val="0"/>
          <w:sz w:val="19"/>
        </w:rPr>
        <w:t xml:space="preserve"> Ausfuhrkontrollen der US-Regierung auf Claude Fable 5 und Claude Mythos 5 vom 12. Juni 2026 nach Amazon-Sicherheitsbericht zur Umgehung eines Fable-5-Safeguards; weltweite Aussetzung durch Anthropic bis 30. Juni 2026; Redeployment ab 1. Juli 2026 mit gemeinsam mit CAISI trainierten Klassifikatoren (&gt;99 % Blockade der dokumentierten Umgehung, erhöhte Fehlalarmquote auf regulären Debugging-/Programmier-Prompts); Kontingent-Verlängerung auf kostenpflichtigen Tarifen bis 12. Juli 2026. Beleg für die exekutiv-sicherheitspolitische Vermittlung des Zugriffs auf importierte Frontier-Modelle (§ 4.5). https://www.anthropic.com/news/redeploying-fable-5 | https://thenewstack.io/how-anthropic-is-bringing-fable-5-back/ | https://gizmodo.com/claude-fable-5-will-be-back-online-wednesday-anthropic-says-2000779882 | https://www.forbes.com/sites/sandycarter/2026/07/07/claude-fable-5-extends-by-five-more-days-10-moves-to-make-now/ | https://explainx.ai/blog/is-fable-5-back-2026</w:t>
      </w:r>
    </w:p>
    <w:p>
      <w:pPr>
        <w:jc w:val="both"/>
      </w:pPr>
      <w:r>
        <w:rPr>
          <w:rFonts w:ascii="Arial" w:hAnsi="Arial"/>
          <w:b w:val="0"/>
          <w:i w:val="0"/>
          <w:sz w:val="19"/>
        </w:rPr>
        <w:t xml:space="preserve">Anthropic (Support) / DigitalApplied / TechTimes / Codersera / AndroidHeadlines / Webvise. (7.–13. Juli 2026). </w:t>
      </w:r>
      <w:r>
        <w:rPr>
          <w:rFonts w:ascii="Arial" w:hAnsi="Arial"/>
          <w:b w:val="0"/>
          <w:i/>
          <w:sz w:val="19"/>
        </w:rPr>
        <w:t>Claude Fable 5 Promotional Access — Extended to July 12 / Claude Fable 5 Pricing: The July 7 Usage-Credits Switch / Fable 5 Subscription Ends Tomorrow: Per-Token Costs and Who Gets Hit Hardest / Claude Fable 5 Usage Credits: What Changes After July 7, 2026 / Anthropic's Claude Fable 5 Now Requires Pay-Per-Use — Even for Pro Subscribers / Fable 5 Leaves Claude Subscriptions After July 12: What Usage Credits Cost and How to Adapt.</w:t>
      </w:r>
      <w:r>
        <w:rPr>
          <w:rFonts w:ascii="Arial" w:hAnsi="Arial"/>
          <w:b w:val="0"/>
          <w:i w:val="0"/>
          <w:sz w:val="19"/>
        </w:rPr>
        <w:t xml:space="preserve"> Umstellung der </w:t>
      </w:r>
      <w:r>
        <w:rPr>
          <w:rFonts w:ascii="Arial" w:hAnsi="Arial"/>
          <w:b w:val="0"/>
          <w:i/>
          <w:sz w:val="19"/>
        </w:rPr>
        <w:t>Claude Fable 5</w:t>
      </w:r>
      <w:r>
        <w:rPr>
          <w:rFonts w:ascii="Arial" w:hAnsi="Arial"/>
          <w:b w:val="0"/>
          <w:i w:val="0"/>
          <w:sz w:val="19"/>
        </w:rPr>
        <w:t xml:space="preserve">-Preisstruktur auf Nutzungsguthaben zum 13. Juli 2026 nach Verlängerung des Kontingents auf 12. Juli 2026 (23:59:59 PT): Standardpreis 10 US-Dollar pro Million Input- und 50 US-Dollar pro Million Output-Token; Prompt-Caching senkt Input-Kosten weiterhin um bis zu 90 %; wöchentlicher 50-%-Nutzungsdeckel auf Abonnementplänen bleibt bestehen; Rate entspricht dem doppelten Standardpreis von </w:t>
      </w:r>
      <w:r>
        <w:rPr>
          <w:rFonts w:ascii="Arial" w:hAnsi="Arial"/>
          <w:b w:val="0"/>
          <w:i/>
          <w:sz w:val="19"/>
        </w:rPr>
        <w:t>Claude Opus 4.8</w:t>
      </w:r>
      <w:r>
        <w:rPr>
          <w:rFonts w:ascii="Arial" w:hAnsi="Arial"/>
          <w:b w:val="0"/>
          <w:i w:val="0"/>
          <w:sz w:val="19"/>
        </w:rPr>
        <w:t xml:space="preserve"> (5 / 25 US-Dollar) und ist die höchste je durch Anthropic öffentlich gelistete Kategorie. Ergänzung zur Fable-5-Episode (§ 4.5): Präzisierung der differenzierten Preisdynamik zwischen supply-constrained Frontier-Klasse (aufwärts) und Workhorse-Klasse (abwärts) für § 8.2. https://www.digitalapplied.com/blog/anthropic-fable-5-access-extended-july-12-2026 | https://www.digitalapplied.com/blog/claude-fable-5-usage-credits-july-7-pricing-guide-2026 | https://www.techtimes.com/articles/319767/20260706/fable-5-subscription-ends-tomorrow-per-token-costs-who-gets-hit-hardest.htm | https://codersera.com/blog/claude-fable-5-usage-credits-july-2026/ | https://www.androidheadlines.com/2026/07/claude-fable-5-drops-subscriptions-pay-per-use-credits.html | https://www.webvise.io/blog/fable-5-leaves-subscriptions-usage-credits</w:t>
      </w:r>
    </w:p>
    <w:p>
      <w:pPr>
        <w:jc w:val="both"/>
      </w:pPr>
      <w:r>
        <w:rPr>
          <w:rFonts w:ascii="Arial" w:hAnsi="Arial"/>
          <w:b w:val="0"/>
          <w:i w:val="0"/>
          <w:sz w:val="19"/>
        </w:rPr>
        <w:t xml:space="preserve">Financial Times / CNBC / Fortune / Forbes / TechCrunch / Technology.org / TheAIInsider. (2./3. Juli 2026). </w:t>
      </w:r>
      <w:r>
        <w:rPr>
          <w:rFonts w:ascii="Arial" w:hAnsi="Arial"/>
          <w:b w:val="0"/>
          <w:i/>
          <w:sz w:val="19"/>
        </w:rPr>
        <w:t>OpenAI proposes handing 5 % of its equity to a US sovereign wealth fund / OpenAI proposes 5 % stake to Trump administration to ease Washington pressure / OpenAI Proposes Handing 5 % of Its Equity to a U.S. Sovereign Wealth Fund / OpenAI Reportedly Pitches Granting U.S. Government 5 % Stake / OpenAI proposed donating 5 % of its equity to a US sovereign wealth fund / OpenAI's Altman Proposes 5 % Equity Stake in U.S. Sovereign Wealth Fund Amid Broader AI Ownership Debate.</w:t>
      </w:r>
      <w:r>
        <w:rPr>
          <w:rFonts w:ascii="Arial" w:hAnsi="Arial"/>
          <w:b w:val="0"/>
          <w:i w:val="0"/>
          <w:sz w:val="19"/>
        </w:rPr>
        <w:t xml:space="preserve"> Berichterstattung zu Sam Altmans Vorschlag, 5 % der OpenAI-Anteile (~42,6 Mrd. USD bei $852 Mrd. Bewertung März 2026) an einen US-Souveränen KI-Beteiligungsfonds nach dem Modell </w:t>
      </w:r>
      <w:r>
        <w:rPr>
          <w:rFonts w:ascii="Arial" w:hAnsi="Arial"/>
          <w:b w:val="0"/>
          <w:i/>
          <w:sz w:val="19"/>
        </w:rPr>
        <w:t>Alaska Permanent Fund</w:t>
      </w:r>
      <w:r>
        <w:rPr>
          <w:rFonts w:ascii="Arial" w:hAnsi="Arial"/>
          <w:b w:val="0"/>
          <w:i w:val="0"/>
          <w:sz w:val="19"/>
        </w:rPr>
        <w:t xml:space="preserve"> abzutreten und andere führende US-Anbieter (Anthropic, Alphabet/Google, Meta, xAI) zu einer spiegelbildlichen 5-%-Beteiligung einzuladen; informelle Gespräche mit Präsident Trump, Handelsminister Howard Lutnick und Finanzminister Scott Bessent; direkter Bezugspunkt zum am 18. Juni 2026 eingebrachten </w:t>
      </w:r>
      <w:r>
        <w:rPr>
          <w:rFonts w:ascii="Arial" w:hAnsi="Arial"/>
          <w:b w:val="0"/>
          <w:i/>
          <w:sz w:val="19"/>
        </w:rPr>
        <w:t>American A.I. Sovereign Wealth Fund Act</w:t>
      </w:r>
      <w:r>
        <w:rPr>
          <w:rFonts w:ascii="Arial" w:hAnsi="Arial"/>
          <w:b w:val="0"/>
          <w:i w:val="0"/>
          <w:sz w:val="19"/>
        </w:rPr>
        <w:t xml:space="preserve"> (S. 4825, 50 % Zwangsabgabe). Konzeptioneller Konter- und Ergänzungsvorschlag für § 4.5. https://techcrunch.com/2026/07/02/openai-proposed-donating-5-of-its-equity-to-a-us-sovereign-wealth-fund/ | https://www.cnbc.com/2026/07/02/openai-proposes-us-government-own-5percent-stake-to-address-political-blowback.html | https://www.forbes.com/sites/siladityaray/2026/07/02/openai-reportedly-pitches-granting-us-government-5-stake/ | https://www.technology.org/2026/07/03/openai-5-percent-us-sovereign-wealth-fund/ | https://theaiinsider.tech/2026/07/03/openais-altman-proposes-5-equity-stake-in-u-s-sovereign-wealth-fund-amid-broader-ai-ownership-debate/</w:t>
      </w:r>
    </w:p>
    <w:p>
      <w:pPr>
        <w:jc w:val="both"/>
      </w:pPr>
      <w:r>
        <w:rPr>
          <w:rFonts w:ascii="Arial" w:hAnsi="Arial"/>
          <w:b w:val="0"/>
          <w:i w:val="0"/>
          <w:sz w:val="19"/>
        </w:rPr>
        <w:t xml:space="preserve">Bundesrat / Deutsches Ärzteblatt / DATEV-Magazin / STB Treuhand / ZDFheute. (10. Juli 2026). </w:t>
      </w:r>
      <w:r>
        <w:rPr>
          <w:rFonts w:ascii="Arial" w:hAnsi="Arial"/>
          <w:b w:val="0"/>
          <w:i/>
          <w:sz w:val="19"/>
        </w:rPr>
        <w:t>GKV-Reform passiert Bundesrat, Entlastung für Kliniken und Pharma versprochen / Bundesrat billigt Reform der gesetzlichen Krankenkassen / Beschlüsse aus Berlin: Von Gesundheitsreform bis E-Scooter-Regeln.</w:t>
      </w:r>
      <w:r>
        <w:rPr>
          <w:rFonts w:ascii="Arial" w:hAnsi="Arial"/>
          <w:b w:val="0"/>
          <w:i w:val="0"/>
          <w:sz w:val="19"/>
        </w:rPr>
        <w:t xml:space="preserve"> Zweiter Bundesratsdurchgang des </w:t>
      </w:r>
      <w:r>
        <w:rPr>
          <w:rFonts w:ascii="Arial" w:hAnsi="Arial"/>
          <w:b w:val="0"/>
          <w:i/>
          <w:sz w:val="19"/>
        </w:rPr>
        <w:t>GKV-Beitragssatzstabilisierungsgesetzes</w:t>
      </w:r>
      <w:r>
        <w:rPr>
          <w:rFonts w:ascii="Arial" w:hAnsi="Arial"/>
          <w:b w:val="0"/>
          <w:i w:val="0"/>
          <w:sz w:val="19"/>
        </w:rPr>
        <w:t xml:space="preserve"> am 10. Juli 2026; der von sechs Ländern (Saarland, Bremen, Hamburg, Mecklenburg-Vorpommern, Niedersachsen, Sachsen-Anhalt) gestellte Antrag auf Anrufung des Vermittlungsausschusses scheitert an der Zweidrittelmehrheit; Bundesregierung sichert in Protokollerklärung Zugeständnisse zu (~550 Mio. EUR zusätzliche Krankenhausmittel — davon 100 Mio. EUR Universitätskliniken ab 2027 und 450 Mio. EUR erhöhter Rechnungszuschlag —, Angleichung der Kostenaufwuchsgrenze 2027–2029, Abbau PPR 2.0 und Pflegepersonaluntergrenzen, Ausnahmen vom 15,5-%-Herstellerabschlag bis Januar 2027, interministerielles Fachgremium bis Ende September 2026). Vervollständigt den Gesetzgebungspfad der GKV-Reform in § 5.2. https://www.aerzteblatt.de/news/gkv-reform-passiert-bundesrat-entlastung-fur-kliniken-und-pharma-versprochen-9999ba6d-930c-46a0-b239-34417cf620ec | https://www.datev-magazin.de/nachrichten-steuern-recht/recht/bundesrat-billigt-reform-der-gesetzlichen-krankenkassen-147794 | https://stb-treuhand.de/blog/bundesrat-billigt-reform-der-gesetzlichen-krankenkassen/ | https://www.zdfheute.de/politik/deutschland/bundestag-bundesrat-entscheidungen-ueberblick-100.html</w:t>
      </w:r>
    </w:p>
    <w:p>
      <w:pPr>
        <w:jc w:val="both"/>
      </w:pPr>
      <w:r>
        <w:rPr>
          <w:rFonts w:ascii="Arial" w:hAnsi="Arial"/>
          <w:b w:val="0"/>
          <w:i w:val="0"/>
          <w:sz w:val="19"/>
        </w:rPr>
        <w:t xml:space="preserve">Bundestag (BT-Drs. Kalenderwoche 28) / BMG / Pharma Deutschland / abgeordnetenwatch / transkript. (10. Juli 2026). </w:t>
      </w:r>
      <w:r>
        <w:rPr>
          <w:rFonts w:ascii="Arial" w:hAnsi="Arial"/>
          <w:b w:val="0"/>
          <w:i/>
          <w:sz w:val="19"/>
        </w:rPr>
        <w:t>Bundestag verabschiedet GKV-Beitragssatzstabilisierungsgesetz — 2./3. Lesung; namentliche Abstimmung 318 zu 284 Stimmen / Bundestag beschließt GKV-Beitragssatzstabilisierungsgesetz.</w:t>
      </w:r>
      <w:r>
        <w:rPr>
          <w:rFonts w:ascii="Arial" w:hAnsi="Arial"/>
          <w:b w:val="0"/>
          <w:i w:val="0"/>
          <w:sz w:val="19"/>
        </w:rPr>
        <w:t xml:space="preserve"> Zweiter und dritter Lesung des Kabinettsentwurfs vom 29. April 2026 (erste Lesung 12. Juni 2026) mit namentlicher Abstimmung in der 28. Kalenderwoche 2026; Konsolidierungspfad rund 15 bis 19,6 Milliarden Euro für 2027 bis rund 42,8 Milliarden Euro bis 2030; parlamentarische Fortsetzung im zweiten Bundesratsdurchgang angekündigt. Beleg für die Fortsetzung der GKV-Reformschiene in § 5.2. https://www.bundesgesundheitsministerium.de/ministerium/meldungen/bundestag-beschliesst-gkv-beitragssatzstabilisierunggesetz-pm-10-07-2026 | https://www.bundestag.de/dokumente/textarchiv/2026/kw28-de-gkv-1184352 | https://www.pharmadeutschland.de/newsroom/news/gkv-beitragssatzstabilisierungsgesetz-im-bundestag-beschlossen/ | https://www.abgeordnetenwatch.de/bundestag/21/abstimmungen/gkv-reform | https://transkript.de/artikel/2026/bundestag-beschliesst-gkv-beitragssatzstabilisierungsgesetz/</w:t>
      </w:r>
    </w:p>
    <w:p>
      <w:pPr>
        <w:jc w:val="both"/>
      </w:pPr>
      <w:r>
        <w:rPr>
          <w:rFonts w:ascii="Arial" w:hAnsi="Arial"/>
          <w:b w:val="0"/>
          <w:i w:val="0"/>
          <w:sz w:val="19"/>
        </w:rPr>
        <w:t xml:space="preserve">Apple Inc. v. OpenAI, OpenAI OpCo LLC &amp; io Products, Inc. / Bloomberg / CNBC / Axios / TechCrunch / Engadget / Cybersecurity News. (10. Juli 2026). </w:t>
      </w:r>
      <w:r>
        <w:rPr>
          <w:rFonts w:ascii="Arial" w:hAnsi="Arial"/>
          <w:b w:val="0"/>
          <w:i/>
          <w:sz w:val="19"/>
        </w:rPr>
        <w:t>Complaint filed in the United States District Court for the Northern District of California / Apple sues OpenAI alleging trade secret theft, says scheme was „at every level" / Apple Sues OpenAI for Trade Secret Theft Over AI Hardware Designs / Apple sues OpenAI for trade secret theft / Apple sues OpenAI over alleged trade secret theft / Apple calls OpenAI's hardware business „rotten to its core" in trade secret theft lawsuit / Apple Sues OpenAI and Former Employees for Alleged Theft of Trade Secrets.</w:t>
      </w:r>
      <w:r>
        <w:rPr>
          <w:rFonts w:ascii="Arial" w:hAnsi="Arial"/>
          <w:b w:val="0"/>
          <w:i w:val="0"/>
          <w:sz w:val="19"/>
        </w:rPr>
        <w:t xml:space="preserve"> 41-seitige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wegen systematischer Aneignung von Trade Secrets „at every level, from members of technical staff to its Chief Hardware Officer, and in coordination with business partners"; Apple gibt an, dass über 400 ehemalige Apple-Beschäftigte inzwischen bei OpenAI arbeiten und nennt Show-and-Tell-Interviews mit „actual parts", Fortbestehen eines Apple-Notebooks nach Beschäftigungsende sowie Weitergabe eines Apple-Offboarding-Dokuments zur Umgehung der Exit-Sicherheitskontrollen. Ergänzt die rechtliche Dimension der DeepMind-Talent-Bestandsdimension in § 8.2. https://www.bloomberg.com/news/articles/2026-07-10/apple-sues-openai-for-trade-secret-theft-in-blockbuster-case | https://www.cnbc.com/2026/07/10/apple-openai-lawsuit-trade-secrets.html | https://www.axios.com/2026/07/10/apple-sues-openai-trade-secret-theft | https://techcrunch.com/2026/07/10/apple-sues-openai-over-alleged-trade-secret-theft/ | https://www.engadget.com/2212759/apple-calls-openais-hardware-business-rotten-to-its-core-in-trade-secret-theft-lawsuit/ | https://cybersecuritynews.com/apple-sues-openai/</w:t>
      </w:r>
    </w:p>
    <w:p>
      <w:pPr>
        <w:jc w:val="both"/>
      </w:pPr>
      <w:r>
        <w:rPr>
          <w:rFonts w:ascii="Arial" w:hAnsi="Arial"/>
          <w:b w:val="0"/>
          <w:i w:val="0"/>
          <w:sz w:val="19"/>
        </w:rPr>
        <w:t xml:space="preserve">SpaceXAI / Bloomberg / TechCrunch / Axios / MarkTechPost / Memeburn / FourWeekMBA / Cursor. (8. Juli 2026). </w:t>
      </w:r>
      <w:r>
        <w:rPr>
          <w:rFonts w:ascii="Arial" w:hAnsi="Arial"/>
          <w:b w:val="0"/>
          <w:i/>
          <w:sz w:val="19"/>
        </w:rPr>
        <w:t>Introducing Grok 4.5 · Cursor / SpaceXAI Releases Grok 4.5, a Cursor-Trained Model for Coding, Agentic Tasks, and Knowledge Work at $2/M Input / SpaceXAI, Cursor Launch Grok 4.5 AI Model for Finance, Legal Applications / SpaceXAI releases Grok 4.5, which Elon describes as an 'Opus-class model' / Scoop: Musk's SpaceXAI releases new model, Grok 4.5 / Grok 4.5 Launches With Budget Pricing and Cursor Integration / Cursor Grok 4.5 Pricing: $2 Cost &amp; Opus-Class Power.</w:t>
      </w:r>
      <w:r>
        <w:rPr>
          <w:rFonts w:ascii="Arial" w:hAnsi="Arial"/>
          <w:b w:val="0"/>
          <w:i w:val="0"/>
          <w:sz w:val="19"/>
        </w:rPr>
        <w:t xml:space="preserve"> Öffentliche Freigabe des gemeinsam mit Cursor trainierten Mixture-of-Experts-Modells </w:t>
      </w:r>
      <w:r>
        <w:rPr>
          <w:rFonts w:ascii="Arial" w:hAnsi="Arial"/>
          <w:b w:val="0"/>
          <w:i/>
          <w:sz w:val="19"/>
        </w:rPr>
        <w:t>Grok 4.5</w:t>
      </w:r>
      <w:r>
        <w:rPr>
          <w:rFonts w:ascii="Arial" w:hAnsi="Arial"/>
          <w:b w:val="0"/>
          <w:i w:val="0"/>
          <w:sz w:val="19"/>
        </w:rPr>
        <w:t xml:space="preserve"> aus dem SpaceX-Konzernverbund über Grok Build, Cursor und SpaceXAI-API zum 8. Juli 2026; API-Preise 2 US-Dollar Input / 6 US-Dollar Output pro Million Token für die Standardvariante, 4 / 18 US-Dollar für die schnellere Variante, Cache-Read 0,50 US-Dollar; „Opus-Klasse"-Positionierung durch Elon Musk. Beleg für die Preisspreizung an der US-Frontier zwischen supply-constrained Frontier-Klasse und Workhorse-Klasse (§ 8.2). https://cursor.com/blog/grok-4-5 | https://www.marktechpost.com/2026/07/08/spacexai-releases-grok-4-5/ | https://www.bloomberg.com/news/articles/2026-07-08/spacexai-cursor-unveil-grok-ai-model-for-legal-finance-tasks | https://techcrunch.com/2026/07/08/spacexai-releases-grok-4-5-which-elon-describes-as-an-opus-class-model/ | https://www.axios.com/2026/07/08/spacexai-grok-new-model</w:t>
      </w:r>
    </w:p>
    <w:p>
      <w:pPr>
        <w:jc w:val="both"/>
      </w:pPr>
      <w:r>
        <w:rPr>
          <w:rFonts w:ascii="Arial" w:hAnsi="Arial"/>
          <w:b w:val="0"/>
          <w:i w:val="0"/>
          <w:sz w:val="19"/>
        </w:rPr>
        <w:t xml:space="preserve">The Register / TechTimes / Reuters. (14. Juli 2026). </w:t>
      </w:r>
      <w:r>
        <w:rPr>
          <w:rFonts w:ascii="Arial" w:hAnsi="Arial"/>
          <w:b w:val="0"/>
          <w:i/>
          <w:sz w:val="19"/>
        </w:rPr>
        <w:t>Musk promises purge after Grok Build caught sending entire repos to the cloud / Grok Build Shipped Entire Codebases to xAI Cloud; Privacy Toggle Did Nothing / Grok 4.5 tops Long-Horizon Terminal-Bench.</w:t>
      </w:r>
      <w:r>
        <w:rPr>
          <w:rFonts w:ascii="Arial" w:hAnsi="Arial"/>
          <w:b w:val="0"/>
          <w:i w:val="0"/>
          <w:sz w:val="19"/>
        </w:rPr>
        <w:t xml:space="preserve"> Bericht­erstattung zum unautorisierten Upload ganzer Nutzer-Codebasen aus Grok Build in die SpaceXAI-Cloud (Server-Abschaltung nach Frontpage-Meldung Hacker News; öffentliche Zusage der vollständigen Löschung) und zur Bench-Führung von Grok 4.5 im Long-Horizon Terminal-Bench. Ergänzt die in § 8.2 dokumentierten Robustheits­anforderungen an importierte Frontier-Modelle (§ 8.3). https://www.theregister.com/ai-and-ml/2026/07/14/musk-promises-purge-after-grok-build-caught-sending-entire-repos-to-the-cloud/5271123 | https://www.techtimes.com/articles/320420/20260714/grok-build-shipped-entire-codebases-xai-cloud-privacy-toggle-did-nothing.htm</w:t>
      </w:r>
    </w:p>
    <w:p>
      <w:pPr>
        <w:jc w:val="both"/>
      </w:pPr>
      <w:r>
        <w:rPr>
          <w:rFonts w:ascii="Arial" w:hAnsi="Arial"/>
          <w:b w:val="0"/>
          <w:i w:val="0"/>
          <w:sz w:val="19"/>
        </w:rPr>
        <w:t xml:space="preserve">TechCrunch (Bellan). (14. Juli 2026). </w:t>
      </w:r>
      <w:r>
        <w:rPr>
          <w:rFonts w:ascii="Arial" w:hAnsi="Arial"/>
          <w:b w:val="0"/>
          <w:i/>
          <w:sz w:val="19"/>
        </w:rPr>
        <w:t>The real AI race may no longer be at the frontier.</w:t>
      </w:r>
      <w:r>
        <w:rPr>
          <w:rFonts w:ascii="Arial" w:hAnsi="Arial"/>
          <w:b w:val="0"/>
          <w:i w:val="0"/>
          <w:sz w:val="19"/>
        </w:rPr>
        <w:t xml:space="preserve"> Marktstruktur-Beitrag mit Zahlen zur Verlagerung produktiver KI-Nutzung auf Open-Weight-Modelle: rund 41 % der Hugging-Face-Modell-Downloads im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(Tencent, Xiaomi, DeepSeek, MiniMax, Z.ai) Open-Weight-basiert, </w:t>
      </w:r>
      <w:r>
        <w:rPr>
          <w:rFonts w:ascii="Arial" w:hAnsi="Arial"/>
          <w:b w:val="0"/>
          <w:i/>
          <w:sz w:val="19"/>
        </w:rPr>
        <w:t>Claude Opus 4.7</w:t>
      </w:r>
      <w:r>
        <w:rPr>
          <w:rFonts w:ascii="Arial" w:hAnsi="Arial"/>
          <w:b w:val="0"/>
          <w:i w:val="0"/>
          <w:sz w:val="19"/>
        </w:rPr>
        <w:t xml:space="preserve"> nur auf Platz 7; drei Millionen öffentlich gelistete Modelle auf Hugging Face; Zitate von Hugging-Face-CEO Clem Delangue und Microsoft-CEO Satya Nadella. Ergänzt die Rohstoff-Analogie um die Marktverschiebung der produktiven Nutzung (§ 8.2) und stützt die Veredelungslogik der Deutschland-These (§ 8.3). https://techcrunch.com/2026/07/14/the-real-ai-race-may-no-longer-be-at-the-frontier-open-models-hugging-face/</w:t>
      </w:r>
    </w:p>
    <w:p>
      <w:pPr>
        <w:jc w:val="both"/>
      </w:pPr>
      <w:r>
        <w:rPr>
          <w:rFonts w:ascii="Arial" w:hAnsi="Arial"/>
          <w:b w:val="0"/>
          <w:i w:val="0"/>
          <w:sz w:val="19"/>
        </w:rPr>
        <w:t xml:space="preserve">Bloomberg / Moonberg / Polymarket / GuruFocus. (15. Juli 2026). </w:t>
      </w:r>
      <w:r>
        <w:rPr>
          <w:rFonts w:ascii="Arial" w:hAnsi="Arial"/>
          <w:b w:val="0"/>
          <w:i/>
          <w:sz w:val="19"/>
        </w:rPr>
        <w:t>Anthropic Is Said to Plan IPO Investor Meetings as Listing Nears / Anthropic stock: valuation &amp; IPO odds 2026 / Anthropic Prepares for Potential IPO, Outpacing OpenAI / Anthropic IPO by __? Predictions &amp; Odds 2026.</w:t>
      </w:r>
      <w:r>
        <w:rPr>
          <w:rFonts w:ascii="Arial" w:hAnsi="Arial"/>
          <w:b w:val="0"/>
          <w:i w:val="0"/>
          <w:sz w:val="19"/>
        </w:rPr>
        <w:t xml:space="preserve"> Vorbereitung einer IPO-Investoren­meetings-Serie durch Anthropic; Sekundärmarkt-Bewertung 1,11–1,14 Bio. USD (Stand 14. Juli 2026); Prognose­plattform-Wahrscheinlichkeiten für IPO-Ticker $ANTH 46–48 %, IPO im Q4 2026 rund 78 %, Lead-Underwriter Goldman Sachs 52–55 %; erwartetes Emissions­volumen &gt; 60 Mrd. USD. Aufnahme in § 5.4 mit Rückwirkung auf § 8.3 (fiskalische Volatilität bestands­orientierter Umverteilungs­logik). https://moonberg.xyz/anthropic/ | https://polymarket.com/event/anthropic-ipo-by | https://www.gurufocus.com/news/8960658/anthropic-prepares-for-potential-ipo-outpacing-openai</w:t>
      </w:r>
    </w:p>
    <w:p>
      <w:pPr>
        <w:jc w:val="both"/>
      </w:pPr>
      <w:r>
        <w:rPr>
          <w:rFonts w:ascii="Arial" w:hAnsi="Arial"/>
          <w:b w:val="0"/>
          <w:i w:val="0"/>
          <w:sz w:val="19"/>
        </w:rPr>
        <w:t xml:space="preserve">Alphabet Inc. / CNBC / Investing.com / TheStreet / Yahoo Finance / The Motley Fool. (22.–23. Juli 2026). </w:t>
      </w:r>
      <w:r>
        <w:rPr>
          <w:rFonts w:ascii="Arial" w:hAnsi="Arial"/>
          <w:b w:val="0"/>
          <w:i/>
          <w:sz w:val="19"/>
        </w:rPr>
        <w:t>Alphabet earnings takeaways: Q2 revenue beats, GOOGL stock sinks on 2026 capex hike / Earnings call transcript: Alphabet beats Q2 2026 estimates, shares fall on capex surge / Alphabet Inc. Q2 2026 Earnings Call: Recap of $GOOGL Earnings, Outlook / Alphabet nearly doubles capital spending as AI push powers Q2 growth / Alphabet Inc (GOOG) Q2 2026 Earnings Call Highlights: Record Revenue Growth and AI Innovations.</w:t>
      </w:r>
      <w:r>
        <w:rPr>
          <w:rFonts w:ascii="Arial" w:hAnsi="Arial"/>
          <w:b w:val="0"/>
          <w:i w:val="0"/>
          <w:sz w:val="19"/>
        </w:rPr>
        <w:t xml:space="preserve"> Konzernumsatz 119,8 Mrd. USD (+24 % gegenüber Vorjahr); Google-Cloud-Umsatz 24,8 Mrd. USD (+82 %) mit Auftragsbestand 514 Mrd. USD und Pichai-Zitat, existierende Kunden überträfen ihre Verpflichtungen um mehr als 50 %; operatives Ergebnis +30 %, operative Marge 34 %; verwässertes Ergebnis je Aktie 9,11 USD (Konsens 2,88 USD). Q2-2026-Kapitalausgaben 44,9 Mrd. USD (Q1 2026: 36 Mrd. USD); Free Cashflow Q2 −5,9 Mrd. USD (erstmals negativ seit ~10 Jahren); rund 60 % der Capex in Server, 40 % in Rechenzentren/Netzwerk. Full-Year-Capex-Guidance 2026 von zuvor 180–190 Mrd. USD auf 195–205 Mrd. USD angehoben (+15 Mrd. USD in einem Quartal). Nach-börsliche Aktienreaktion rund −7 %. Aufnahme in § 1.1 und § 8.2 als Verdichtung der Compute-Rohstoff-Konzentrations- und Nachfrage­überhitzungs-These sowie als weiteres Datum der Asymmetrie zwischen Personalreduktion und Capex-Ausbau. https://www.cnbc.com/2026/07/22/google-earnings-q2-goog-live-updates.html | https://www.investing.com/news/earnings/alphabet-nearly-doubles-capital-spending-as-ai-push-powers-q2-growth-4806860 | https://www.thestreet.com/latest-news/alphabet-inc-googl-q2-2026-earnings-call-updates | https://finance.yahoo.com/technology/ai/articles/alphabet-inc-goog-q2-2026-050111614.html</w:t>
      </w:r>
    </w:p>
    <w:p>
      <w:pPr>
        <w:jc w:val="both"/>
      </w:pPr>
      <w:r>
        <w:rPr>
          <w:rFonts w:ascii="Arial" w:hAnsi="Arial"/>
          <w:b w:val="0"/>
          <w:i w:val="0"/>
          <w:sz w:val="19"/>
        </w:rPr>
        <w:t xml:space="preserve">Intel Corp. / Yahoo Finance / CNBC / BigGo Finance / TradingKey / Shane the Gamer. (23. Juli 2026). </w:t>
      </w:r>
      <w:r>
        <w:rPr>
          <w:rFonts w:ascii="Arial" w:hAnsi="Arial"/>
          <w:b w:val="0"/>
          <w:i/>
          <w:sz w:val="19"/>
        </w:rPr>
        <w:t>Intel Q2 2026 earnings: revenue up 25%, fastest growth since 2011 / Intel (INTC) earnings report Q2 2026 / Intel Q2 Earnings Call Highlights / [INTC Q2 2026 Earnings Call] Intel Blows Past Estimates with $16.1B Revenue, Record Server Growth 59% on AI Boom; CapEx Surge to Over $20B / Intel Q2 Net Profit Swings to Profit YoY, Adjusted EPS Doubles Estimates / Intel Q2 Earnings Crush Forecasts, Stock Jumps on AI-Fuelled Chip Demand.</w:t>
      </w:r>
      <w:r>
        <w:rPr>
          <w:rFonts w:ascii="Arial" w:hAnsi="Arial"/>
          <w:b w:val="0"/>
          <w:i w:val="0"/>
          <w:sz w:val="19"/>
        </w:rPr>
        <w:t xml:space="preserve"> Konzernumsatz 16,1 Mrd. USD (+25 % gegenüber Vorjahr; stärkstes Quartalswachstum seit über 15 Jahren); Segment Data Center and AI +59 % auf 6,3 Mrd. USD; Client Computing +13 % auf 8,9 Mrd. USD (AI-PCs rund zwei Drittel des Umsatzes); Foundry +31 % auf 5,8 Mrd. USD. Non-GAAP-EPS 0,42 USD gegenüber 0,20 USD Konzern-Guidance; Bruttomarge 41,8 % (+2,8 Pp. über Guidance); GAAP-Ergebnis −2,16 USD je Aktie infolge eines einmaligen 12,5 Mrd. USD Mark-to-Market-Verlusts auf treuhänderisch gehaltene CHIPS-Act-Anteile; operativer Cashflow 7 Mrd. USD. Konzernaussage: „AI-driven compute continues to strengthen" (CFO Dave Zinsner); Server-Produkt-Bestellungen können gegenwärtig nicht vollständig erfüllt werden, 10 langfristige Verträge mit Server-CPU-Großkunden geschlossen. Full-Year-Capex-Guidance 2026 von rund 17 auf über 20 Mrd. USD angehoben; 2027 „significantly above" 2026-Niveau projiziert; Tooling-Ausgaben +40 %. Q3-2026-Guidance: 15,8–16,8 Mrd. USD Umsatz, 42 % Bruttomarge, 0,38 USD Non-GAAP-EPS. Aufnahme in § 1.1 und § 8.2 als Hardware-seitige Bestätigung der Compute-Nachfrage­überhitzung und als Fortschreibung der Capex-Ausweitungs-Diagnose. https://finance.yahoo.com/markets/stocks/articles/intel-q2-2026-earnings-revenue-205531105.html | https://www.cnbc.com/2026/07/23/intel-intc-earnings-report-q2-2026.html | https://finance.biggo.com/news/US_INTC_2026-07-23 | https://www.tradingkey.com/analysis/stocks/us-stocks/262050823-intel-earnings-report-q2-2026-intc-ai-data-center-intel-foundry-tradingkey</w:t>
      </w:r>
    </w:p>
    <w:p>
      <w:pPr>
        <w:jc w:val="both"/>
      </w:pPr>
      <w:r>
        <w:rPr>
          <w:rFonts w:ascii="Arial" w:hAnsi="Arial"/>
          <w:b w:val="0"/>
          <w:i w:val="0"/>
          <w:sz w:val="19"/>
        </w:rPr>
        <w:t xml:space="preserve">Intel Corp. (WARN-Notice) / KATU / KOIN / KGW / Data Center Dynamics / byteiota. (15. Juli 2026). </w:t>
      </w:r>
      <w:r>
        <w:rPr>
          <w:rFonts w:ascii="Arial" w:hAnsi="Arial"/>
          <w:b w:val="0"/>
          <w:i/>
          <w:sz w:val="19"/>
        </w:rPr>
        <w:t>Intel now to lay off nearly 2,400 employees in Oregon / Intel layoffs: Tech giant now expected to lay off over 2K Oregon workers / Intel to lay off nearly 530 workers in Oregon starting in July / Fresh Intel layoffs impact almost 2,400 Oregon workers, more cuts expected globally / Intel Layoffs Jump 5x to 2,400 Workers in 2026 Chip Crisis.</w:t>
      </w:r>
      <w:r>
        <w:rPr>
          <w:rFonts w:ascii="Arial" w:hAnsi="Arial"/>
          <w:b w:val="0"/>
          <w:i w:val="0"/>
          <w:sz w:val="19"/>
        </w:rPr>
        <w:t xml:space="preserve"> Manufacturing-Layoff-Runde mit Wirksamkeit zum 15. Juli 2026 an vier Oregon-Standorten (Aloha, Ronler Acres, Hawthorne Farms, Jones Farm); 2.392 Beschäftigte, davon 412 Module Equipment Technicians, 307 Module Development Engineers, 148 Module Engineers plus Process Integration Engineers und Manufacturing Technicians; neun Wochen Gehalt und Leistungen; Restrukturierungs­kontext CEO Lip-Bu Tan (Personalbestand ~125.000 → unter 100.000, +1 Mrd. USD Betriebskosten­kürzung 2026); Foundry-Verlust ~3 Mrd. USD Q2 2025; AI-Chip-Marktanteil Intel ~1 % vs. NVIDIA ~92 %. Aufnahme in § 1.1 als Hardware-seitige Personalreduktion und Ergänzung zur Asymmetrie Hyperscaler-Capex/Personalreduktion (§ 8.2). https://katu.com/news/local/intel-now-to-lay-off-nearly-2400-employees-in-oregon | https://www.koin.com/local/washington-county/intel-now-expected-to-lay-off-over-2000-oregon-employees/ | https://www.kgw.com/article/money/business/intel-layoff-nearly-530-people-oregon-july-start/283-4fb7e7f8-3d58-4753-9bd1-1d058d1f7f9c | https://byteiota.com/intel-layoffs-jump-5x-to-2400-workers-in-2026-chip-crisis/</w:t>
      </w:r>
    </w:p>
    <w:p>
      <w:pPr>
        <w:jc w:val="both"/>
      </w:pPr>
      <w:r>
        <w:rPr>
          <w:rFonts w:ascii="Arial" w:hAnsi="Arial"/>
          <w:b w:val="0"/>
          <w:i w:val="0"/>
          <w:sz w:val="19"/>
        </w:rPr>
        <w:t xml:space="preserve">Thomson Reuters / Reuters / Silicon Republic / US News / The Next Web / Seeking Alpha / GuruFocus. (13. Juli 2026). </w:t>
      </w:r>
      <w:r>
        <w:rPr>
          <w:rFonts w:ascii="Arial" w:hAnsi="Arial"/>
          <w:b w:val="0"/>
          <w:i/>
          <w:sz w:val="19"/>
        </w:rPr>
        <w:t>Thomson Reuters cuts 500 jobs as AI adoption deepens / Thomson Reuters to cut up to 500 engineering roles: report / Thomson Reuters to Cut 'Small Number' of Engineering Jobs / Thomson Reuters is cutting engineers and hiring AI-native ones / Thomson Reuters (TRI) to Cut 500 Engineering Jobs Amid AI Expansion.</w:t>
      </w:r>
      <w:r>
        <w:rPr>
          <w:rFonts w:ascii="Arial" w:hAnsi="Arial"/>
          <w:b w:val="0"/>
          <w:i w:val="0"/>
          <w:sz w:val="19"/>
        </w:rPr>
        <w:t xml:space="preserve"> Konzernmitteilung zu einer Reduktion von bis zu 500 Engineering-Stellen (rund 1,8 % der weltweit 27.100 Beschäftigten, rund 5,2 % der 9.400 Beschäftigten in der Operations-and-Technology-Division); explizite Umschichtung „hin zu KI-nativen Rollen" bei zugleich Q1-FY-2026-Umsatzplus von rund 10 %. Aufnahme in § 1.1 als weitere Illustration der Ausweitung der KI-Restrukturierung auf Legal-/Tax-/Regulatory-Segmentanbieter. https://www.siliconrepublic.com/business/reuters-ai-job-cuts-thomson-engineering-technology | https://seekingalpha.com/news/4613381-thomson-reuters-to-cut-up-to-500-engineering-roles | https://money.usnews.com/investing/news/articles/2026-07-13/thomson-reuters-to-cut-small-number-of-engineering-jobs | https://thenextweb.com/news/thomson-reuters-engineering-layoffs-ai | https://www.gurufocus.com/news/8956161/thomson-reuters-tri-to-cut-500-engineering-jobs-amid-ai-expansion</w:t>
      </w:r>
    </w:p>
    <w:p>
      <w:pPr>
        <w:jc w:val="both"/>
      </w:pPr>
      <w:r>
        <w:rPr>
          <w:rFonts w:ascii="Arial" w:hAnsi="Arial"/>
          <w:b w:val="0"/>
          <w:i w:val="0"/>
          <w:sz w:val="19"/>
        </w:rPr>
        <w:t xml:space="preserve">Sprout Social, Inc. (SEC-8-K) / Crain's Chicago Business / American Bazaar / Investing.com / Stocktitan / Stifel. (15. Juli 2026). </w:t>
      </w:r>
      <w:r>
        <w:rPr>
          <w:rFonts w:ascii="Arial" w:hAnsi="Arial"/>
          <w:b w:val="0"/>
          <w:i/>
          <w:sz w:val="19"/>
        </w:rPr>
        <w:t>Sprout Social cuts 20 % of workforce in restructuring plan / Sprout Social to lay off 20 % of its staff / Sprout Social to cut 260 jobs as AI reshapes software industry / Stifel reiterates Sprout Social stock rating after workforce cuts / Sprout Social (NASDAQ: SPT) cuts 20 % of staff, sees high-end Q2 outlook.</w:t>
      </w:r>
      <w:r>
        <w:rPr>
          <w:rFonts w:ascii="Arial" w:hAnsi="Arial"/>
          <w:b w:val="0"/>
          <w:i w:val="0"/>
          <w:sz w:val="19"/>
        </w:rPr>
        <w:t xml:space="preserve"> SEC-8-K-Meldung zu einer Reduktion von rund 260 Positionen (20 % der Belegschaft), Board-Beschluss 8. Juli 2026, Mitarbeiter-Notifikation ab 15. Juli 2026; Restrukturierungs­aufwand 18–20 Mio. USD (überwiegend Cash-Abfindungen und Leistungen);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Q2-2026-Vorabergebnis am oberen Rand der bisherigen Bandbreite (endgültige Zahlen 6. August 2026). Aufnahme in § 1.1 als Enterprise-Software-/SaaS-Beleg für die Ausweitung der KI-Restrukturierung. https://www.stocktitan.net/sec-filings/SPT/8-k-sprout-social-inc-reports-material-event-9b53701928d6.html | https://www.chicagobusiness.com/technology/ccb-sprout-social-layoffs-ai-20260715/ | https://americanbazaaronline.com/2026/07/15/sprout-social-to-cut-260-jobs-as-ai-reshapes-software-industry-484641/ | https://www.investing.com/news/stock-market-news/sprout-social-cuts-20-of-workforce-in-restructuring-plan-93CH-4793486 | https://www.investing.com/news/analyst-ratings/stifel-reiterates-sprout-social-stock-rating-after-workforce-cuts-93CH-4793837</w:t>
      </w:r>
    </w:p>
    <w:p>
      <w:pPr>
        <w:jc w:val="both"/>
      </w:pPr>
      <w:r>
        <w:rPr>
          <w:rFonts w:ascii="Arial" w:hAnsi="Arial"/>
          <w:b w:val="0"/>
          <w:i w:val="0"/>
          <w:sz w:val="19"/>
        </w:rPr>
        <w:t xml:space="preserve">Google DeepMind / TechTimes / BigGo Finance / HackerNoon / Enterprise DNA / ZoomBangla / Memeburn / Coursiv / Developers Digest / Startup Fortune. (13.–17. Juli 2026). </w:t>
      </w:r>
      <w:r>
        <w:rPr>
          <w:rFonts w:ascii="Arial" w:hAnsi="Arial"/>
          <w:b w:val="0"/>
          <w:i/>
          <w:sz w:val="19"/>
        </w:rPr>
        <w:t>Gemini 3.5 Pro Targets July 17 After Full Rebuild: Every Spec Remains Unconfirmed / Google Delays Gemini 3.5 Pro Launch to July 17 for Full Architectural Rebuild / Gemini 3.5 Pro Launch — 2M Context, Deep Think, Ultra Tier / Google Launches Gemini 3.5 Pro with 2-Million Token Context Window / Gemini 3.5 Pro: 2M Tokens, Deep Think, and the 10x Pricing Problem / Gemini 3.5 Pro Developer Guide: 2M Context Window and Deep Think Mode.</w:t>
      </w:r>
      <w:r>
        <w:rPr>
          <w:rFonts w:ascii="Arial" w:hAnsi="Arial"/>
          <w:b w:val="0"/>
          <w:i w:val="0"/>
          <w:sz w:val="19"/>
        </w:rPr>
        <w:t xml:space="preserve"> Berichterstattung zur Freigabe von </w:t>
      </w:r>
      <w:r>
        <w:rPr>
          <w:rFonts w:ascii="Arial" w:hAnsi="Arial"/>
          <w:b w:val="0"/>
          <w:i/>
          <w:sz w:val="19"/>
        </w:rPr>
        <w:t>Gemini 3.5 Pro</w:t>
      </w:r>
      <w:r>
        <w:rPr>
          <w:rFonts w:ascii="Arial" w:hAnsi="Arial"/>
          <w:b w:val="0"/>
          <w:i w:val="0"/>
          <w:sz w:val="19"/>
        </w:rPr>
        <w:t xml:space="preserve"> zum 17. Juli 2026 nach Vollumbau der Gemini-2.5-Pro-Basisarchitektur;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(250 US-Dollar / Monat), autonomes Werkzeug- und Coding-Verhalten; Zeitpunkt und Spezifikationen zum Stand der Berichterstattung nicht durch offizielle Google-Mitteilung bestätigt (Konjunktiv). Aufnahme in § 8.2 als weitere Frontier-Freigabe im Juli-2026-Zeitfenster und als Beispiel der Preisspreizung am oberen Rand (250 USD/Monat </w:t>
      </w:r>
      <w:r>
        <w:rPr>
          <w:rFonts w:ascii="Arial" w:hAnsi="Arial"/>
          <w:b w:val="0"/>
          <w:i/>
          <w:sz w:val="19"/>
        </w:rPr>
        <w:t>Deep Think</w:t>
      </w:r>
      <w:r>
        <w:rPr>
          <w:rFonts w:ascii="Arial" w:hAnsi="Arial"/>
          <w:b w:val="0"/>
          <w:i w:val="0"/>
          <w:sz w:val="19"/>
        </w:rPr>
        <w:t>). https://www.techtimes.com/articles/320308/20260713/gemini-35-pro-targets-july-17-after-full-rebuild-every-spec-remains-unconfirmed.htm | https://finance.biggo.com/news/6f0c6bb2-795f-4c57-9d09-6db691d7638a | https://hackernoon.com/google-delays-gemini-35-pro-to-july-17-the-strategic-play-behind-the-scrapped-base-model | https://enterprisedna.co/resources/news/gemini-35-pro-july-17-rebuild-vs-deepseek-v4-2026/ | https://inews.zoombangla.com/google-gemini-3-5-pro-launch-july-2026/ | https://memeburn.com/gemini-3-5-pro-targets-july-17-with-2m-token-context/ | https://coursiv.io/blog/gemini-3-5-pro | https://www.developersdigest.tech/blog/gemini-3-5-pro-developer-guide-2026 | https://startupfortune.com/google-delays-gemini-35-pro-launch-to-july-17-after-scrapping-its-base-model/</w:t>
      </w:r>
    </w:p>
    <w:p>
      <w:pPr>
        <w:jc w:val="both"/>
      </w:pPr>
      <w:r>
        <w:rPr>
          <w:rFonts w:ascii="Arial" w:hAnsi="Arial"/>
          <w:b w:val="0"/>
          <w:i w:val="0"/>
          <w:sz w:val="19"/>
        </w:rPr>
        <w:t xml:space="preserve">Meta Platforms / Reuters / CNBC / DataCenterDynamics / Yahoo Finance / TechTimes / The Motley Fool. (9./17. Juli 2026). </w:t>
      </w:r>
      <w:r>
        <w:rPr>
          <w:rFonts w:ascii="Arial" w:hAnsi="Arial"/>
          <w:b w:val="0"/>
          <w:i/>
          <w:sz w:val="19"/>
        </w:rPr>
        <w:t>Meta to start production of Iris AI chip in September 2026 / Meta to put AI chip into production in September as it looks to double computing capacity, Reuters reports / Meta's Iris AI Chip Passes Testing: Broadcom Now Designs Chips for Three Rivals / Meta could start production of Iris AI chip in September – report / Broadcom Builds Custom Chips for Google, Meta, Anthropic, and OpenAI.</w:t>
      </w:r>
      <w:r>
        <w:rPr>
          <w:rFonts w:ascii="Arial" w:hAnsi="Arial"/>
          <w:b w:val="0"/>
          <w:i w:val="0"/>
          <w:sz w:val="19"/>
        </w:rPr>
        <w:t xml:space="preserve"> Intern reviewtes Reuters-Memo zur Ankündigung des Meta-V3-MTIA-Chips </w:t>
      </w:r>
      <w:r>
        <w:rPr>
          <w:rFonts w:ascii="Arial" w:hAnsi="Arial"/>
          <w:b w:val="0"/>
          <w:i/>
          <w:sz w:val="19"/>
        </w:rPr>
        <w:t>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mit Serien­fertigung ab September 2026 durch TSMC nach rund sechswöchiger Bug-Testphase; Design­partner </w:t>
      </w:r>
      <w:r>
        <w:rPr>
          <w:rFonts w:ascii="Arial" w:hAnsi="Arial"/>
          <w:b w:val="0"/>
          <w:i/>
          <w:sz w:val="19"/>
        </w:rPr>
        <w:t>Broadcom</w:t>
      </w:r>
      <w:r>
        <w:rPr>
          <w:rFonts w:ascii="Arial" w:hAnsi="Arial"/>
          <w:b w:val="0"/>
          <w:i w:val="0"/>
          <w:sz w:val="19"/>
        </w:rPr>
        <w:t xml:space="preserve"> — parallel Custom-AI-ASIC-Design für Google (</w:t>
      </w:r>
      <w:r>
        <w:rPr>
          <w:rFonts w:ascii="Arial" w:hAnsi="Arial"/>
          <w:b w:val="0"/>
          <w:i/>
          <w:sz w:val="19"/>
        </w:rPr>
        <w:t>TPU</w:t>
      </w:r>
      <w:r>
        <w:rPr>
          <w:rFonts w:ascii="Arial" w:hAnsi="Arial"/>
          <w:b w:val="0"/>
          <w:i w:val="0"/>
          <w:sz w:val="19"/>
        </w:rPr>
        <w:t>), Meta (</w:t>
      </w:r>
      <w:r>
        <w:rPr>
          <w:rFonts w:ascii="Arial" w:hAnsi="Arial"/>
          <w:b w:val="0"/>
          <w:i/>
          <w:sz w:val="19"/>
        </w:rPr>
        <w:t>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mit </w:t>
      </w:r>
      <w:r>
        <w:rPr>
          <w:rFonts w:ascii="Arial" w:hAnsi="Arial"/>
          <w:b w:val="0"/>
          <w:i/>
          <w:sz w:val="19"/>
        </w:rPr>
        <w:t>Broadcom</w:t>
      </w:r>
      <w:r>
        <w:rPr>
          <w:rFonts w:ascii="Arial" w:hAnsi="Arial"/>
          <w:b w:val="0"/>
          <w:i w:val="0"/>
          <w:sz w:val="19"/>
        </w:rPr>
        <w:t xml:space="preserve"> am 24. Juni 2026 vorgestellt); </w:t>
      </w:r>
      <w:r>
        <w:rPr>
          <w:rFonts w:ascii="Arial" w:hAnsi="Arial"/>
          <w:b w:val="0"/>
          <w:i/>
          <w:sz w:val="19"/>
        </w:rPr>
        <w:t>Anthropic</w:t>
      </w:r>
      <w:r>
        <w:rPr>
          <w:rFonts w:ascii="Arial" w:hAnsi="Arial"/>
          <w:b w:val="0"/>
          <w:i w:val="0"/>
          <w:sz w:val="19"/>
        </w:rPr>
        <w:t xml:space="preserve"> verhandelt Anfang Juli 2026 mit </w:t>
      </w:r>
      <w:r>
        <w:rPr>
          <w:rFonts w:ascii="Arial" w:hAnsi="Arial"/>
          <w:b w:val="0"/>
          <w:i/>
          <w:sz w:val="19"/>
        </w:rPr>
        <w:t>Samsung Foundry</w:t>
      </w:r>
      <w:r>
        <w:rPr>
          <w:rFonts w:ascii="Arial" w:hAnsi="Arial"/>
          <w:b w:val="0"/>
          <w:i w:val="0"/>
          <w:sz w:val="19"/>
        </w:rPr>
        <w:t xml:space="preserve"> über einen 2-nm-Custom-Chip,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und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arbeiten mit </w:t>
      </w:r>
      <w:r>
        <w:rPr>
          <w:rFonts w:ascii="Arial" w:hAnsi="Arial"/>
          <w:b w:val="0"/>
          <w:i/>
          <w:sz w:val="19"/>
        </w:rPr>
        <w:t>Marvell</w:t>
      </w:r>
      <w:r>
        <w:rPr>
          <w:rFonts w:ascii="Arial" w:hAnsi="Arial"/>
          <w:b w:val="0"/>
          <w:i w:val="0"/>
          <w:sz w:val="19"/>
        </w:rPr>
        <w:t xml:space="preserve">;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meldet FY-2026-Q2 rund 10,8 Mrd. USD AI-Halbleiter-Umsatz (+143 % gegenüber Vorjahresquartal). Zwei-Stufen-Infrastrukturausbau nach Reuters-Memo: 7 GW Rechenleistung 2026, 14 GW ab 2027. Aufnahme in § 8.2 als Custom-Silicon-Konzentrations­dimension der Rohstoff-Analogie und als zusätzliche Volatilitäts­schicht gegenüber marktkapitalisierungs­bezogenen Zugriffs­modellen (§ 8.3). https://finance.yahoo.com/technology/ai/articles/meta-start-production-iris-ai-122141801.html | https://www.cnbc.com/2026/07/09/meta-to-put-ai-chip-into-production-in-september-report.html | https://www.datacenterdynamics.com/en/news/meta-could-start-production-of-iris-ai-chip-in-september-report/ | https://www.techtimes.com/articles/320839/20260717/metas-iris-ai-chip-passes-testing-broadcom-now-designs-chips-three-rivals.htm | https://finance.yahoo.com/technology/ai/articles/broadcom-builds-custom-chips-google-215000298.html</w:t>
      </w:r>
    </w:p>
    <w:p>
      <w:pPr>
        <w:jc w:val="both"/>
      </w:pPr>
      <w:r>
        <w:rPr>
          <w:rFonts w:ascii="Arial" w:hAnsi="Arial"/>
          <w:b w:val="0"/>
          <w:i w:val="0"/>
          <w:sz w:val="19"/>
        </w:rPr>
        <w:t xml:space="preserve">SkillSyncer. (Stand 19. Juli 2026). </w:t>
      </w:r>
      <w:r>
        <w:rPr>
          <w:rFonts w:ascii="Arial" w:hAnsi="Arial"/>
          <w:b w:val="0"/>
          <w:i/>
          <w:sz w:val="19"/>
        </w:rPr>
        <w:t>2026 Tech Layoffs Tracker — 302 Events, 201.754 Workers, 164 AI-attributed (~54 %).</w:t>
      </w:r>
      <w:r>
        <w:rPr>
          <w:rFonts w:ascii="Arial" w:hAnsi="Arial"/>
          <w:b w:val="0"/>
          <w:i w:val="0"/>
          <w:sz w:val="19"/>
        </w:rPr>
        <w:t xml:space="preserve"> Aktualisierter Tracker­stand: 302 Layoff-Ereignisse mit 201.754 betroffenen Beschäftigten (rund 1.024 Stellen pro Tag); 164 KI-attribuierte Einzel­ereignisse mit rund 168.770 betroffenen Beschäftigten (etwa 54 % der Ereignisse und 84 % der Betroffenen). Fortschreibung des 267/185.894/56%-Stands vom 9. Juli 2026 um +35 Ereignisse (+13 %) und +15.860 Betroffene (+8,5 %); die Aggregat-KI-Kausalquote sinkt tendenziell von 56 auf 54 %, während die Zahl der KI-attribuierten Betroffenen von 156.270 auf 168.770 steigt. Aufnahme in § 1.1 als Aggregat-Beleg der weiterhin beschleunigenden Tech-Restrukturierung und als Präzisierung der KI-Kausalquote (§ 9.1). https://skillsyncer.com/layoffs-tracker</w:t>
      </w:r>
    </w:p>
    <w:p>
      <w:pPr>
        <w:jc w:val="both"/>
      </w:pPr>
      <w:r>
        <w:rPr>
          <w:rFonts w:ascii="Arial" w:hAnsi="Arial"/>
          <w:b w:val="0"/>
          <w:i w:val="0"/>
          <w:sz w:val="19"/>
        </w:rPr>
        <w:t xml:space="preserve">Moonshot AI / VentureBeat / Fortune / TechCrunch / People's Daily Online / Warp2Search / MLQ News / The Decoder / Simon Willison / Decrypt / Techloy / Codersera / kie.ai / Trilogy AI. (16. Juli 2026). </w:t>
      </w:r>
      <w:r>
        <w:rPr>
          <w:rFonts w:ascii="Arial" w:hAnsi="Arial"/>
          <w:b w:val="0"/>
          <w:i/>
          <w:sz w:val="19"/>
        </w:rPr>
        <w:t>Introducing Kimi K3 / China's Moonshot AI releases Kimi K3, the largest open-source model ever, rivaling top U.S. systems / Moonshot's Kimi K3 pushes Chinese AI into Fable-level territory / Moonshot's upcoming Kimi 3 is expected to close the gap with Anthropic's Opus 4.8 / Chinese company releases world's largest open-source AI model / Moonshot AI Releases Kimi K3: First Open 3-Trillion-Parameter-Class AI Model / Moonshot AI Releases Kimi K3, a 2.8-Trillion-Parameter Open-Weight Model Rivaling Top U.S. Systems / Kimis open model K3 nears GPT-5.6 Sol and Fable 5 while signaling the end of super cheap Chinese AI / Kimi K3, and what we can still learn from the pelican benchmark / China's Kimi K3 Is Out—And Beats Claude Fable and GPT 5.6 Sol on Key Benchmarks / Kimi K3 Beats Claude Opus 4.8, But Not Fable 5 or GPT 5.6 Sol / Kimi K3: Specs, Pricing &amp; Release (2026) / Kimi K3 vs Claude: 2.8T Open Model vs Opus 4.8 / Kimi K3 Is Live: Pricing, Benchmarks, and the Wait for Public Weights.</w:t>
      </w:r>
      <w:r>
        <w:rPr>
          <w:rFonts w:ascii="Arial" w:hAnsi="Arial"/>
          <w:b w:val="0"/>
          <w:i w:val="0"/>
          <w:sz w:val="19"/>
        </w:rPr>
        <w:t xml:space="preserve"> Öffentliche Freigabe des Mixture-of-Experts-Modells </w:t>
      </w:r>
      <w:r>
        <w:rPr>
          <w:rFonts w:ascii="Arial" w:hAnsi="Arial"/>
          <w:b w:val="0"/>
          <w:i/>
          <w:sz w:val="19"/>
        </w:rPr>
        <w:t>Kimi K3</w:t>
      </w:r>
      <w:r>
        <w:rPr>
          <w:rFonts w:ascii="Arial" w:hAnsi="Arial"/>
          <w:b w:val="0"/>
          <w:i w:val="0"/>
          <w:sz w:val="19"/>
        </w:rPr>
        <w:t xml:space="preserve"> mit rund 2,8 Billionen Gesamtparametern durch Moonshot AI (Peking) am 16. Juli 2026 als bislang größtes offen zugängliches („first open 3-trillion-parameter-class") KI-Modell;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Open-Weight-Release für den 27. Juli 2026 angekündigt. Artificial-Analysis-Intelligence-Index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OpenAI 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pro Million Input-Token und 15 US-Dollar pro Million Output-Token, Cache-Read 0,30 US-Dollar (90-%-Nachlass) — Preisniveau des </w:t>
      </w:r>
      <w:r>
        <w:rPr>
          <w:rFonts w:ascii="Arial" w:hAnsi="Arial"/>
          <w:b w:val="0"/>
          <w:i/>
          <w:sz w:val="19"/>
        </w:rPr>
        <w:t>Anthropic 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„signaling the end of super cheap Chinese AI"). Aufnahme in § 8.2 als weitere Frontier-Freigabe der Juli-2026-Serie und als Beleg für die Preis-Konvergenz chinesischer Open-Weight-Anbieter Richtung US-Workhorse-Niveau. https://venturebeat.com/technology/chinas-moonshot-ai-releases-kimi-k3-the-largest-open-source-model-ever-rivaling-top-u-s-systems | https://fortune.com/2026/07/16/moonshots-kimi-k3-pushes-chinese-ai-into-fable-level-territory/ | https://techcrunch.com/2026/07/16/moonshots-upcoming-kimi-3-is-expected-to-close-the-gap-with-anthropics-opus-4-8/ | http://en.people.cn/n3/2026/0717/c90000-20478901.html | https://www.warp2search.net/story/moonshot-ai-releases-kimi-k3-first-open-3trillionparameterclass-ai-model | https://mlq.ai/news/moonshot-ai-releases-kimi-k3-a-28-trillion-parameter-open-weight-model-rivaling-top-us-systems/ | https://the-decoder.com/kimis-open-model-k3-nears-gpt-5-6-sol-and-fable-5-while-signaling-the-end-of-super-cheap-chinese-ai/ | https://simonwillison.net/2026/Jul/16/kimi-k3/ | https://decrypt.co/373716/china-kimi-k3-largest-open-source-ai-model-ever-beats-claude-fable-gpt-5-6-sol | https://www.techloy.com/kimi-k3-vs-opus-4-8-fable-5-gpt-5-6-sol/ | https://codersera.com/blog/kimi-k3-complete-guide-2026/ | https://kie.ai/blog/kimi-k3-vs-claude | https://trilogyai.substack.com/p/kimi-k3-is-live-pricing-benchmarks</w:t>
      </w:r>
    </w:p>
    <w:p>
      <w:pPr>
        <w:jc w:val="both"/>
      </w:pPr>
      <w:r>
        <w:rPr>
          <w:rFonts w:ascii="Arial" w:hAnsi="Arial"/>
          <w:b w:val="0"/>
          <w:i w:val="0"/>
          <w:sz w:val="19"/>
        </w:rPr>
        <w:t xml:space="preserve">Meta / Fortune / CNBC / TechCrunch / TechTimes / Quartz / DataCamp / AI Weekly / Storyboard18 / cxotoday. (9. Juli 2026). </w:t>
      </w:r>
      <w:r>
        <w:rPr>
          <w:rFonts w:ascii="Arial" w:hAnsi="Arial"/>
          <w:b w:val="0"/>
          <w:i/>
          <w:sz w:val="19"/>
        </w:rPr>
        <w:t>Introducing Muse Spark 1.1 / Meta releases latest update of AI model Muse Spark as tech giant accelerates AI push under Alexandr Wang / Meta jumps into AI coding market in effort to chase Anthropic and OpenAI / Meta enters the crowded AI coding battle with Muse Spark 1.1 / Meta's Muse Spark 1.1 Opens Paid API at One-Quarter of Anthropic, OpenAI Rates / Meta launches paid Muse Spark 1.1 API to compete with OpenAI, Anthropic / Muse Spark 1.1: Meta's Agentic Model and API / Meta prices Muse Spark 1.1 API at $1.25/$4.25 per M tokens / What is Muse Spark 1.1? Meta's new AI model takes on OpenAI and Anthropic with agentic computing / After SpaceX, Meta Now Launches Muse Spark 1.1 Model, to Begin AI Chip Production in Sept.</w:t>
      </w:r>
      <w:r>
        <w:rPr>
          <w:rFonts w:ascii="Arial" w:hAnsi="Arial"/>
          <w:b w:val="0"/>
          <w:i w:val="0"/>
          <w:sz w:val="19"/>
        </w:rPr>
        <w:t xml:space="preserve"> Öffentliche Freigabe des agentischen Multimodalmodells </w:t>
      </w:r>
      <w:r>
        <w:rPr>
          <w:rFonts w:ascii="Arial" w:hAnsi="Arial"/>
          <w:b w:val="0"/>
          <w:i/>
          <w:sz w:val="19"/>
        </w:rPr>
        <w:t>Muse Spark 1.1</w:t>
      </w:r>
      <w:r>
        <w:rPr>
          <w:rFonts w:ascii="Arial" w:hAnsi="Arial"/>
          <w:b w:val="0"/>
          <w:i w:val="0"/>
          <w:sz w:val="19"/>
        </w:rPr>
        <w:t xml:space="preserve"> über die kostenpflichtige </w:t>
      </w:r>
      <w:r>
        <w:rPr>
          <w:rFonts w:ascii="Arial" w:hAnsi="Arial"/>
          <w:b w:val="0"/>
          <w:i/>
          <w:sz w:val="19"/>
        </w:rPr>
        <w:t>Meta Model API</w:t>
      </w:r>
      <w:r>
        <w:rPr>
          <w:rFonts w:ascii="Arial" w:hAnsi="Arial"/>
          <w:b w:val="0"/>
          <w:i w:val="0"/>
          <w:sz w:val="19"/>
        </w:rPr>
        <w:t xml:space="preserve"> zum 9. Juli 2026 aus dem </w:t>
      </w:r>
      <w:r>
        <w:rPr>
          <w:rFonts w:ascii="Arial" w:hAnsi="Arial"/>
          <w:b w:val="0"/>
          <w:i/>
          <w:sz w:val="19"/>
        </w:rPr>
        <w:t>Meta Superintelligence Labs</w:t>
      </w:r>
      <w:r>
        <w:rPr>
          <w:rFonts w:ascii="Arial" w:hAnsi="Arial"/>
          <w:b w:val="0"/>
          <w:i w:val="0"/>
          <w:sz w:val="19"/>
        </w:rPr>
        <w:t xml:space="preserve"> unter Alexandr Wang (Kontextfenster 1 Million Token mit aktivem Kontextmanagement, Fortschritte in Werkzeug- und Rechnerbedienung, Programmieren und multimodalem Verständnis; Einstiegspreis 1,25 US-Dollar Input / 4,25 US-Dollar Output pro Million Token, 20 US-Dollar Startguthaben — rund ein Viertel bis ein Drittel des Anthropic-/OpenAI-Preisniveaus). Weitere strategische Einordnung: Meta-Chip-Produktion ab September 2026 angekündigt. Beleg für die deflationäre Preisdynamik der Frontier-Inferenz und die Verdichtung der Angebotsseite an der US-Frontier (§ 8.2). https://ai.meta.com/blog/introducing-muse-spark-meta-model-api/ | https://fortune.com/2026/07/09/meta-muse-spark-1-1-release-alexandr-wang-superintelligence-labs-mark-zuckerberg/ | https://www.cnbc.com/2026/07/09/meta-jumps-into-ai-coding-market-to-chase-anthropic-and-openai.html | https://techcrunch.com/2026/07/09/meta-enters-the-crowded-ai-coding-battle-with-muse-spark-1-1/ | https://www.techtimes.com/articles/320088/20260710/metas-muse-spark-11-opens-paid-api-one-quarter-anthropic-openai-rates.htm | https://qz.com/meta-muse-spark-api-developers-paid-anthropic-openai-070926 | https://www.datacamp.com/blog/muse-spark-1-1 | https://aiweekly.co/alerts/meta-prices-muse-spark-11-api-at-125425-per-m-tokens | https://www.storyboard18.com/digital/what-is-muse-spark-1-1-metas-new-ai-model-takes-on-openai-and-anthropic-with-agentic-computing-103831.htm | https://cxotoday.com/big-tech/after-spacex-meta-now-launches-muse-spark-1-1-model-to-begin-ai-chip-production-in-sept/</w:t>
      </w:r>
    </w:p>
    <w:p>
      <w:pPr>
        <w:jc w:val="both"/>
      </w:pPr>
      <w:r>
        <w:rPr>
          <w:rFonts w:ascii="Arial" w:hAnsi="Arial"/>
          <w:b w:val="0"/>
          <w:i w:val="0"/>
          <w:sz w:val="19"/>
        </w:rPr>
        <w:t xml:space="preserve">Anthropic / Axios / Quartz / MarkTechPost / tech-ish / DigitalApplied / benchlm.ai. (24. Juli 2026). </w:t>
      </w:r>
      <w:r>
        <w:rPr>
          <w:rFonts w:ascii="Arial" w:hAnsi="Arial"/>
          <w:b w:val="0"/>
          <w:i/>
          <w:sz w:val="19"/>
        </w:rPr>
        <w:t>Introducing Claude Opus 5 / Anthropic releases new model, Opus 5 / Anthropic launches Claude Opus 5 at half the price of Fable 5 / Claude Opus 5 is here at half the price of Anthropic's best model / Meet the New Claude Opus 5: Frontier-Class Agentic Coding and Computer Use at Unchanged Opus Pricing / Claude Opus 5: Frontier Intelligence at Half the Price / Claude API Pricing (July 2026): All Models per 1M Tokens.</w:t>
      </w:r>
      <w:r>
        <w:rPr>
          <w:rFonts w:ascii="Arial" w:hAnsi="Arial"/>
          <w:b w:val="0"/>
          <w:i w:val="0"/>
          <w:sz w:val="19"/>
        </w:rPr>
        <w:t xml:space="preserve"> Öffentliche Freigabe des Foundation-Modells </w:t>
      </w:r>
      <w:r>
        <w:rPr>
          <w:rFonts w:ascii="Arial" w:hAnsi="Arial"/>
          <w:b w:val="0"/>
          <w:i/>
          <w:sz w:val="19"/>
        </w:rPr>
        <w:t>Claude Opus 5</w:t>
      </w:r>
      <w:r>
        <w:rPr>
          <w:rFonts w:ascii="Arial" w:hAnsi="Arial"/>
          <w:b w:val="0"/>
          <w:i w:val="0"/>
          <w:sz w:val="19"/>
        </w:rPr>
        <w:t xml:space="preserve"> durch Anthropic zum 24. Juli 2026 mit 1-Millionen-Token-Kontextfenster, bis zu 128 000 Output-Token, adaptivem Denkmodus und fünfstufiger </w:t>
      </w:r>
      <w:r>
        <w:rPr>
          <w:rFonts w:ascii="Arial" w:hAnsi="Arial"/>
          <w:b w:val="0"/>
          <w:i/>
          <w:sz w:val="19"/>
        </w:rPr>
        <w:t>effort</w:t>
      </w:r>
      <w:r>
        <w:rPr>
          <w:rFonts w:ascii="Arial" w:hAnsi="Arial"/>
          <w:b w:val="0"/>
          <w:i w:val="0"/>
          <w:sz w:val="19"/>
        </w:rPr>
        <w:t xml:space="preserve">-Skala; laut Hersteller frontiernaher Fähigkeitsstand bei </w:t>
      </w:r>
      <w:r>
        <w:rPr>
          <w:rFonts w:ascii="Arial" w:hAnsi="Arial"/>
          <w:b w:val="0"/>
          <w:i/>
          <w:sz w:val="19"/>
        </w:rPr>
        <w:t>Claude Fable 5</w:t>
      </w:r>
      <w:r>
        <w:rPr>
          <w:rFonts w:ascii="Arial" w:hAnsi="Arial"/>
          <w:b w:val="0"/>
          <w:i w:val="0"/>
          <w:sz w:val="19"/>
        </w:rPr>
        <w:t xml:space="preserve"> — 3 US-Dollar Input / 25 US-Dollar Output pro Million Token — bei identischem Preisniveau zum Vorgänger </w:t>
      </w:r>
      <w:r>
        <w:rPr>
          <w:rFonts w:ascii="Arial" w:hAnsi="Arial"/>
          <w:b w:val="0"/>
          <w:i/>
          <w:sz w:val="19"/>
        </w:rPr>
        <w:t>Opus 4.8</w:t>
      </w:r>
      <w:r>
        <w:rPr>
          <w:rFonts w:ascii="Arial" w:hAnsi="Arial"/>
          <w:b w:val="0"/>
          <w:i w:val="0"/>
          <w:sz w:val="19"/>
        </w:rPr>
        <w:t xml:space="preserve"> und Halbierung gegenüber Fable 5 (10 US-Dollar Input / 50 US-Dollar Output). Anthropic bewirbt Opus 5 als bislang am stärksten aligniertes Modell mit den niedrigsten Raten täuschenden Verhaltens und geringster Anfälligkeit gegenüber Missbrauchsversuchen (Konjunktiv nach § 4.2 Claude.md). Aufnahme in § 8.2 als Datenpunkt der deflationären Inferenzpreis-Dynamik und deren Rückwirkung auf die </w:t>
      </w:r>
      <w:r>
        <w:rPr>
          <w:rFonts w:ascii="Arial" w:hAnsi="Arial"/>
          <w:b w:val="0"/>
          <w:i/>
          <w:sz w:val="19"/>
        </w:rPr>
        <w:t>Veredelungsstrategie</w:t>
      </w:r>
      <w:r>
        <w:rPr>
          <w:rFonts w:ascii="Arial" w:hAnsi="Arial"/>
          <w:b w:val="0"/>
          <w:i w:val="0"/>
          <w:sz w:val="19"/>
        </w:rPr>
        <w:t xml:space="preserve"> der Deutschland-These (§ 8.3). https://www.axios.com/2026/07/24/anthropic-releases-new-model-opus-5 | https://qz.com/anthropic-claude-opus-5-fable-5-price-072426 | https://www.marktechpost.com/2026/07/24/meet-the-new-claude-opus-5-frontier-class-agentic-coding-and-computer-use-at-unchanged-opus-pricing/ | https://tech-ish.com/2026/07/24/claude-opus-5-launch-benchmarks-price/ | https://www.digitalapplied.com/blog/claude-opus-5-launch-benchmarks-pricing-2026 | https://benchlm.ai/anthropic/api-pricing</w:t>
      </w:r>
    </w:p>
    <w:p>
      <w:pPr>
        <w:jc w:val="both"/>
      </w:pPr>
      <w:r>
        <w:rPr>
          <w:rFonts w:ascii="Arial" w:hAnsi="Arial"/>
          <w:b w:val="0"/>
          <w:i w:val="0"/>
          <w:sz w:val="19"/>
        </w:rPr>
        <w:t xml:space="preserve">Uber Technologies Inc. / Yahoo Finance / gurufocus / americanbazaaronline / AOL / Human Resources Director / Yahoo News Canada. (22. Juli 2026). </w:t>
      </w:r>
      <w:r>
        <w:rPr>
          <w:rFonts w:ascii="Arial" w:hAnsi="Arial"/>
          <w:b w:val="0"/>
          <w:i/>
          <w:sz w:val="19"/>
        </w:rPr>
        <w:t>Uber Cuts 10% of Customer Service Jobs, Citing 'Embrace' of AI / Uber Technologies (UBER) Cuts 10% of Customer Service Jobs Amid AI Strategy / Uber to cut 10% of customer service roles citing AI / Uber cuts 10% of customer service staff in favor of AI / Uber cuts 10% of customer service staff to 'embrace' AI.</w:t>
      </w:r>
      <w:r>
        <w:rPr>
          <w:rFonts w:ascii="Arial" w:hAnsi="Arial"/>
          <w:b w:val="0"/>
          <w:i w:val="0"/>
          <w:sz w:val="19"/>
        </w:rPr>
        <w:t xml:space="preserve"> Ankündigung von </w:t>
      </w:r>
      <w:r>
        <w:rPr>
          <w:rFonts w:ascii="Arial" w:hAnsi="Arial"/>
          <w:b w:val="0"/>
          <w:i/>
          <w:sz w:val="19"/>
        </w:rPr>
        <w:t>Uber Technologies Inc.</w:t>
      </w:r>
      <w:r>
        <w:rPr>
          <w:rFonts w:ascii="Arial" w:hAnsi="Arial"/>
          <w:b w:val="0"/>
          <w:i w:val="0"/>
          <w:sz w:val="19"/>
        </w:rPr>
        <w:t xml:space="preserve"> vom 22. Juli 2026, rund 10 % der Community-Operations- (Customer-Service-) Teams zu streichen. Uber-Vice-President Global Community Operations Megha Yethatika begründet die Reduktion mit „our organization has become too complex and siloed" und dem Ziel „an effective organization to layer AI on" (Konjunktiv nach § 4.2 Claude.md); gleichzeitig weiterhin über 500 offene Stellen unter anderem für Robotaxi-Ingenieurinnen und -Ingenieure ausgeschrieben. Die Streichung markiert nach übereinstimmender Berichterstattung die erste konzernseitige, offen KI-attribuierte Personalreduktion und folgt der Streichung von 23 % der HR-Division im Juni 2026 (unter 1 % der weltweit rund 34.000 Beschäftigten). Aufnahme in § 1.1 als Cluster-F-Beleg der offen substitutions­nahen Selbstpositionierung eines KI-Layoffs und Rückwirkung auf § 9.1 (Kausalattribution im Vergleich zu den nicht-substitutions­bezogenen Positionierungen von </w:t>
      </w:r>
      <w:r>
        <w:rPr>
          <w:rFonts w:ascii="Arial" w:hAnsi="Arial"/>
          <w:b w:val="0"/>
          <w:i/>
          <w:sz w:val="19"/>
        </w:rPr>
        <w:t>monday.com</w:t>
      </w:r>
      <w:r>
        <w:rPr>
          <w:rFonts w:ascii="Arial" w:hAnsi="Arial"/>
          <w:b w:val="0"/>
          <w:i w:val="0"/>
          <w:sz w:val="19"/>
        </w:rPr>
        <w:t xml:space="preserve"> und </w:t>
      </w:r>
      <w:r>
        <w:rPr>
          <w:rFonts w:ascii="Arial" w:hAnsi="Arial"/>
          <w:b w:val="0"/>
          <w:i/>
          <w:sz w:val="19"/>
        </w:rPr>
        <w:t>Patreon</w:t>
      </w:r>
      <w:r>
        <w:rPr>
          <w:rFonts w:ascii="Arial" w:hAnsi="Arial"/>
          <w:b w:val="0"/>
          <w:i w:val="0"/>
          <w:sz w:val="19"/>
        </w:rPr>
        <w:t>). https://finance.yahoo.com/technology/ai/articles/uber-cuts-10-customer-jobs-234053965.html | https://www.gurufocus.com/news/8973322/uber-technologies-uber-cuts-10-of-customer-service-jobs-amid-ai-strategy | https://americanbazaaronline.com/2026/07/23/uber-cut-customer-service-roles-ai-485147/ | https://www.aol.com/articles/uber-cuts-10-customer-staff-134403000.html | https://www.hcamag.com/us/news/general/uber-cuts-10-of-customer-service-staff-to-embrace-ai/583511 | https://ca.news.yahoo.com/uber-cuts-10-customer-staff-134403828.html</w:t>
      </w:r>
    </w:p>
    <w:p>
      <w:pPr>
        <w:jc w:val="both"/>
      </w:pPr>
      <w:r>
        <w:rPr>
          <w:rFonts w:ascii="Arial" w:hAnsi="Arial"/>
          <w:b w:val="0"/>
          <w:i w:val="0"/>
          <w:sz w:val="19"/>
        </w:rPr>
        <w:t xml:space="preserve">Patreon / TechCrunch / Variety / Engadget / 404 Media / Music Ally / americanbazaaronline / iHeart / TechBriefly / The Statesman. (23. Juli 2026). </w:t>
      </w:r>
      <w:r>
        <w:rPr>
          <w:rFonts w:ascii="Arial" w:hAnsi="Arial"/>
          <w:b w:val="0"/>
          <w:i/>
          <w:sz w:val="19"/>
        </w:rPr>
        <w:t>Patreon lays off 20% of its workforce / Patreon Lays Off 20% of Employees as Part of 'Painful' Restructuring / Patreon is laying off 20 percent of its staff / Patreon Lays Off 20 Percent of Its Workforce / Patreon lays off 93 employees in major restructuring / Patreon lays off 20% of staff despite 'healthy and strong' business / Patreon CEO announces 20% layoffs due to rapid market changes, including AI / Patreon Lays Off 20% Of Workforce Amid Restructuring / Patreon's revenue is up 28%, so why is it cutting 20% of its staff?</w:t>
      </w:r>
      <w:r>
        <w:rPr>
          <w:rFonts w:ascii="Arial" w:hAnsi="Arial"/>
          <w:b w:val="0"/>
          <w:i w:val="0"/>
          <w:sz w:val="19"/>
        </w:rPr>
        <w:t xml:space="preserve"> Ankündigung des Membership-Plattform-Anbieters </w:t>
      </w:r>
      <w:r>
        <w:rPr>
          <w:rFonts w:ascii="Arial" w:hAnsi="Arial"/>
          <w:b w:val="0"/>
          <w:i/>
          <w:sz w:val="19"/>
        </w:rPr>
        <w:t>Patreon</w:t>
      </w:r>
      <w:r>
        <w:rPr>
          <w:rFonts w:ascii="Arial" w:hAnsi="Arial"/>
          <w:b w:val="0"/>
          <w:i w:val="0"/>
          <w:sz w:val="19"/>
        </w:rPr>
        <w:t xml:space="preserve"> vom 23. Juli 2026, 93 Beschäftigte (rund 20 % der Belegschaft) zu entlassen; CEO Jack Conte ordnet die Reduktion im internen Blog ausdrücklich </w:t>
      </w:r>
      <w:r>
        <w:rPr>
          <w:rFonts w:ascii="Arial" w:hAnsi="Arial"/>
          <w:b w:val="0"/>
          <w:i/>
          <w:sz w:val="19"/>
        </w:rPr>
        <w:t>nicht</w:t>
      </w:r>
      <w:r>
        <w:rPr>
          <w:rFonts w:ascii="Arial" w:hAnsi="Arial"/>
          <w:b w:val="0"/>
          <w:i w:val="0"/>
          <w:sz w:val="19"/>
        </w:rPr>
        <w:t xml:space="preserve"> als KI-Substitution ein — wörtlich: „we are not making the above changes because we believe AI replaces humans" (Konjunktiv nach § 4.2 Claude.md) — verweist zugleich aber auf „AI has fundamentally transformed the tech industry" als strategischen Anlass. Abfindungspaket: mindestens 16 Wochen Grundvergütung plus eine Woche pro Dienstjahr, Kranken­versicherung bis Jahresende und ein 1.500-US-Dollar-Stipendium zum Laptop-Ersatz. Kontext: über 300.000 Kreative auf der Plattform, Umsatz 2025 +28 % gegenüber Vorjahr; größte Personalreduktion seit 2022 (damals 17 %). Aufnahme in § 1.1 als Cluster-F-Beleg der ausdrücklich nicht-substitutions­bezogenen Selbstpositionierung eines KI-nahen Layoffs und Rückwirkung auf § 9.1 (Bandbreite der Selbstpositionierung im Vergleich zu </w:t>
      </w:r>
      <w:r>
        <w:rPr>
          <w:rFonts w:ascii="Arial" w:hAnsi="Arial"/>
          <w:b w:val="0"/>
          <w:i/>
          <w:sz w:val="19"/>
        </w:rPr>
        <w:t>Uber</w:t>
      </w:r>
      <w:r>
        <w:rPr>
          <w:rFonts w:ascii="Arial" w:hAnsi="Arial"/>
          <w:b w:val="0"/>
          <w:i w:val="0"/>
          <w:sz w:val="19"/>
        </w:rPr>
        <w:t xml:space="preserve"> und </w:t>
      </w:r>
      <w:r>
        <w:rPr>
          <w:rFonts w:ascii="Arial" w:hAnsi="Arial"/>
          <w:b w:val="0"/>
          <w:i/>
          <w:sz w:val="19"/>
        </w:rPr>
        <w:t>monday.com</w:t>
      </w:r>
      <w:r>
        <w:rPr>
          <w:rFonts w:ascii="Arial" w:hAnsi="Arial"/>
          <w:b w:val="0"/>
          <w:i w:val="0"/>
          <w:sz w:val="19"/>
        </w:rPr>
        <w:t>). https://techcrunch.com/2026/07/23/patreon-lays-off-off-20-of-its-workforce/ | https://variety.com/2026/biz/news/patreon-cuts-20-percent-of-employees-painful-restructuring-1236819665/ | https://www.engadget.com/2222170/patreon-is-laying-off-20-percent-of-its-staff/ | https://www.404media.co/patreon-lays-off-20-percent-of-its-workforce/ | https://musically.com/2026/07/24/patreon-lays-off-20-of-staff-despite-healthy-and-strong-business/ | https://americanbazaaronline.com/2026/07/24/patreon-ceo-announces-20-layoffs-due-to-rapid-market-changes-485189/ | https://woodradio.iheart.com/content/2026-07-24-patreon-lays-off-20-of-workforce-amid-restructuring/ | https://techbriefly.com/2026/07/24/patreon-lays-off-93-employees-in-major-restructuring/ | https://www.thestatesman.com/entertainment/patreon-layoffs-2026-20-percent-workforce-jack-conte-restructuring-1503620299.html</w:t>
      </w:r>
    </w:p>
    <w:p>
      <w:pPr>
        <w:jc w:val="both"/>
      </w:pPr>
      <w:r>
        <w:rPr>
          <w:rFonts w:ascii="Arial" w:hAnsi="Arial"/>
          <w:b w:val="0"/>
          <w:i w:val="0"/>
          <w:sz w:val="19"/>
        </w:rPr>
        <w:t xml:space="preserve">monday.com Ltd. / TechCrunch / Yahoo Finance / Haaretz / The Times of Israel / Ctech / TheNextWeb / americanbazaaronline / machinebrief. (22. Juli 2026). </w:t>
      </w:r>
      <w:r>
        <w:rPr>
          <w:rFonts w:ascii="Arial" w:hAnsi="Arial"/>
          <w:b w:val="0"/>
          <w:i/>
          <w:sz w:val="19"/>
        </w:rPr>
        <w:t>Monday.com lays off hundreds to focus on AI / Monday.com cuts hundreds of jobs as it restructures around AI strategy / Israeli tech firm monday.com to lay off fifth of workers / Monday.com is cutting 20 percent of its workforce as it pivots to an AI work platform / Monday.com cuts 20% of workforce as it restructures for the AI era / Monday.com cutting hundreds of jobs as it embraces AI / Monday.com cuts 20% of workforce to restructure for AI era / Monday.com Cuts 620 Jobs in AI Restructuring.</w:t>
      </w:r>
      <w:r>
        <w:rPr>
          <w:rFonts w:ascii="Arial" w:hAnsi="Arial"/>
          <w:b w:val="0"/>
          <w:i w:val="0"/>
          <w:sz w:val="19"/>
        </w:rPr>
        <w:t xml:space="preserve"> Konzernweite Ankündigung des israelischen Work-Management-Anbieters </w:t>
      </w:r>
      <w:r>
        <w:rPr>
          <w:rFonts w:ascii="Arial" w:hAnsi="Arial"/>
          <w:b w:val="0"/>
          <w:i/>
          <w:sz w:val="19"/>
        </w:rPr>
        <w:t>monday.com Ltd.</w:t>
      </w:r>
      <w:r>
        <w:rPr>
          <w:rFonts w:ascii="Arial" w:hAnsi="Arial"/>
          <w:b w:val="0"/>
          <w:i w:val="0"/>
          <w:sz w:val="19"/>
        </w:rPr>
        <w:t xml:space="preserve"> (NASDAQ: MNDY) vom 22. Juli 2026, rund 620 Beschäftigte — 20 % der globalen Belegschaft, davon rund 350 am Tel-Aviver Hauptsitz — zu entlassen; gemeinsamer Mitarbeitendenbrief der Mitgründer und Co-CEOs Roy Mann und Eran Zinman ordnet die Reduktion ausdrücklich als AI-First-Strategie und </w:t>
      </w:r>
      <w:r>
        <w:rPr>
          <w:rFonts w:ascii="Arial" w:hAnsi="Arial"/>
          <w:b w:val="0"/>
          <w:i/>
          <w:sz w:val="19"/>
        </w:rPr>
        <w:t>nicht</w:t>
      </w:r>
      <w:r>
        <w:rPr>
          <w:rFonts w:ascii="Arial" w:hAnsi="Arial"/>
          <w:b w:val="0"/>
          <w:i w:val="0"/>
          <w:sz w:val="19"/>
        </w:rPr>
        <w:t xml:space="preserve"> als Kostenmaßnahme oder Substitution ein (wörtlich: „the layoffs are not intended as a cost-cutting initiative or a direct replacement of employees with artificial intelligence"; „We entered a new era where AI is transforming the role of software" — Konjunktiv nach § 4.2 Claude.md); Restrukturierungsaufwand 45 bis 55 Millionen US-Dollar (Abfindungen und Büroflächenreduktion), </w:t>
      </w:r>
      <w:r>
        <w:rPr>
          <w:rFonts w:ascii="Arial" w:hAnsi="Arial"/>
          <w:b w:val="0"/>
          <w:i/>
          <w:sz w:val="19"/>
        </w:rPr>
        <w:t>Non-GAAP-Operating-Margin</w:t>
      </w:r>
      <w:r>
        <w:rPr>
          <w:rFonts w:ascii="Arial" w:hAnsi="Arial"/>
          <w:b w:val="0"/>
          <w:i w:val="0"/>
          <w:sz w:val="19"/>
        </w:rPr>
        <w:t xml:space="preserve">-Guidance für 2026 von 13 % auf 15 % angehoben, Umsatzwachstumsziele bei 19 bis 20 % gehalten. Aufnahme in § 1.1 als Fortschreibung der Enterprise-SaaS-Restrukturierungswelle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und mit Rückwirkung auf § 9.1 (Kausalattributions­problematik selbstpositionierter „AI-First"-Layoffs, die Substitutions­kausalität dementieren, aber KI als strategischen Anlass benennen). https://techcrunch.com/2026/07/22/monday-com-lays-off-hundreds-to-focuses-on-ai/ | https://finance.yahoo.com/technology/ai/articles/monday-com-cuts-hundreds-jobs-155900591.html | https://www.haaretz.com/israel-news/tech-news/2026-07-22/ty-article/.premium/israeli-tech-firm-monday-com-to-lay-off-fifth-of-workers-as-shares-dip-by-50/0000019f-8934-d460-abff-cf7cb8f90000 | https://www.timesofisrael.com/liveblog_entry/monday-com-cutting-hundreds-of-jobs-as-it-embraces-ai/ | https://www.calcalistech.com/ctechnews/article/udx1nmbdq | https://thenextweb.com/news/monday-com-layoffs-20-percent-ai-growth-strategy | https://americanbazaaronline.com/2026/07/23/monday-com-cuts-20-of-workforce-to-restructure-for-ai-era-485112/ | https://www.machinebrief.com/news/monday-com-620-layoffs-20-percent-workforce-ai-restructuring-july-2026</w:t>
      </w:r>
    </w:p>
    <w:p>
      <w:pPr>
        <w:jc w:val="both"/>
      </w:pPr>
      <w:r>
        <w:rPr>
          <w:rFonts w:ascii="Arial" w:hAnsi="Arial"/>
          <w:b w:val="0"/>
          <w:i w:val="0"/>
          <w:sz w:val="19"/>
        </w:rPr>
        <w:t xml:space="preserve">IBTimes / IBTimes UK / Yahoo Tech / Tech.co / TechCrunch / GeekWire / Insurance Journal / TechChannel News. (4. – 10. August 2026). </w:t>
      </w:r>
      <w:r>
        <w:rPr>
          <w:rFonts w:ascii="Arial" w:hAnsi="Arial"/>
          <w:b w:val="0"/>
          <w:i/>
          <w:sz w:val="19"/>
        </w:rPr>
        <w:t>Tech Layoffs in 2026 Already Beat Last Year's Total as Google, Zillow and TikTok Cut Hundreds / Tech layoffs 2026: Tracking all of the job losses across TikTok, Microsoft, Meta, Oracle, Samsung and others / Zillow cuts more than 500 jobs in its largest layoff of the year / Every major tech layoff in 2026 that has name-checked AI / AI is getting the blame for more than 163,427 tech job layoffs.</w:t>
      </w:r>
      <w:r>
        <w:rPr>
          <w:rFonts w:ascii="Arial" w:hAnsi="Arial"/>
          <w:b w:val="0"/>
          <w:i w:val="0"/>
          <w:sz w:val="19"/>
        </w:rPr>
        <w:t xml:space="preserve"> Aggregierte Berichterstattung zur Tech-Layoff-Bilanz Anfang August 2026: Über 125.000 betroffene Beschäftigte in rund 264 Unternehmen (SkillSyncer- und Tech.co-Zählmethodik; TechChannel-News-Auswertung 163.427 nach breiterer Zählweise); Zillow rund 500 Stellen am 4. August 2026 (Blog-Post CEO Jeremy Wacksman), Google-Rolling-Reviews im mittleren einstelligen Tausender-Bereich, TikTok und Etsy im niedrigen dreistelligen Bereich mit von Unternehmensseite bestrittener AI-Kausalität. Aufnahme in § 1.1 als Fortschreibung der bereits mit Version 55.0 – 60.0 dokumentierten Tracker-Reihe. https://www.ibtimes.co.uk/tech-layoffs-2026-zillow-tiktok-etsy-google-1813127 | https://www.ibtimes.com/tech-layoffs-2026-already-beat-last-years-total-google-zillow-tiktok-cut-hundreds-3806211 | https://tech.yahoo.com/general/article/tech-layoffs-2026-tracking-all-of-the-job-losses-across-tiktok-microsoft-meta-oracle-samsung-and-others-144545528.html | https://tech.co/news/tech-companies-layoffs | https://techcrunch.com/2026/07/06/the-running-list-major-tech-layoffs-in-2026-where-employers-cited-ai/ | https://www.geekwire.com/2026/zillow-cuts-more-than-500-jobs-in-its-largest-layoff-of-the-year/ | https://techchannel.news/ai-is-getting-the-blame-for-more-than-163427-tech-job-layoffs/</w:t>
      </w:r>
    </w:p>
    <w:p>
      <w:pPr>
        <w:jc w:val="both"/>
      </w:pPr>
      <w:r>
        <w:rPr>
          <w:rFonts w:ascii="Arial" w:hAnsi="Arial"/>
          <w:b w:val="0"/>
          <w:i w:val="0"/>
          <w:sz w:val="19"/>
        </w:rPr>
        <w:t xml:space="preserve">Macquarie Asset Management / Bloomberg / HPCwire / StreetInsider / CryptoBriefing / Yahoo Finance / Data Center Richness. (10. August 2026). </w:t>
      </w:r>
      <w:r>
        <w:rPr>
          <w:rFonts w:ascii="Arial" w:hAnsi="Arial"/>
          <w:b w:val="0"/>
          <w:i/>
          <w:sz w:val="19"/>
        </w:rPr>
        <w:t>Anthropic, Macquarie Asset Management, and GIC Announce Strategic Partnership to Develop Dedicated Data Center Infrastructure at Scale / Anthropic, Macquarie and GIC Form Venture for AI Data Centers / Anthropic, Macquarie and GIC Launch Theseus Infrastructure for AI Data Centers / Anthropic, Macquarie, and GIC form data center partnership / Anthropic partners with Macquarie and GIC to expand US AI data center capacity / Anthropic partners with Macquarie and GIC to build data centers / Anthropic Taps Macquarie, GIC to Build More Data Centers.</w:t>
      </w:r>
      <w:r>
        <w:rPr>
          <w:rFonts w:ascii="Arial" w:hAnsi="Arial"/>
          <w:b w:val="0"/>
          <w:i w:val="0"/>
          <w:sz w:val="19"/>
        </w:rPr>
        <w:t xml:space="preserve"> Gemeinsame Presseerklärung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vom 10. August 2026 über die Gründung des Infrastruktur-Vehikels </w:t>
      </w:r>
      <w:r>
        <w:rPr>
          <w:rFonts w:ascii="Arial" w:hAnsi="Arial"/>
          <w:b w:val="0"/>
          <w:i/>
          <w:sz w:val="19"/>
        </w:rPr>
        <w:t>Theseus Infrastructure</w:t>
      </w:r>
      <w:r>
        <w:rPr>
          <w:rFonts w:ascii="Arial" w:hAnsi="Arial"/>
          <w:b w:val="0"/>
          <w:i w:val="0"/>
          <w:sz w:val="19"/>
        </w:rPr>
        <w:t xml:space="preserve"> zur Entwicklung, Errichtung und Verpachtung dedizierter KI-Rechenzentren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die Fonds von </w:t>
      </w:r>
      <w:r>
        <w:rPr>
          <w:rFonts w:ascii="Arial" w:hAnsi="Arial"/>
          <w:b w:val="0"/>
          <w:i/>
          <w:sz w:val="19"/>
        </w:rPr>
        <w:t>Macquarie Asset Management</w:t>
      </w:r>
      <w:r>
        <w:rPr>
          <w:rFonts w:ascii="Arial" w:hAnsi="Arial"/>
          <w:b w:val="0"/>
          <w:i w:val="0"/>
          <w:sz w:val="19"/>
        </w:rPr>
        <w:t xml:space="preserve"> halten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zur Abdeckung von Aufschlägen auf die Verbraucher-Stromtarife der jeweiligen Host-Regionen. Erste Projekte in den USA; Konzernangaben zu Standorten, Gesamtinvestitionsvolumen, Gigawatt-Kapazität und Zeitplan zum Ankündigungsdatum offen. Aufnahme in § 8.2 als privatwirtschaftliches Multi-Investor-Vehikel-Modell der KI-Compute-Finanzierungs­schicht mit Rückwirkung auf § 4.5 (bereits realisierte kapitalmarkt­institutionelle Bestandsanknüpfung neben legislativen Sovereign-Wealth-Fund-Vorschlägen), § 5.4 (privatwirtschaftliche Consumer-Utility-Rate-Schutzklausel als Präzedenz für Externalitäten-Kompensation) und § 8.3 (Erweiterung der außereuropäischen Finanzierungs­schicht der KI-Infrastruktur). https://www.macquarie.com/au/en/about/news/2026/anthropic-mam-gic-data-centre-infrastructure-partnership.html | https://www.bloomberg.com/news/articles/2026-08-10/anthropic-macquarie-and-gic-form-venture-for-ai-data-centers | https://www.hpcwire.com/off-the-wire/anthropic-macquarie-and-gic-launch-theseus-infrastructure-for-ai-data-centers/ | https://www.streetinsider.com/Corporate+News/Anthropic,+Macquarie,+and+GIC+form+data+center+partnership/26894772.html | https://cryptobriefing.com/anthropic-macquarie-gic-theseus-data-centers/ | https://finance.yahoo.com/technology/ai/articles/anthropic-partners-macquarie-gic-build-131124573.html | https://finance.yahoo.com/technology/ai/articles/anthropic-macquarie-gic-form-venture-123117352.html | https://datacenterrichness.substack.com/p/anthropic-taps-macquarie-gic-to-build</w:t>
      </w:r>
    </w:p>
    <w:p>
      <w:pPr>
        <w:jc w:val="both"/>
      </w:pPr>
      <w:r>
        <w:rPr>
          <w:rFonts w:ascii="Arial" w:hAnsi="Arial"/>
          <w:b w:val="0"/>
          <w:i w:val="0"/>
          <w:sz w:val="19"/>
        </w:rPr>
        <w:t xml:space="preserve">NVIDIA Corporation / Bloomberg / CNBC / Axios / Financial Times / Yahoo Finance / Quartz / Investing.com. (10. August 2026). </w:t>
      </w:r>
      <w:r>
        <w:rPr>
          <w:rFonts w:ascii="Arial" w:hAnsi="Arial"/>
          <w:b w:val="0"/>
          <w:i/>
          <w:sz w:val="19"/>
        </w:rPr>
        <w:t>NVIDIA Partners With Apollo, BlackRock, Blackstone, Brookfield, Goldman Sachs and KKR to Establish AI Compute Infrastructure Financing Platforms to Mobilize Over $500 Billion of Third-Party Capital / Nvidia Taps Wall Street for $500 Billion Funding Commitment / Nvidia partners with Wall Street firms on $500B AI financing / Nvidia, Wall Street partner on $500B AI financing / Nvidia partners with Apollo, BlackRock, and others on $500B AI financing push / Nvidia lines up $500 billion in financing as CEO Jensen Huang tells CNBC his chips are 'investable asset'.</w:t>
      </w:r>
      <w:r>
        <w:rPr>
          <w:rFonts w:ascii="Arial" w:hAnsi="Arial"/>
          <w:b w:val="0"/>
          <w:i w:val="0"/>
          <w:sz w:val="19"/>
        </w:rPr>
        <w:t xml:space="preserve"> Nvidia-Presseerklärung vom 10. August 2026 zur Etablierung </w:t>
      </w:r>
      <w:r>
        <w:rPr>
          <w:rFonts w:ascii="Arial" w:hAnsi="Arial"/>
          <w:b w:val="0"/>
          <w:i/>
          <w:sz w:val="19"/>
        </w:rPr>
        <w:t>unabhängiger AI-Compute-Infrastructure-Financing-Platforms</w:t>
      </w:r>
      <w:r>
        <w:rPr>
          <w:rFonts w:ascii="Arial" w:hAnsi="Arial"/>
          <w:b w:val="0"/>
          <w:i w:val="0"/>
          <w:sz w:val="19"/>
        </w:rPr>
        <w:t xml:space="preserve">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Mobilisierung von </w:t>
      </w:r>
      <w:r>
        <w:rPr>
          <w:rFonts w:ascii="Arial" w:hAnsi="Arial"/>
          <w:b w:val="0"/>
          <w:i/>
          <w:sz w:val="19"/>
        </w:rPr>
        <w:t>über 500 Milliarden US-Dollar Drittkapital</w:t>
      </w:r>
      <w:r>
        <w:rPr>
          <w:rFonts w:ascii="Arial" w:hAnsi="Arial"/>
          <w:b w:val="0"/>
          <w:i w:val="0"/>
          <w:sz w:val="19"/>
        </w:rPr>
        <w:t xml:space="preserve"> für Rechenzentren, Energie- und sonstige KI-Infrastruktur auf Basis von </w:t>
      </w:r>
      <w:r>
        <w:rPr>
          <w:rFonts w:ascii="Arial" w:hAnsi="Arial"/>
          <w:b w:val="0"/>
          <w:i/>
          <w:sz w:val="19"/>
        </w:rPr>
        <w:t>Nvidia</w:t>
      </w:r>
      <w:r>
        <w:rPr>
          <w:rFonts w:ascii="Arial" w:hAnsi="Arial"/>
          <w:b w:val="0"/>
          <w:i w:val="0"/>
          <w:sz w:val="19"/>
        </w:rPr>
        <w:t xml:space="preserve">-Hardware; die Vereinbarungen sind als </w:t>
      </w:r>
      <w:r>
        <w:rPr>
          <w:rFonts w:ascii="Arial" w:hAnsi="Arial"/>
          <w:b w:val="0"/>
          <w:i/>
          <w:sz w:val="19"/>
        </w:rPr>
        <w:t>Memoranda of Understanding</w:t>
      </w:r>
      <w:r>
        <w:rPr>
          <w:rFonts w:ascii="Arial" w:hAnsi="Arial"/>
          <w:b w:val="0"/>
          <w:i w:val="0"/>
          <w:sz w:val="19"/>
        </w:rPr>
        <w:t xml:space="preserve"> strukturiert, führen den Kapitalzufluss ausdrücklich über </w:t>
      </w:r>
      <w:r>
        <w:rPr>
          <w:rFonts w:ascii="Arial" w:hAnsi="Arial"/>
          <w:b w:val="0"/>
          <w:i/>
          <w:sz w:val="19"/>
        </w:rPr>
        <w:t>unabhängige Plattformen</w:t>
      </w:r>
      <w:r>
        <w:rPr>
          <w:rFonts w:ascii="Arial" w:hAnsi="Arial"/>
          <w:b w:val="0"/>
          <w:i w:val="0"/>
          <w:sz w:val="19"/>
        </w:rPr>
        <w:t xml:space="preserve"> außerhalb der </w:t>
      </w:r>
      <w:r>
        <w:rPr>
          <w:rFonts w:ascii="Arial" w:hAnsi="Arial"/>
          <w:b w:val="0"/>
          <w:i/>
          <w:sz w:val="19"/>
        </w:rPr>
        <w:t>Nvidia</w:t>
      </w:r>
      <w:r>
        <w:rPr>
          <w:rFonts w:ascii="Arial" w:hAnsi="Arial"/>
          <w:b w:val="0"/>
          <w:i w:val="0"/>
          <w:sz w:val="19"/>
        </w:rPr>
        <w:t xml:space="preserve">-Bilanz und bleiben der Ausfertigung endgültiger Verträge vorbehalten (Konjunktivpflicht nach § 4.2 Claude.md);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rahmt KI-Compute-Infrastruktur in flankierender </w:t>
      </w:r>
      <w:r>
        <w:rPr>
          <w:rFonts w:ascii="Arial" w:hAnsi="Arial"/>
          <w:b w:val="0"/>
          <w:i/>
          <w:sz w:val="19"/>
        </w:rPr>
        <w:t>CNBC</w:t>
      </w:r>
      <w:r>
        <w:rPr>
          <w:rFonts w:ascii="Arial" w:hAnsi="Arial"/>
          <w:b w:val="0"/>
          <w:i w:val="0"/>
          <w:sz w:val="19"/>
        </w:rPr>
        <w:t xml:space="preserve">-Berichterstattung öffentlich als neue </w:t>
      </w:r>
      <w:r>
        <w:rPr>
          <w:rFonts w:ascii="Arial" w:hAnsi="Arial"/>
          <w:b w:val="0"/>
          <w:i/>
          <w:sz w:val="19"/>
        </w:rPr>
        <w:t>investable asset class</w:t>
      </w:r>
      <w:r>
        <w:rPr>
          <w:rFonts w:ascii="Arial" w:hAnsi="Arial"/>
          <w:b w:val="0"/>
          <w:i w:val="0"/>
          <w:sz w:val="19"/>
        </w:rPr>
        <w:t xml:space="preserve">. Aufnahme in § 8.2 als zweite privatwirtschaftliche Multi-Plattform-Konstruktion der KI-Compute-Finanzierungs­schicht binnen 24 Stunden nach </w:t>
      </w:r>
      <w:r>
        <w:rPr>
          <w:rFonts w:ascii="Arial" w:hAnsi="Arial"/>
          <w:b w:val="0"/>
          <w:i/>
          <w:sz w:val="19"/>
        </w:rPr>
        <w:t>Theseus</w:t>
      </w:r>
      <w:r>
        <w:rPr>
          <w:rFonts w:ascii="Arial" w:hAnsi="Arial"/>
          <w:b w:val="0"/>
          <w:i w:val="0"/>
          <w:sz w:val="19"/>
        </w:rPr>
        <w:t xml:space="preserve">, mit Rückwirkung auf § 4.5 (private Kapitalanknüpfung an KI-Compute-Anlagen präzediert die vom </w:t>
      </w:r>
      <w:r>
        <w:rPr>
          <w:rFonts w:ascii="Arial" w:hAnsi="Arial"/>
          <w:b w:val="0"/>
          <w:i/>
          <w:sz w:val="19"/>
        </w:rPr>
        <w:t>American A.I. Sovereign Wealth Fund Act</w:t>
      </w:r>
      <w:r>
        <w:rPr>
          <w:rFonts w:ascii="Arial" w:hAnsi="Arial"/>
          <w:b w:val="0"/>
          <w:i w:val="0"/>
          <w:sz w:val="19"/>
        </w:rPr>
        <w:t xml:space="preserve"> angezielten Bestandspositionen), § 5.4 (Etablierung einer Anlageklasse für KI-Compute jenseits klassischer Hyperscaler-Bilanzen) und § 8.3 (Verhärtung der außereuropäischen Finanzierungs­schicht). https://investor.nvidia.com/news/press-release-details/2026/NVIDIA-Partners-With-Apollo-BlackRock-Blackstone-Brookfield-Goldman-Sachs-and-KKR-to-Establish-AI-Compute-Infrastructure-Financing-Platforms-to-Mobilize-Over-500-Billion-of-Third-Party-Capital/default.aspx | https://nvidianews.nvidia.com/news/nvidia-partners-with-apollo-blackrock-blackstone-brookfield-goldman-sachs-and-kkr-to-establish-ai-compute-infrastructure-financing-platforms-to-mobilize-over-500-billion-of-third-party-capital | https://www.bloomberg.com/news/articles/2026-08-10/nvidia-to-team-with-wall-street-on-500-billion-package-ft-says | https://www.cnbc.com/2026/08/10/nvidia-wall-street-asset-managers-500-billion-ai-push.html | https://www.axios.com/2026/08/10/nvidia-financing-ai-goldman-sachs-blackrock | https://finance.yahoo.com/technology/ai/articles/nvidia-partners-apollo-blackrock-others-150200750.html | https://qz.com/nvidia-wall-street-ai-infrastructure-financing-500-billion-081126 | https://www.investing.com/analysis/nvidia-apollo-blackstone-and-blackrock-just-struck-a-500bn-ai-pact-200685601</w:t>
      </w:r>
    </w:p>
    <w:p>
      <w:pPr>
        <w:jc w:val="both"/>
      </w:pPr>
      <w:r>
        <w:rPr>
          <w:rFonts w:ascii="Arial" w:hAnsi="Arial"/>
          <w:b w:val="0"/>
          <w:i w:val="0"/>
          <w:sz w:val="19"/>
        </w:rPr>
        <w:t xml:space="preserve">Nvidia Corporation / Lancium / The Information / Reuters / Yahoo Finance / Quartz / CNN Business / Fortune / AI Weekly / Yahoo Finance („Compute Landlord"-Analyse). (7. / 8. / 12. August 2026). </w:t>
      </w:r>
      <w:r>
        <w:rPr>
          <w:rFonts w:ascii="Arial" w:hAnsi="Arial"/>
          <w:b w:val="0"/>
          <w:i/>
          <w:sz w:val="19"/>
        </w:rPr>
        <w:t>Nvidia to Invest Up to $3 Billion in Blackstone-Backed Power Firm Behind Stargate / Nvidia to invest up to $3 billion in Stargate data center developer Lancium / Nvidia investing up to $3 billion in Lancium for Stargate / Nvidia found a new way to keep the AI boom funded: your retirement money / Nvidia to Put Up to $3B Into Stargate Power Developer Lancium / Nvidia's $3 Billion Bet on Lancium Signals the Compute Landlord Thesis Has Reached the Power Layer.</w:t>
      </w:r>
      <w:r>
        <w:rPr>
          <w:rFonts w:ascii="Arial" w:hAnsi="Arial"/>
          <w:b w:val="0"/>
          <w:i w:val="0"/>
          <w:sz w:val="19"/>
        </w:rPr>
        <w:t xml:space="preserve"> Am 7. August 2026 durch </w:t>
      </w:r>
      <w:r>
        <w:rPr>
          <w:rFonts w:ascii="Arial" w:hAnsi="Arial"/>
          <w:b w:val="0"/>
          <w:i/>
          <w:sz w:val="19"/>
        </w:rPr>
        <w:t>The Information</w:t>
      </w:r>
      <w:r>
        <w:rPr>
          <w:rFonts w:ascii="Arial" w:hAnsi="Arial"/>
          <w:b w:val="0"/>
          <w:i w:val="0"/>
          <w:sz w:val="19"/>
        </w:rPr>
        <w:t xml:space="preserve"> erstberichtete Beteiligung von </w:t>
      </w:r>
      <w:r>
        <w:rPr>
          <w:rFonts w:ascii="Arial" w:hAnsi="Arial"/>
          <w:b w:val="0"/>
          <w:i/>
          <w:sz w:val="19"/>
        </w:rPr>
        <w:t>Nvidia</w:t>
      </w:r>
      <w:r>
        <w:rPr>
          <w:rFonts w:ascii="Arial" w:hAnsi="Arial"/>
          <w:b w:val="0"/>
          <w:i w:val="0"/>
          <w:sz w:val="19"/>
        </w:rPr>
        <w:t xml:space="preserve">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Erstinvestition von 2 Milliarden US-Dollar für rund 20 Prozent der Anteile, bis zu 1 Milliarde US-Dollar zusätzlich an </w:t>
      </w:r>
      <w:r>
        <w:rPr>
          <w:rFonts w:ascii="Arial" w:hAnsi="Arial"/>
          <w:b w:val="0"/>
          <w:i/>
          <w:sz w:val="19"/>
        </w:rPr>
        <w:t>grid-hookup</w:t>
      </w:r>
      <w:r>
        <w:rPr>
          <w:rFonts w:ascii="Arial" w:hAnsi="Arial"/>
          <w:b w:val="0"/>
          <w:i w:val="0"/>
          <w:sz w:val="19"/>
        </w:rPr>
        <w:t xml:space="preserve">-Meilensteine gekoppelt (voller Ausführungsstand rund 30 Prozent Eigentum), Unternehmenswert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Blackstone</w:t>
      </w:r>
      <w:r>
        <w:rPr>
          <w:rFonts w:ascii="Arial" w:hAnsi="Arial"/>
          <w:b w:val="0"/>
          <w:i w:val="0"/>
          <w:sz w:val="19"/>
        </w:rPr>
        <w:t xml:space="preserve"> hält nach </w:t>
      </w:r>
      <w:r>
        <w:rPr>
          <w:rFonts w:ascii="Arial" w:hAnsi="Arial"/>
          <w:b w:val="0"/>
          <w:i/>
          <w:sz w:val="19"/>
        </w:rPr>
        <w:t>Yahoo-Finance</w:t>
      </w:r>
      <w:r>
        <w:rPr>
          <w:rFonts w:ascii="Arial" w:hAnsi="Arial"/>
          <w:b w:val="0"/>
          <w:i w:val="0"/>
          <w:sz w:val="19"/>
        </w:rPr>
        <w:t xml:space="preserve">-Analyse rund 50 Prozent von </w:t>
      </w:r>
      <w:r>
        <w:rPr>
          <w:rFonts w:ascii="Arial" w:hAnsi="Arial"/>
          <w:b w:val="0"/>
          <w:i/>
          <w:sz w:val="19"/>
        </w:rPr>
        <w:t>Lancium</w:t>
      </w:r>
      <w:r>
        <w:rPr>
          <w:rFonts w:ascii="Arial" w:hAnsi="Arial"/>
          <w:b w:val="0"/>
          <w:i w:val="0"/>
          <w:sz w:val="19"/>
        </w:rPr>
        <w:t xml:space="preserve"> (Einsatz über 500 Millionen US-Dollar). Der 1.000-Hektar-Campus in Abilene (Texas) ist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gemeinsam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(Zielkapazität rund 400.000 </w:t>
      </w:r>
      <w:r>
        <w:rPr>
          <w:rFonts w:ascii="Arial" w:hAnsi="Arial"/>
          <w:b w:val="0"/>
          <w:i/>
          <w:sz w:val="19"/>
        </w:rPr>
        <w:t>Nvidia</w:t>
      </w:r>
      <w:r>
        <w:rPr>
          <w:rFonts w:ascii="Arial" w:hAnsi="Arial"/>
          <w:b w:val="0"/>
          <w:i w:val="0"/>
          <w:sz w:val="19"/>
        </w:rPr>
        <w:t xml:space="preserve">-KI-Chips in acht Gebäuden nach </w:t>
      </w:r>
      <w:r>
        <w:rPr>
          <w:rFonts w:ascii="Arial" w:hAnsi="Arial"/>
          <w:b w:val="0"/>
          <w:i/>
          <w:sz w:val="19"/>
        </w:rPr>
        <w:t>Yahoo-Finance</w:t>
      </w:r>
      <w:r>
        <w:rPr>
          <w:rFonts w:ascii="Arial" w:hAnsi="Arial"/>
          <w:b w:val="0"/>
          <w:i w:val="0"/>
          <w:sz w:val="19"/>
        </w:rPr>
        <w:t xml:space="preserve">-Angaben), die zugrundeliegende </w:t>
      </w:r>
      <w:r>
        <w:rPr>
          <w:rFonts w:ascii="Arial" w:hAnsi="Arial"/>
          <w:b w:val="0"/>
          <w:i/>
          <w:sz w:val="19"/>
        </w:rPr>
        <w:t>sub-5-second demand-response</w:t>
      </w:r>
      <w:r>
        <w:rPr>
          <w:rFonts w:ascii="Arial" w:hAnsi="Arial"/>
          <w:b w:val="0"/>
          <w:i w:val="0"/>
          <w:sz w:val="19"/>
        </w:rPr>
        <w:t xml:space="preserve">-Steuerung geht auf frühere Bitcoin-Mining-Lastprofile zurück, die für die dynamische Steuerung großer KI-Cluster umgewidmet wurden; der Kapitalzufluss soll operative Ausweitung und einen möglichen </w:t>
      </w:r>
      <w:r>
        <w:rPr>
          <w:rFonts w:ascii="Arial" w:hAnsi="Arial"/>
          <w:b w:val="0"/>
          <w:i/>
          <w:sz w:val="19"/>
        </w:rPr>
        <w:t>Lancium</w:t>
      </w:r>
      <w:r>
        <w:rPr>
          <w:rFonts w:ascii="Arial" w:hAnsi="Arial"/>
          <w:b w:val="0"/>
          <w:i w:val="0"/>
          <w:sz w:val="19"/>
        </w:rPr>
        <w:t xml:space="preserve">-Börsengang 2027 finanzieren (Konjunktivpflicht nach § 4.2 Claude.md). Aufnahme in § 8.2 als vierte strukturell unterschiedliche Konstruktion der KI-Compute-Finanzierungs­schicht (direkter Chip-Hersteller-Einstieg in den nachgelagerten </w:t>
      </w:r>
      <w:r>
        <w:rPr>
          <w:rFonts w:ascii="Arial" w:hAnsi="Arial"/>
          <w:b w:val="0"/>
          <w:i/>
          <w:sz w:val="19"/>
        </w:rPr>
        <w:t>Power-Landlord</w:t>
      </w:r>
      <w:r>
        <w:rPr>
          <w:rFonts w:ascii="Arial" w:hAnsi="Arial"/>
          <w:b w:val="0"/>
          <w:i w:val="0"/>
          <w:sz w:val="19"/>
        </w:rPr>
        <w:t xml:space="preserve">) neben </w:t>
      </w:r>
      <w:r>
        <w:rPr>
          <w:rFonts w:ascii="Arial" w:hAnsi="Arial"/>
          <w:b w:val="0"/>
          <w:i/>
          <w:sz w:val="19"/>
        </w:rPr>
        <w:t>Theseus</w:t>
      </w:r>
      <w:r>
        <w:rPr>
          <w:rFonts w:ascii="Arial" w:hAnsi="Arial"/>
          <w:b w:val="0"/>
          <w:i w:val="0"/>
          <w:sz w:val="19"/>
        </w:rPr>
        <w:t xml:space="preserve"> (Multi-Investor-Vehikel), </w:t>
      </w:r>
      <w:r>
        <w:rPr>
          <w:rFonts w:ascii="Arial" w:hAnsi="Arial"/>
          <w:b w:val="0"/>
          <w:i/>
          <w:sz w:val="19"/>
        </w:rPr>
        <w:t>Nvidia</w:t>
      </w:r>
      <w:r>
        <w:rPr>
          <w:rFonts w:ascii="Arial" w:hAnsi="Arial"/>
          <w:b w:val="0"/>
          <w:i w:val="0"/>
          <w:sz w:val="19"/>
        </w:rPr>
        <w:t xml:space="preserve">-Financing-Platforms (Sechs-Institutionen-Plattformen) und </w:t>
      </w:r>
      <w:r>
        <w:rPr>
          <w:rFonts w:ascii="Arial" w:hAnsi="Arial"/>
          <w:b w:val="0"/>
          <w:i/>
          <w:sz w:val="19"/>
        </w:rPr>
        <w:t>Anthropic</w:t>
      </w:r>
      <w:r>
        <w:rPr>
          <w:rFonts w:ascii="Arial" w:hAnsi="Arial"/>
          <w:b w:val="0"/>
          <w:i w:val="0"/>
          <w:sz w:val="19"/>
        </w:rPr>
        <w:t>/</w:t>
      </w:r>
      <w:r>
        <w:rPr>
          <w:rFonts w:ascii="Arial" w:hAnsi="Arial"/>
          <w:b w:val="0"/>
          <w:i/>
          <w:sz w:val="19"/>
        </w:rPr>
        <w:t>Riot</w:t>
      </w:r>
      <w:r>
        <w:rPr>
          <w:rFonts w:ascii="Arial" w:hAnsi="Arial"/>
          <w:b w:val="0"/>
          <w:i w:val="0"/>
          <w:sz w:val="19"/>
        </w:rPr>
        <w:t xml:space="preserve"> (Stranded-Asset-Umwidmung), mit Rückwirkung auf § 4.5 (weitere private Präzedenz zur legislativen Bestandsanknüpfung), § 5.4 (Stromversorgungs-Schicht als Externalitäten- und Standort-Achse) und § 8.3 (Verhärtung der außereuropäischen Finanzierungs­schicht auf der Power-Ebene). https://www.theinformation.com/articles/nvidia-invest-3-billion-blackstone-backed-power-firm-behind-stargate | https://finance.yahoo.com/technology/articles/nvidia-invest-3-billion-lancium-014211358.html | https://qz.com/nvidia-lancium-investment-stargate-power-081026 | https://www.marketscreener.com/news/nvidia-to-invest-up-to-3-billion-in-lancium-the-information-reports-ce7f50d3db8eff26 | https://fortune.com/2026/08/12/nvidia-private-capital-deal-circular-financing-ai-boom/ | https://www.cnn.com/2026/08/11/business/nvidia-wall-street-500-billion-financing-intl | https://aiweekly.co/alerts/nvidia-to-put-up-to-3b-into-stargate-power-developer-lancium | https://finance.yahoo.com/technology/ai/articles/nvidia-3-billion-bet-lancium-211209280.html | https://www.tftc.io/nvidia-lancium-texas-power-deal-stargate-bitcoin-miners-ercot</w:t>
      </w:r>
    </w:p>
    <w:p>
      <w:pPr>
        <w:jc w:val="both"/>
      </w:pPr>
      <w:r>
        <w:rPr>
          <w:rFonts w:ascii="Arial" w:hAnsi="Arial"/>
          <w:b w:val="0"/>
          <w:i w:val="0"/>
          <w:sz w:val="19"/>
        </w:rPr>
        <w:t xml:space="preserve">Anthropic / Blackstone / Apollo Global Management / Bloomberg / Quartz / Yahoo Finance / TradingKey / KuCoin. (5. – 12. August 2026). </w:t>
      </w:r>
      <w:r>
        <w:rPr>
          <w:rFonts w:ascii="Arial" w:hAnsi="Arial"/>
          <w:b w:val="0"/>
          <w:i/>
          <w:sz w:val="19"/>
        </w:rPr>
        <w:t>Blackstone pitches $36 billion debt deal for Anthropic AI chips / Anthropic SPVs Stack $71 Billion in Chip-Lease Debt in 60 Days / Blackstone Circling $36 Billion Debt Package to Back Anthropic's Google Chip Rentals / Private equity giants Blackstone and Apollo plan $36 billion in chip financing for Anthropic / Blackstone Plans to Raise at Least $36 Billion in Debt for Anthropic for Google Custom Chip Compute.</w:t>
      </w:r>
      <w:r>
        <w:rPr>
          <w:rFonts w:ascii="Arial" w:hAnsi="Arial"/>
          <w:b w:val="0"/>
          <w:i w:val="0"/>
          <w:sz w:val="19"/>
        </w:rPr>
        <w:t xml:space="preserve"> Zweites </w:t>
      </w:r>
      <w:r>
        <w:rPr>
          <w:rFonts w:ascii="Arial" w:hAnsi="Arial"/>
          <w:b w:val="0"/>
          <w:i/>
          <w:sz w:val="19"/>
        </w:rPr>
        <w:t>Chip-Lease-SPV</w:t>
      </w:r>
      <w:r>
        <w:rPr>
          <w:rFonts w:ascii="Arial" w:hAnsi="Arial"/>
          <w:b w:val="0"/>
          <w:i w:val="0"/>
          <w:sz w:val="19"/>
        </w:rPr>
        <w:t xml:space="preserve">-Kredit­paket in Investoren-Sondierung: Anfang August 2026 lotet </w:t>
      </w:r>
      <w:r>
        <w:rPr>
          <w:rFonts w:ascii="Arial" w:hAnsi="Arial"/>
          <w:b w:val="0"/>
          <w:i/>
          <w:sz w:val="19"/>
        </w:rPr>
        <w:t>Blackstone</w:t>
      </w:r>
      <w:r>
        <w:rPr>
          <w:rFonts w:ascii="Arial" w:hAnsi="Arial"/>
          <w:b w:val="0"/>
          <w:i w:val="0"/>
          <w:sz w:val="19"/>
        </w:rPr>
        <w:t xml:space="preserve"> mit </w:t>
      </w:r>
      <w:r>
        <w:rPr>
          <w:rFonts w:ascii="Arial" w:hAnsi="Arial"/>
          <w:b w:val="0"/>
          <w:i/>
          <w:sz w:val="19"/>
        </w:rPr>
        <w:t>Anthropic</w:t>
      </w:r>
      <w:r>
        <w:rPr>
          <w:rFonts w:ascii="Arial" w:hAnsi="Arial"/>
          <w:b w:val="0"/>
          <w:i w:val="0"/>
          <w:sz w:val="19"/>
        </w:rPr>
        <w:t xml:space="preserve"> ein zweites Vehikel über rund 36 Milliarden US-Dollar aus, das die Nutzung von </w:t>
      </w:r>
      <w:r>
        <w:rPr>
          <w:rFonts w:ascii="Arial" w:hAnsi="Arial"/>
          <w:b w:val="0"/>
          <w:i/>
          <w:sz w:val="19"/>
        </w:rPr>
        <w:t>Google-TPU</w:t>
      </w:r>
      <w:r>
        <w:rPr>
          <w:rFonts w:ascii="Arial" w:hAnsi="Arial"/>
          <w:b w:val="0"/>
          <w:i w:val="0"/>
          <w:sz w:val="19"/>
        </w:rPr>
        <w:t xml:space="preserve">-Kapazität durch </w:t>
      </w:r>
      <w:r>
        <w:rPr>
          <w:rFonts w:ascii="Arial" w:hAnsi="Arial"/>
          <w:b w:val="0"/>
          <w:i/>
          <w:sz w:val="19"/>
        </w:rPr>
        <w:t>Anthropic</w:t>
      </w:r>
      <w:r>
        <w:rPr>
          <w:rFonts w:ascii="Arial" w:hAnsi="Arial"/>
          <w:b w:val="0"/>
          <w:i w:val="0"/>
          <w:sz w:val="19"/>
        </w:rPr>
        <w:t xml:space="preserve"> außerhalb der eigenen Bilanz sichern soll; Deployment-Regionen laut Berichterstattung New York, Texas, Louisiana und Indiana (Konjunktivpflicht nach § 4.2 Claude.md, endgültige Struktur- und Volumenausgestaltung noch nicht abgeschlossen). Die </w:t>
      </w:r>
      <w:r>
        <w:rPr>
          <w:rFonts w:ascii="Arial" w:hAnsi="Arial"/>
          <w:b w:val="0"/>
          <w:i/>
          <w:sz w:val="19"/>
        </w:rPr>
        <w:t>Yahoo-Finance</w:t>
      </w:r>
      <w:r>
        <w:rPr>
          <w:rFonts w:ascii="Arial" w:hAnsi="Arial"/>
          <w:b w:val="0"/>
          <w:i w:val="0"/>
          <w:sz w:val="19"/>
        </w:rPr>
        <w:t xml:space="preserve">-Zählung „Anthropic SPVs Stack $71 Billion in Chip-Lease Debt in 60 Days" (12. August 2026) verweist zusätzlich auf einen bereits im Mai 2026 gemeinsam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beide Vehikel folgen einer gleichartigen Off-Balance-Sheet-Konstruktion (Ankauf von </w:t>
      </w:r>
      <w:r>
        <w:rPr>
          <w:rFonts w:ascii="Arial" w:hAnsi="Arial"/>
          <w:b w:val="0"/>
          <w:i/>
          <w:sz w:val="19"/>
        </w:rPr>
        <w:t>Google</w:t>
      </w:r>
      <w:r>
        <w:rPr>
          <w:rFonts w:ascii="Arial" w:hAnsi="Arial"/>
          <w:b w:val="0"/>
          <w:i w:val="0"/>
          <w:sz w:val="19"/>
        </w:rPr>
        <w:t xml:space="preserve">-TPU-Hardware durch eine Zweckgesellschaft, Rückvermietung an </w:t>
      </w:r>
      <w:r>
        <w:rPr>
          <w:rFonts w:ascii="Arial" w:hAnsi="Arial"/>
          <w:b w:val="0"/>
          <w:i/>
          <w:sz w:val="19"/>
        </w:rPr>
        <w:t>Anthropic</w:t>
      </w:r>
      <w:r>
        <w:rPr>
          <w:rFonts w:ascii="Arial" w:hAnsi="Arial"/>
          <w:b w:val="0"/>
          <w:i w:val="0"/>
          <w:sz w:val="19"/>
        </w:rPr>
        <w:t xml:space="preserve">). Aufnahme in § 8.2 als fünfte strukturell unterschiedliche Konstruktion der KI-Compute-Finanzierungs­schicht (SPV-basierte </w:t>
      </w:r>
      <w:r>
        <w:rPr>
          <w:rFonts w:ascii="Arial" w:hAnsi="Arial"/>
          <w:b w:val="0"/>
          <w:i/>
          <w:sz w:val="19"/>
        </w:rPr>
        <w:t>Chip-Leasing-Vehikel</w:t>
      </w:r>
      <w:r>
        <w:rPr>
          <w:rFonts w:ascii="Arial" w:hAnsi="Arial"/>
          <w:b w:val="0"/>
          <w:i w:val="0"/>
          <w:sz w:val="19"/>
        </w:rPr>
        <w:t>), mit Rückwirkung auf § 4.5 (weitere private Kapitalanknüpfungen jenseits des Sanders-Gesetzentwurfs), § 5.4 (Off-Balance-Sheet-Bilanzumgang der Frontier-Anbieter) und § 8.3 (Anlagenkapital- und Chip-Rohstoff-Ebene außerhalb der Reichweite einer inländischen Beteiligungslogik). https://qz.com/blackstone-anthropic-google-chip-debt-deal-080526 | https://finance.yahoo.com/technology/ai/articles/anthropic-spvs-stack-71-billion-000514097.html | https://finance.yahoo.com/technology/ai/articles/blackstone-pitches-36-billion-debt-134437623.html | https://www.briefs.co/news/blackstone-circling-36-billion-debt-package-to-back-anthropi/ | https://www.tradingkey.com/analysis/stocks/us-stocks/262073979-blackstone-anthropic-36-billion-debt-google-chips-ipo-filing-tradingkey | https://www.kucoin.com/news/flash/private-equity-giants-blackstone-and-apollo-plan-36-billion-chip-financing-for-anthropic | https://qz.com/apollo-blackstone-36-billion-debt-deal-anthropic-google-chips-052926</w:t>
      </w:r>
    </w:p>
    <w:p>
      <w:pPr>
        <w:jc w:val="both"/>
      </w:pPr>
      <w:r>
        <w:rPr>
          <w:rFonts w:ascii="Arial" w:hAnsi="Arial"/>
          <w:b w:val="0"/>
          <w:i w:val="0"/>
          <w:sz w:val="19"/>
        </w:rPr>
        <w:t xml:space="preserve">Apple Inc. / OpenAI / Reuters (Claims Journal) / Quartz / JURIST / 9to5Mac / Express Tribune / Business Standard / Axios / TechCrunch / PYMNTS / Insurance Journal / Tech Journal. (4. / 5. / 6. August 2026). </w:t>
      </w:r>
      <w:r>
        <w:rPr>
          <w:rFonts w:ascii="Arial" w:hAnsi="Arial"/>
          <w:b w:val="0"/>
          <w:i/>
          <w:sz w:val="19"/>
        </w:rPr>
        <w:t>Apple Seeks Preliminary Injunction Against OpenAI in Trade Secrets Case / Apple files motion for preliminary injunction against OpenAI in trade secrets case / Apple moves for preliminary injunction in OpenAI trade secrets lawsuit / Apple seeks preliminary injunction against OpenAI in trade secrets case / OpenAI Moves to Dismiss Apple Trade Secret Lawsuit / OpenAI moves to dismiss Apple's trade secret lawsuit / OpenAI Asks Judge to Toss Apple's Trade Secrets Lawsuit / OpenAI says Apple's own security practices undermine its trade secrets case / OpenAI Seeks Dismissal of Apple Trade Secrets Lawsuit.</w:t>
      </w:r>
      <w:r>
        <w:rPr>
          <w:rFonts w:ascii="Arial" w:hAnsi="Arial"/>
          <w:b w:val="0"/>
          <w:i w:val="0"/>
          <w:sz w:val="19"/>
        </w:rPr>
        <w:t xml:space="preserve"> Verfahrensverlauf zur </w:t>
      </w:r>
      <w:r>
        <w:rPr>
          <w:rFonts w:ascii="Arial" w:hAnsi="Arial"/>
          <w:b w:val="0"/>
          <w:i/>
          <w:sz w:val="19"/>
        </w:rPr>
        <w:t>Apple</w:t>
      </w:r>
      <w:r>
        <w:rPr>
          <w:rFonts w:ascii="Arial" w:hAnsi="Arial"/>
          <w:b w:val="0"/>
          <w:i w:val="0"/>
          <w:sz w:val="19"/>
        </w:rPr>
        <w:t xml:space="preserve">-Klage vom 10. Juli 2026 gegen </w:t>
      </w:r>
      <w:r>
        <w:rPr>
          <w:rFonts w:ascii="Arial" w:hAnsi="Arial"/>
          <w:b w:val="0"/>
          <w:i/>
          <w:sz w:val="19"/>
        </w:rPr>
        <w:t>OpenAI</w:t>
      </w:r>
      <w:r>
        <w:rPr>
          <w:rFonts w:ascii="Arial" w:hAnsi="Arial"/>
          <w:b w:val="0"/>
          <w:i w:val="0"/>
          <w:sz w:val="19"/>
        </w:rPr>
        <w:t xml:space="preserve"> und </w:t>
      </w:r>
      <w:r>
        <w:rPr>
          <w:rFonts w:ascii="Arial" w:hAnsi="Arial"/>
          <w:b w:val="0"/>
          <w:i/>
          <w:sz w:val="19"/>
        </w:rPr>
        <w:t>io Products, Inc.</w:t>
      </w:r>
      <w:r>
        <w:rPr>
          <w:rFonts w:ascii="Arial" w:hAnsi="Arial"/>
          <w:b w:val="0"/>
          <w:i w:val="0"/>
          <w:sz w:val="19"/>
        </w:rPr>
        <w:t xml:space="preserve"> wegen Trade-Secret-Aneignung: (a) Am 4. August 2026 stellt </w:t>
      </w:r>
      <w:r>
        <w:rPr>
          <w:rFonts w:ascii="Arial" w:hAnsi="Arial"/>
          <w:b w:val="0"/>
          <w:i/>
          <w:sz w:val="19"/>
        </w:rPr>
        <w:t>Apple</w:t>
      </w:r>
      <w:r>
        <w:rPr>
          <w:rFonts w:ascii="Arial" w:hAnsi="Arial"/>
          <w:b w:val="0"/>
          <w:i w:val="0"/>
          <w:sz w:val="19"/>
        </w:rPr>
        <w:t xml:space="preserve"> Antrag auf </w:t>
      </w:r>
      <w:r>
        <w:rPr>
          <w:rFonts w:ascii="Arial" w:hAnsi="Arial"/>
          <w:b w:val="0"/>
          <w:i/>
          <w:sz w:val="19"/>
        </w:rPr>
        <w:t>preliminary injunction</w:t>
      </w:r>
      <w:r>
        <w:rPr>
          <w:rFonts w:ascii="Arial" w:hAnsi="Arial"/>
          <w:b w:val="0"/>
          <w:i w:val="0"/>
          <w:sz w:val="19"/>
        </w:rPr>
        <w:t xml:space="preserve">, die den Zugriff, Erwerb, die Nutzung und Offenlegung der behaupteten Trade Secrets durch die Beklagten für die Verfahrensdauer untersagen soll, verbunden mit einem </w:t>
      </w:r>
      <w:r>
        <w:rPr>
          <w:rFonts w:ascii="Arial" w:hAnsi="Arial"/>
          <w:b w:val="0"/>
          <w:i/>
          <w:sz w:val="19"/>
        </w:rPr>
        <w:t>expedited-discovery</w:t>
      </w:r>
      <w:r>
        <w:rPr>
          <w:rFonts w:ascii="Arial" w:hAnsi="Arial"/>
          <w:b w:val="0"/>
          <w:i w:val="0"/>
          <w:sz w:val="19"/>
        </w:rPr>
        <w:t xml:space="preserve">-Antrag; (b) am 5./6. August 2026 reicht </w:t>
      </w:r>
      <w:r>
        <w:rPr>
          <w:rFonts w:ascii="Arial" w:hAnsi="Arial"/>
          <w:b w:val="0"/>
          <w:i/>
          <w:sz w:val="19"/>
        </w:rPr>
        <w:t>OpenAI</w:t>
      </w:r>
      <w:r>
        <w:rPr>
          <w:rFonts w:ascii="Arial" w:hAnsi="Arial"/>
          <w:b w:val="0"/>
          <w:i w:val="0"/>
          <w:sz w:val="19"/>
        </w:rPr>
        <w:t xml:space="preserve"> eine 31-seitige Motion zur Klageabweisung ein und argumentiert, dass </w:t>
      </w:r>
      <w:r>
        <w:rPr>
          <w:rFonts w:ascii="Arial" w:hAnsi="Arial"/>
          <w:b w:val="0"/>
          <w:i/>
          <w:sz w:val="19"/>
        </w:rPr>
        <w:t>Apple</w:t>
      </w:r>
      <w:r>
        <w:rPr>
          <w:rFonts w:ascii="Arial" w:hAnsi="Arial"/>
          <w:b w:val="0"/>
          <w:i w:val="0"/>
          <w:sz w:val="19"/>
        </w:rPr>
        <w:t xml:space="preserve"> die </w:t>
      </w:r>
      <w:r>
        <w:rPr>
          <w:rFonts w:ascii="Arial" w:hAnsi="Arial"/>
          <w:b w:val="0"/>
          <w:i/>
          <w:sz w:val="19"/>
        </w:rPr>
        <w:t>trade secrets</w:t>
      </w:r>
      <w:r>
        <w:rPr>
          <w:rFonts w:ascii="Arial" w:hAnsi="Arial"/>
          <w:b w:val="0"/>
          <w:i w:val="0"/>
          <w:sz w:val="19"/>
        </w:rPr>
        <w:t xml:space="preserve"> nicht ausreichend präzisiere, keine schützbare Eigentümerschaft belege und keine plausible Aneignung durch die Beklagten darlege — ergänzend werden </w:t>
      </w:r>
      <w:r>
        <w:rPr>
          <w:rFonts w:ascii="Arial" w:hAnsi="Arial"/>
          <w:b w:val="0"/>
          <w:i/>
          <w:sz w:val="19"/>
        </w:rPr>
        <w:t>Apples</w:t>
      </w:r>
      <w:r>
        <w:rPr>
          <w:rFonts w:ascii="Arial" w:hAnsi="Arial"/>
          <w:b w:val="0"/>
          <w:i w:val="0"/>
          <w:sz w:val="19"/>
        </w:rPr>
        <w:t xml:space="preserve"> eigene </w:t>
      </w:r>
      <w:r>
        <w:rPr>
          <w:rFonts w:ascii="Arial" w:hAnsi="Arial"/>
          <w:b w:val="0"/>
          <w:i/>
          <w:sz w:val="19"/>
        </w:rPr>
        <w:t>Offboarding</w:t>
      </w:r>
      <w:r>
        <w:rPr>
          <w:rFonts w:ascii="Arial" w:hAnsi="Arial"/>
          <w:b w:val="0"/>
          <w:i w:val="0"/>
          <w:sz w:val="19"/>
        </w:rPr>
        <w:t xml:space="preserve">- und Sicherheitspraktiken (Manager-Zugriff auf ein iCloud-Konto nach Beschäftigungsende) als selbst-untergrabendes Beweismittel geltend gemacht. Anhörung zum Injunction-Antrag am 1. Oktober 2026 in San José. Aufnahme in § 8.2 als Fortschreibung der bereits mit Version 40.0 aufgenommenen </w:t>
      </w:r>
      <w:r>
        <w:rPr>
          <w:rFonts w:ascii="Arial" w:hAnsi="Arial"/>
          <w:b w:val="0"/>
          <w:i/>
          <w:sz w:val="19"/>
        </w:rPr>
        <w:t>Apple</w:t>
      </w:r>
      <w:r>
        <w:rPr>
          <w:rFonts w:ascii="Arial" w:hAnsi="Arial"/>
          <w:b w:val="0"/>
          <w:i w:val="0"/>
          <w:sz w:val="19"/>
        </w:rPr>
        <w:t>-Klage; Rückwirkung auf § 4.5 (fiskalische Volatilität bestandsorientierter Zugriffslogiken) und § 8.3 (Präferenz für wertschöpfungs- statt bestands­orientierte Zugriffe). https://www.claimsjournal.com/news/national/2026/08/04/339276.htm | https://tribune.com.pk/story/2622068/apple-seeks-preliminary-injunction-against-openai-in-trade-secrets-case | https://www.jurist.org/news/2026/08/apple-files-motion-for-preliminary-injunction-against-openai-in-trade-secrets-case/ | https://qz.com/apple-preliminary-injunction-openai-trade-secrets-080426 | https://www.business-standard.com/technology/tech-news/apple-seeks-preliminary-injunction-against-openai-in-trade-secrets-case-126080400670_1.html | https://9to5mac.com/2026/08/04/apple-preliminary-injunction-openai/ | https://techjournal.org/openai-moves-dismiss-apple-trade-secrets-suit | https://qz.com/openai-motion-dismiss-apple-trade-secrets-lawsuit-080626 | https://www.insurancejournal.com/news/national/2026/08/06/880579.htm | https://www.axios.com/2026/08/06/openai-apple-motion-to-dismiss | https://www.pymnts.com/legal/2026/openai-seeks-dismissal-apple-trade-secrets-lawsuit/ | https://techcrunch.com/2026/08/06/openai-says-apples-own-security-practices-undermine-its-trade-secrets-case/</w:t>
      </w:r>
    </w:p>
    <w:p>
      <w:pPr>
        <w:jc w:val="both"/>
      </w:pPr>
      <w:r>
        <w:rPr>
          <w:rFonts w:ascii="Arial" w:hAnsi="Arial"/>
          <w:b w:val="0"/>
          <w:i w:val="0"/>
          <w:sz w:val="19"/>
        </w:rPr>
        <w:t xml:space="preserve">Salesforce / The Next Web / Salesforce Ben / Inc. / Final Round AI / NBC News / Fortune. (7. August 2026). </w:t>
      </w:r>
      <w:r>
        <w:rPr>
          <w:rFonts w:ascii="Arial" w:hAnsi="Arial"/>
          <w:b w:val="0"/>
          <w:i/>
          <w:sz w:val="19"/>
        </w:rPr>
        <w:t>Salesforce is cutting 133 more jobs. The filings don't mention AI / Salesforce Announces Another Huge Round of Layoffs in 2026 / Last Month, Salesforce Announced It Hit $1.2 Billion in AI Revenue—Now It's Laying Off Staff / Marc Benioff Dismisses AI Layoff Fears – But What Do the Numbers Say? / Is AI Really Behind the Tech Layoff Wave? Benioff Says No / Salesforce CEO confirms 4,000 layoffs 'because I need less heads' with AI.</w:t>
      </w:r>
      <w:r>
        <w:rPr>
          <w:rFonts w:ascii="Arial" w:hAnsi="Arial"/>
          <w:b w:val="0"/>
          <w:i w:val="0"/>
          <w:sz w:val="19"/>
        </w:rPr>
        <w:t xml:space="preserve"> Dritte </w:t>
      </w:r>
      <w:r>
        <w:rPr>
          <w:rFonts w:ascii="Arial" w:hAnsi="Arial"/>
          <w:b w:val="0"/>
          <w:i/>
          <w:sz w:val="19"/>
        </w:rPr>
        <w:t>Salesforce</w:t>
      </w:r>
      <w:r>
        <w:rPr>
          <w:rFonts w:ascii="Arial" w:hAnsi="Arial"/>
          <w:b w:val="0"/>
          <w:i w:val="0"/>
          <w:sz w:val="19"/>
        </w:rPr>
        <w:t xml:space="preserve">-Layoff-Runde des Jahres 2026: WARN-Anzeigen (Wirkungsdatum 5. Oktober 2026) für 133 Stellenstreichungen (74 im San-Francisco-Headquarter in Kalifornien; 59 in Bellevue und Seattle im Bundesstaat Washington), stark auf Engineering-Rollen im Umfeld der AI-Agent-Plattform </w:t>
      </w:r>
      <w:r>
        <w:rPr>
          <w:rFonts w:ascii="Arial" w:hAnsi="Arial"/>
          <w:b w:val="0"/>
          <w:i/>
          <w:sz w:val="19"/>
        </w:rPr>
        <w:t>Agentforce</w:t>
      </w:r>
      <w:r>
        <w:rPr>
          <w:rFonts w:ascii="Arial" w:hAnsi="Arial"/>
          <w:b w:val="0"/>
          <w:i w:val="0"/>
          <w:sz w:val="19"/>
        </w:rPr>
        <w:t xml:space="preserve"> (annualisiertes wiederkehrendes Umsatzniveau nach Konzernangaben rund 1,2 Milliarden US-Dollar, +205 % gegenüber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die WARN-Filings selbst benennen KI nicht als Grund. Parallel hinterlegt </w:t>
      </w:r>
      <w:r>
        <w:rPr>
          <w:rFonts w:ascii="Arial" w:hAnsi="Arial"/>
          <w:b w:val="0"/>
          <w:i/>
          <w:sz w:val="19"/>
        </w:rPr>
        <w:t>Salesforce</w:t>
      </w:r>
      <w:r>
        <w:rPr>
          <w:rFonts w:ascii="Arial" w:hAnsi="Arial"/>
          <w:b w:val="0"/>
          <w:i w:val="0"/>
          <w:sz w:val="19"/>
        </w:rPr>
        <w:t>-CEO Marc Benioff öffentlich eine Reduktion der Kundendienst-Belegschaft von rund 9.000 auf rund 5.000 Beschäftigte binnen eines Jahres („I need less heads") und beziffert die KI-Automatisierung des Konzernbetriebs mit 30 bis 50 Prozent der internen Arbeit. Aufnahme in § 1.1 als weiterer Anwendungsfall der Kausalattributionsproblematik nach § 9.1 und als weiterer Beobachtungsfall für die im Connecticut-</w:t>
      </w:r>
      <w:r>
        <w:rPr>
          <w:rFonts w:ascii="Arial" w:hAnsi="Arial"/>
          <w:b w:val="0"/>
          <w:i/>
          <w:sz w:val="19"/>
        </w:rPr>
        <w:t>SB-5</w:t>
      </w:r>
      <w:r>
        <w:rPr>
          <w:rFonts w:ascii="Arial" w:hAnsi="Arial"/>
          <w:b w:val="0"/>
          <w:i w:val="0"/>
          <w:sz w:val="19"/>
        </w:rPr>
        <w:t>-WARN-Erweiterung (§ 4.5) angezielte KI-bezogene Anzeigepflicht. https://thenextweb.com/news/salesforce-133-layoffs-washington-california-ai-restructuring | https://www.salesforceben.com/marc-benioff-dismisses-ai-layoff-fears-but-what-do-the-numbers-say/ | https://www.inc.com/georgia-fearn/salesforce-announced-billion-in-ai-revenue-now-laying-off-staff-tied-to-product/91358471 | https://www.finalroundai.com/blog/salesforce-layoffs-2026 | https://www.nbcnews.com/business/business-news/salesforce-ceo-confirms-4000-layoffs-need-less-heads-ai-rcna228703 | https://www.cxtoday.com/workforce-engagement-management/benioff-ai-layoffs-scapegoat-cx/</w:t>
      </w:r>
    </w:p>
    <w:p>
      <w:pPr>
        <w:jc w:val="both"/>
      </w:pPr>
      <w:r>
        <w:rPr>
          <w:rFonts w:ascii="Arial" w:hAnsi="Arial"/>
          <w:b w:val="0"/>
          <w:i w:val="0"/>
          <w:sz w:val="19"/>
        </w:rPr>
        <w:t xml:space="preserve">Riot Platforms / Anthropic / Bloomberg / CNBC / TheNextWeb / Cryptobriefing / Quartz / The Coin Republic / Crypto.News / Blockonomi. (11. August 2026). </w:t>
      </w:r>
      <w:r>
        <w:rPr>
          <w:rFonts w:ascii="Arial" w:hAnsi="Arial"/>
          <w:b w:val="0"/>
          <w:i/>
          <w:sz w:val="19"/>
        </w:rPr>
        <w:t>Anthropic Strikes $9 Billion Computing Deal With Riot Platforms / Riot Platforms strikes deal with Anthropic as bitcoin miners shift focus to AI infrastructure / Anthropic signs a $9.1bn, 20-year cloud deal with bitcoin miner Riot Platforms / Anthropic secures $9.1B power deal with Riot Platforms for AI infrastructure in Texas / Anthropic signs $9.1 billion data center deal with Riot Platforms / Anthropic Signs $9.1B Deal With Bitcoin Miner Riot Platforms / Riot Platforms signs $9.1B AI deal reportedly with Anthropic / Riot Platforms Signs $9.1 Billion Data Center Deal With Anthropic.</w:t>
      </w:r>
      <w:r>
        <w:rPr>
          <w:rFonts w:ascii="Arial" w:hAnsi="Arial"/>
          <w:b w:val="0"/>
          <w:i w:val="0"/>
          <w:sz w:val="19"/>
        </w:rPr>
        <w:t xml:space="preserve"> Am 11. August 2026 geschlossener zwanzigjähriger </w:t>
      </w:r>
      <w:r>
        <w:rPr>
          <w:rFonts w:ascii="Arial" w:hAnsi="Arial"/>
          <w:b w:val="0"/>
          <w:i/>
          <w:sz w:val="19"/>
        </w:rPr>
        <w:t>Compute-Nutzungsvertrag</w:t>
      </w:r>
      <w:r>
        <w:rPr>
          <w:rFonts w:ascii="Arial" w:hAnsi="Arial"/>
          <w:b w:val="0"/>
          <w:i w:val="0"/>
          <w:sz w:val="19"/>
        </w:rPr>
        <w:t xml:space="preserve"> zwischen </w:t>
      </w:r>
      <w:r>
        <w:rPr>
          <w:rFonts w:ascii="Arial" w:hAnsi="Arial"/>
          <w:b w:val="0"/>
          <w:i/>
          <w:sz w:val="19"/>
        </w:rPr>
        <w:t>Anthropic</w:t>
      </w:r>
      <w:r>
        <w:rPr>
          <w:rFonts w:ascii="Arial" w:hAnsi="Arial"/>
          <w:b w:val="0"/>
          <w:i w:val="0"/>
          <w:sz w:val="19"/>
        </w:rPr>
        <w:t xml:space="preserve"> und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Basislaufzeit Juni 2026 bis Juni 2048, Basisvertragsvolumen rund 9,1 Milliarden US-Dollar mit zwei jeweils fünfjährigen Verlängerungsoptionen (aufkumulierbar auf rund 16,1 Milliarden US-Dollar); erste Ausbaustufe 96 Megawatt bis Ende 2027, volle Kapazität bis Juni 2028; </w:t>
      </w:r>
      <w:r>
        <w:rPr>
          <w:rFonts w:ascii="Arial" w:hAnsi="Arial"/>
          <w:b w:val="0"/>
          <w:i/>
          <w:sz w:val="19"/>
        </w:rPr>
        <w:t>Morgan Stanley</w:t>
      </w:r>
      <w:r>
        <w:rPr>
          <w:rFonts w:ascii="Arial" w:hAnsi="Arial"/>
          <w:b w:val="0"/>
          <w:i w:val="0"/>
          <w:sz w:val="19"/>
        </w:rPr>
        <w:t xml:space="preserve">-Finanzierung 573 Millionen US-Dollar; nach Angaben von </w:t>
      </w:r>
      <w:r>
        <w:rPr>
          <w:rFonts w:ascii="Arial" w:hAnsi="Arial"/>
          <w:b w:val="0"/>
          <w:i/>
          <w:sz w:val="19"/>
        </w:rPr>
        <w:t>Riot</w:t>
      </w:r>
      <w:r>
        <w:rPr>
          <w:rFonts w:ascii="Arial" w:hAnsi="Arial"/>
          <w:b w:val="0"/>
          <w:i w:val="0"/>
          <w:sz w:val="19"/>
        </w:rPr>
        <w:t xml:space="preserve">-CEO Jason Les kumuliert Mietverträge über 241 Megawatt mit einem geschätzten Umsatz von 9,8 Milliarden US-Dollar über mehrere KI-Kunden (Konjunktivpflicht nach § 4.2 Claude.md, da die weiteren Kunden im </w:t>
      </w:r>
      <w:r>
        <w:rPr>
          <w:rFonts w:ascii="Arial" w:hAnsi="Arial"/>
          <w:b w:val="0"/>
          <w:i/>
          <w:sz w:val="19"/>
        </w:rPr>
        <w:t>Rockdale-Cluster</w:t>
      </w:r>
      <w:r>
        <w:rPr>
          <w:rFonts w:ascii="Arial" w:hAnsi="Arial"/>
          <w:b w:val="0"/>
          <w:i w:val="0"/>
          <w:sz w:val="19"/>
        </w:rPr>
        <w:t xml:space="preserve"> nicht namentlich offengelegt werden); </w:t>
      </w:r>
      <w:r>
        <w:rPr>
          <w:rFonts w:ascii="Arial" w:hAnsi="Arial"/>
          <w:b w:val="0"/>
          <w:i/>
          <w:sz w:val="19"/>
        </w:rPr>
        <w:t>Riot</w:t>
      </w:r>
      <w:r>
        <w:rPr>
          <w:rFonts w:ascii="Arial" w:hAnsi="Arial"/>
          <w:b w:val="0"/>
          <w:i w:val="0"/>
          <w:sz w:val="19"/>
        </w:rPr>
        <w:t xml:space="preserve">-Aktie im Nachhandel rund 25 % höher auf rund 24,30 US-Dollar. Aufnahme in § 8.2 als drittes strukturell verschiedenes, aber logisch verwandtes Muster der KI-Compute-Finanzierungs­schicht neben </w:t>
      </w:r>
      <w:r>
        <w:rPr>
          <w:rFonts w:ascii="Arial" w:hAnsi="Arial"/>
          <w:b w:val="0"/>
          <w:i/>
          <w:sz w:val="19"/>
        </w:rPr>
        <w:t>Theseus</w:t>
      </w:r>
      <w:r>
        <w:rPr>
          <w:rFonts w:ascii="Arial" w:hAnsi="Arial"/>
          <w:b w:val="0"/>
          <w:i w:val="0"/>
          <w:sz w:val="19"/>
        </w:rPr>
        <w:t xml:space="preserve"> (Multi-Investor-Vehikel) und </w:t>
      </w:r>
      <w:r>
        <w:rPr>
          <w:rFonts w:ascii="Arial" w:hAnsi="Arial"/>
          <w:b w:val="0"/>
          <w:i/>
          <w:sz w:val="19"/>
        </w:rPr>
        <w:t>Nvidia</w:t>
      </w:r>
      <w:r>
        <w:rPr>
          <w:rFonts w:ascii="Arial" w:hAnsi="Arial"/>
          <w:b w:val="0"/>
          <w:i w:val="0"/>
          <w:sz w:val="19"/>
        </w:rPr>
        <w:t xml:space="preserve">-Financing-Platforms (Sechs-Institutionen-Plattformen) — konkret als Umwidmung von </w:t>
      </w:r>
      <w:r>
        <w:rPr>
          <w:rFonts w:ascii="Arial" w:hAnsi="Arial"/>
          <w:b w:val="0"/>
          <w:i/>
          <w:sz w:val="19"/>
        </w:rPr>
        <w:t>stranded-assets</w:t>
      </w:r>
      <w:r>
        <w:rPr>
          <w:rFonts w:ascii="Arial" w:hAnsi="Arial"/>
          <w:b w:val="0"/>
          <w:i w:val="0"/>
          <w:sz w:val="19"/>
        </w:rPr>
        <w:t xml:space="preserve"> (konvertierte Bitcoin-Mining-Anlage) zur langfristigen KI-Compute-Anlage, mit Rückwirkung auf § 4.5 (weitere private Präzedenz jenseits des Sanders-Gesetzentwurfs), § 5.4 (Externalitäten-Kompensation an Host-Region), § 8.2/§ 8.3 (Verhärtung der außereuropäischen Compute-Finanzierungs- und Standort­schicht) und § 9.5 (grüne-/braune-Kapazitäts-Umwidmung als Abgrenzungsproblem im internationalen Steuerkontext). https://www.bloomberg.com/news/articles/2026-08-11/anthropic-strikes-9-billion-deal-with-cloud-computing-firm-riot | https://www.cnbc.com/2026/08/11/riot-platforms-signs-anthropic-deal-as-miners-shift-to-ai-infrastructure-.html | https://thenextweb.com/news/anthropic-riot-9bn-data-centre-deal | https://cryptobriefing.com/anthropic-riot-platforms-9b-ai-power-deal/ | https://qz.com/anthropic-riot-platforms-data-center-deal-9-billion-081126 | https://www.thecoinrepublic.com/2026/08/11/anthropic-signs-9-1b-deal-with-bitcoin-miner-riot-platforms/ | https://crypto.news/riot-signs-9-1b-ai-deal-reportedly-with-anthropic/ | https://blockonomi.com/riot-platforms-signs-9-1-billion-data-center-deal-with-anthropic</w:t>
      </w:r>
    </w:p>
    <w:p>
      <w:pPr>
        <w:jc w:val="both"/>
      </w:pPr>
      <w:r>
        <w:rPr>
          <w:rFonts w:ascii="Arial" w:hAnsi="Arial"/>
          <w:b w:val="0"/>
          <w:i w:val="0"/>
          <w:sz w:val="19"/>
        </w:rPr>
        <w:t xml:space="preserve">Bloomberg / Cryptopolitan / Mezha / People's Daily / South China Morning Post. (10. August 2026). </w:t>
      </w:r>
      <w:r>
        <w:rPr>
          <w:rFonts w:ascii="Arial" w:hAnsi="Arial"/>
          <w:b w:val="0"/>
          <w:i/>
          <w:sz w:val="19"/>
        </w:rPr>
        <w:t>Unitree's Shanghai IPO 5,526 Times Subscribed by Retail Buyers / Unitree opens IPO subscription to become China's first humanoid robot stock / Unitree sets Shanghai IPO price as humanoid robot sector seeks fresh capital / Unitree IPO draws spotlight to China's fast-growing humanoid robot sector / Backed by DeepSeek, Unitree IPO tests investor appetite for China's AI robotics boom.</w:t>
      </w:r>
      <w:r>
        <w:rPr>
          <w:rFonts w:ascii="Arial" w:hAnsi="Arial"/>
          <w:b w:val="0"/>
          <w:i w:val="0"/>
          <w:sz w:val="19"/>
        </w:rPr>
        <w:t xml:space="preserve"> Fortschreibung der bereits mit Version 58.0 / 59.0 in § 8.2 dokumentierten </w:t>
      </w:r>
      <w:r>
        <w:rPr>
          <w:rFonts w:ascii="Arial" w:hAnsi="Arial"/>
          <w:b w:val="0"/>
          <w:i/>
          <w:sz w:val="19"/>
        </w:rPr>
        <w:t>Unitree-Robotics</w:t>
      </w:r>
      <w:r>
        <w:rPr>
          <w:rFonts w:ascii="Arial" w:hAnsi="Arial"/>
          <w:b w:val="0"/>
          <w:i w:val="0"/>
          <w:sz w:val="19"/>
        </w:rPr>
        <w:t xml:space="preserve">-Shanghai-STAR-Bepreisung um die am 10. August 2026 eröffnete Retail-Zeichnungsphase: Am Eröffnungstag sei der öffentliche Retail-Anteil des Emissionsvolumens rund 5.526-fach überzeichnet gewesen, nach Anbieter-/Emittenten-Angaben mit rund 9,8 Millionen Einzel-Zeichnungs­aufträgen. Aufnahme in § 8.2 als Fortschreibung der physisch-robotischen Kapitalmarktschicht mit Rückwirkung auf § 4.5 (verkürzte Beobachtungsphase für bestandsorientierte Umverteilungslogik nach </w:t>
      </w:r>
      <w:r>
        <w:rPr>
          <w:rFonts w:ascii="Arial" w:hAnsi="Arial"/>
          <w:b w:val="0"/>
          <w:i/>
          <w:sz w:val="19"/>
        </w:rPr>
        <w:t>American A.I. Sovereign Wealth Fund Act</w:t>
      </w:r>
      <w:r>
        <w:rPr>
          <w:rFonts w:ascii="Arial" w:hAnsi="Arial"/>
          <w:b w:val="0"/>
          <w:i w:val="0"/>
          <w:sz w:val="19"/>
        </w:rPr>
        <w:t xml:space="preserve"> im Retail-getriebenen Bewertungsumfeld) und § 8.3 (weitere Verschiebung des Referenzpunkts inländischer Anschlussstellen einer wertschöpfungs­orientierten KI-Nutzungsabgabe in Richtung Anwendungs-Ebene). Nachtrag zum 11. August 2026 nach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Bis zum Ende der Zeichnungsphase sei der öffentliche Retail-Anteil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w:t>
      </w:r>
      <w:r>
        <w:rPr>
          <w:rFonts w:ascii="Arial" w:hAnsi="Arial"/>
          <w:b w:val="0"/>
          <w:i/>
          <w:sz w:val="19"/>
        </w:rPr>
        <w:t>Yahoo-Finance</w:t>
      </w:r>
      <w:r>
        <w:rPr>
          <w:rFonts w:ascii="Arial" w:hAnsi="Arial"/>
          <w:b w:val="0"/>
          <w:i w:val="0"/>
          <w:sz w:val="19"/>
        </w:rPr>
        <w:t>-Angaben rund 900 Millionen US-Dollar (Konjunktivpflicht nach § 4.2 Claude.md, Angaben anbieter-/emittentenseitig). https://www.bloomberg.com/news/articles/2026-08-10/unitree-s-shanghai-ipo-5-526-times-subscribed-by-retail-buyers | https://www.cryptopolitan.com/unitree-opens-ipo-subscription/ | https://mezha.net/eng/bukvy/33b2224b_unitree_sets_shanghai/ | https://en.people.cn/n3/2026/0811/c90000-20487384.html | https://www.scmp.com/tech/tech-trends/article/3363251/backed-deepseek-unitree-ipo-tests-investor-appetite-chinas-ai-robotics-boom | https://finance.yahoo.com/markets/stocks/articles/unitrees-shanghai-ipo-more-8-112909363.html | https://techstartups.com/2026/08/11/top-tech-news-today-august-11-2026-anthropic-intel-meta-openai-nvidia-unitree-more/</w:t>
      </w:r>
    </w:p>
    <w:p>
      <w:pPr>
        <w:jc w:val="both"/>
      </w:pPr>
      <w:r>
        <w:rPr>
          <w:rFonts w:ascii="Arial" w:hAnsi="Arial"/>
          <w:b w:val="0"/>
          <w:i w:val="0"/>
          <w:sz w:val="19"/>
        </w:rPr>
        <w:t xml:space="preserve">Challenger, Gray &amp; Christmas / Insurance Journal / Claims Journal / Founder Reports. (2. Juli / August 2026). </w:t>
      </w:r>
      <w:r>
        <w:rPr>
          <w:rFonts w:ascii="Arial" w:hAnsi="Arial"/>
          <w:b w:val="0"/>
          <w:i/>
          <w:sz w:val="19"/>
        </w:rPr>
        <w:t>AI’s Impact: Tech and Finance Sectors Losing 28,000 Jobs Monthly / Challenger Report: March Cuts Rise 25 % From February, AI Leads Reasons / AI Layoffs by Company: A Tracker of Every Major Layoff Tied to AI (2026).</w:t>
      </w:r>
      <w:r>
        <w:rPr>
          <w:rFonts w:ascii="Arial" w:hAnsi="Arial"/>
          <w:b w:val="0"/>
          <w:i w:val="0"/>
          <w:sz w:val="19"/>
        </w:rPr>
        <w:t xml:space="preserve"> Zusammenfassende Auswertung der monatlichen Challenger-Layoff-Serie: Für Januar bis Juni 2026 kumuliert rund 101.700 US-Stellenstreichungen explizit auf AI zurückgeführt (fast das Doppelte des Gesamtjahreswerts 2025 mit 54.836); AI vier Monate in Folge (März – Juni 2026) führender Layoff-Grund; Finanz- und Informations­sektor mit rund 28.000 Stellenstreichungen pro Monat im Durchschnitt 2026. Aufnahme in § 1.1 als quantitativer Anker der AI-attribuierten Stellenstreichungen. https://www.challengergray.com/blog/challenger-report-march-cuts-rise-25-from-february-ai-leads-reasons/ | https://www.claimsjournal.com/news/national/2026/07/06/338604.htm | https://www.insurancejournal.com/news/national/2026/07/02/875989.htm | https://founderreports.com/ai-layoffs-tracker/</w:t>
      </w:r>
    </w:p>
    <w:p>
      <w:pPr>
        <w:jc w:val="both"/>
      </w:pPr>
      <w:r>
        <w:rPr>
          <w:rFonts w:ascii="Arial" w:hAnsi="Arial"/>
          <w:b w:val="0"/>
          <w:i w:val="0"/>
          <w:sz w:val="19"/>
        </w:rPr>
        <w:t xml:space="preserve">Casar, G., Foushee, V. &amp; Jacobs, S. / US House of Representatives / Quiver Quantitative / MLex / CBS Austin / Common Dreams / New Republic / Reason / Nextgov/FCW / Yournews / BirdsAdvice / Texas Politics / American Immigration Council. (7. August 2026). </w:t>
      </w:r>
      <w:r>
        <w:rPr>
          <w:rFonts w:ascii="Arial" w:hAnsi="Arial"/>
          <w:b w:val="0"/>
          <w:i/>
          <w:sz w:val="19"/>
        </w:rPr>
        <w:t>NEWS: Casar Leads Introduction of New Bill To Protect Workers From Threat of AI Mass Unemployment / US House Democrats introduce bill to tax AI companies, offset layoffs / Casar introduces bill to tax AI companies, create jobs amid layoff fears / Press Release: Greg Casar, Valerie Foushee and Sara Jacobs Introduce Bill to Tax AI Companies and Fund Jobs / 'As Toxic as AIPAC': Casar Urges Dems to Reject AI Industry Money and Protect Workers / Protecting Workers From AI Is Easier Said Than Done / Democrats' AI bill would tax companies to fund a jobs program / Tech Bills of the Week: Deterring AI distillation; Taxing AI developers; and more / House Democrats Propose Taxing Major AI Companies to Fund Jobs for Displaced Workers / New Democratic Plan Would Tax AI to Offset Job Losses / Greg Casar Targets AI Profits With New Worker Protection Bill / Casar introduces bill to tax AI companies, create jobs amid layoff fears</w:t>
      </w:r>
      <w:r>
        <w:rPr>
          <w:rFonts w:ascii="Arial" w:hAnsi="Arial"/>
          <w:b w:val="0"/>
          <w:i w:val="0"/>
          <w:sz w:val="19"/>
        </w:rPr>
        <w:t xml:space="preserve">. Am 7. August 2026 im US-Repräsentantenhaus eingebrachter </w:t>
      </w:r>
      <w:r>
        <w:rPr>
          <w:rFonts w:ascii="Arial" w:hAnsi="Arial"/>
          <w:b w:val="0"/>
          <w:i/>
          <w:sz w:val="19"/>
        </w:rPr>
        <w:t>AI Tax and Work Protection Act</w:t>
      </w:r>
      <w:r>
        <w:rPr>
          <w:rFonts w:ascii="Arial" w:hAnsi="Arial"/>
          <w:b w:val="0"/>
          <w:i w:val="0"/>
          <w:sz w:val="19"/>
        </w:rPr>
        <w:t xml:space="preserve"> (Federführung Greg Casar D-TX, mit Valerie Foushee D-NC und Sara Jacobs D-CA); Steueraufkommen alternativ am Token-Verkaufspreis oder am Produktumsatz der KI-Angebote (jeweils der höhere Wert) bemessen, bei </w:t>
      </w:r>
      <w:r>
        <w:rPr>
          <w:rFonts w:ascii="Arial" w:hAnsi="Arial"/>
          <w:b w:val="0"/>
          <w:i/>
          <w:sz w:val="19"/>
        </w:rPr>
        <w:t>Open-Weight</w:t>
      </w:r>
      <w:r>
        <w:rPr>
          <w:rFonts w:ascii="Arial" w:hAnsi="Arial"/>
          <w:b w:val="0"/>
          <w:i w:val="0"/>
          <w:sz w:val="19"/>
        </w:rPr>
        <w:t xml:space="preserve">-Modellen auf der Einsatzebene bei Personalkosten-Reduktion greifend; unemployment-elastischer Tarif mit Anhebung bei US-Arbeitslosenquote über 5 Prozent; Aufkommen vollständig in eine neu zu errichtende </w:t>
      </w:r>
      <w:r>
        <w:rPr>
          <w:rFonts w:ascii="Arial" w:hAnsi="Arial"/>
          <w:b w:val="0"/>
          <w:i/>
          <w:sz w:val="19"/>
        </w:rPr>
        <w:t>Work Protection Administration</w:t>
      </w:r>
      <w:r>
        <w:rPr>
          <w:rFonts w:ascii="Arial" w:hAnsi="Arial"/>
          <w:b w:val="0"/>
          <w:i w:val="0"/>
          <w:sz w:val="19"/>
        </w:rPr>
        <w:t xml:space="preserve"> (WPA) nach dem Vorbild der New-Deal-</w:t>
      </w:r>
      <w:r>
        <w:rPr>
          <w:rFonts w:ascii="Arial" w:hAnsi="Arial"/>
          <w:b w:val="0"/>
          <w:i/>
          <w:sz w:val="19"/>
        </w:rPr>
        <w:t>Works Progress Administration</w:t>
      </w:r>
      <w:r>
        <w:rPr>
          <w:rFonts w:ascii="Arial" w:hAnsi="Arial"/>
          <w:b w:val="0"/>
          <w:i w:val="0"/>
          <w:sz w:val="19"/>
        </w:rPr>
        <w:t xml:space="preserve">; tragende Verbände AFT, AFSCME, Groundwork Action, Demand Progress Action. Aufnahme in § 4.5 als dritte US-Kongress-Fiskal-Initiative mit unmittelbarem Bezug zur Verdrängung menschlicher Arbeit neben </w:t>
      </w:r>
      <w:r>
        <w:rPr>
          <w:rFonts w:ascii="Arial" w:hAnsi="Arial"/>
          <w:b w:val="0"/>
          <w:i/>
          <w:sz w:val="19"/>
        </w:rPr>
        <w:t>Sanders</w:t>
      </w:r>
      <w:r>
        <w:rPr>
          <w:rFonts w:ascii="Arial" w:hAnsi="Arial"/>
          <w:b w:val="0"/>
          <w:i w:val="0"/>
          <w:sz w:val="19"/>
        </w:rPr>
        <w:t xml:space="preserve">-Robotersteuer (Oktober 2025) und </w:t>
      </w:r>
      <w:r>
        <w:rPr>
          <w:rFonts w:ascii="Arial" w:hAnsi="Arial"/>
          <w:b w:val="0"/>
          <w:i/>
          <w:sz w:val="19"/>
        </w:rPr>
        <w:t>American A.I. Sovereign Wealth Fund Act</w:t>
      </w:r>
      <w:r>
        <w:rPr>
          <w:rFonts w:ascii="Arial" w:hAnsi="Arial"/>
          <w:b w:val="0"/>
          <w:i w:val="0"/>
          <w:sz w:val="19"/>
        </w:rPr>
        <w:t xml:space="preserve"> (18. Juni 2026). https://casar.house.gov/media/press-releases/news-casar-leads-introduction-new-bill-protect-workers-threat-ai-mass | https://www.mlex.com/mlex/artificial-intelligence/articles/2510800 | https://cbsaustin.com/news/local/casar-introduces-bill-to-tax-ai-companies-create-jobs-amid-layoff-fears | https://www.commondreams.org/news/ai-political-spending | https://newrepublic.com/post/214100/greg-casar-ai-workers | https://reason.com/2026/08/07/democrats-want-to-tax-ai-companies-for-job-losses-that-havent-happened/ | https://www.nextgov.com/policy/2026/08/tech-bills-week-deterring-ai-distillation-taxing-ai-developers-and-more/415287/ | https://yournews.com/2026/08/06/7146587/house-democrats-propose-taxing-major-ai-companies-to-fund-jobs/ | https://texaspolitics.com/2026/08/07/hold-casars-new-bill-to-protect-american-workers-from-mass-unemployment-caused-by-ai/ | https://www.quiverquant.com/news/Press+Release:+Greg+Casar,+Valerie+Foushee+and+Sara+Jacobs+Introduce+Bill+to+Tax+AI+Companies+and+Fund+Jobs</w:t>
      </w:r>
    </w:p>
    <w:p>
      <w:pPr>
        <w:jc w:val="both"/>
      </w:pPr>
      <w:r>
        <w:rPr>
          <w:rFonts w:ascii="Arial" w:hAnsi="Arial"/>
          <w:b w:val="0"/>
          <w:i w:val="0"/>
          <w:sz w:val="19"/>
        </w:rPr>
        <w:t xml:space="preserve">Rapid7, Inc. / Boston Globe / SiliconAngle / HR Katha / TheHRDigest / Pulse2 / NBC Boston / StreetInsider / Dealroom. (7./10. August 2026). </w:t>
      </w:r>
      <w:r>
        <w:rPr>
          <w:rFonts w:ascii="Arial" w:hAnsi="Arial"/>
          <w:b w:val="0"/>
          <w:i/>
          <w:sz w:val="19"/>
        </w:rPr>
        <w:t>Rapid7 to cut 12 % of workforce in restructuring plan / Rapid7 layoffs: Boston cybersecurity firm cuts 300 jobs / Rapid7 beats estimates, raises profit outlook and cuts 12 % of staff / Rapid7 cuts 12 % of workforce as it shifts towards AI-first cybersecurity / Rapid7 Cuts 12 % Of Workforce As It Shifts Resources Toward AI-First Cybersecurity Platform / Rapid7 cuts 12 % of staff under new CEO / Rapid7 targets 20 % operating margin as it cuts 12 % of workforce in strategic reset</w:t>
      </w:r>
      <w:r>
        <w:rPr>
          <w:rFonts w:ascii="Arial" w:hAnsi="Arial"/>
          <w:b w:val="0"/>
          <w:i w:val="0"/>
          <w:sz w:val="19"/>
        </w:rPr>
        <w:t xml:space="preserve">. Am 7. August 2026 vom Board beschlossene, am 10. August 2026 mit dem Q2-Ergebnisbericht angekündigte Restrukturierung: rund 310 Stellenstreichungen (12 Prozent von rund 2.600 Beschäftigten); Q2-Umsatz 210,9 Millionen US-Dollar (−1,5 Prozent im Jahresvergleich); Restrukturierungsaufwand 10 bis 11 Millionen US-Dollar überwiegend in Q3/Q4 2026; neuer CEO Wael Mohamed richtet den Konzern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aus; die Presse-Berichterstattung ordnet den Schritt als Umstellung auf eine </w:t>
      </w:r>
      <w:r>
        <w:rPr>
          <w:rFonts w:ascii="Arial" w:hAnsi="Arial"/>
          <w:b w:val="0"/>
          <w:i/>
          <w:sz w:val="19"/>
        </w:rPr>
        <w:t>AI-first cybersecurity platform</w:t>
      </w:r>
      <w:r>
        <w:rPr>
          <w:rFonts w:ascii="Arial" w:hAnsi="Arial"/>
          <w:b w:val="0"/>
          <w:i w:val="0"/>
          <w:sz w:val="19"/>
        </w:rPr>
        <w:t>-Strategie ein. Aufnahme in § 1.1 als weiterer Datenpunkt zur laufenden AI-attribuierten Restrukturierungswelle. https://www.bostonglobe.com/2026/08/10/business/rapid7-layoffs/ | https://siliconangle.com/2026/08/10/rapid7-beats-estimates-raises-profit-outlook-cuts-12-staff/ | https://www.hrkatha.com/news/rapid7-cuts-12-of-workforce-as-it-shifts-towards-ai-first-cybersecurity/ | https://www.thehrdigest.com/cisco-layoffs-set-to-affect-4000-roles-as-ai-redefines-operations/ | https://pulse2.com/rapid7-cuts-12-of-workforce-as-it-shifts-resources-toward-ai-first-cybersecurity-platform/ | https://www.nbcboston.com/boston-business-journal/massachusetts-cybersecurity-firm-cuts-12-of-staff-under-new-ceo/3995253/ | https://www.streetinsider.com/Corporate+News/Rapid7+to+cut+12%25+of+workforce+in+restructuring+plan/26897984.html | https://app.dealroom.co/news/feed/rapid7-targets-20-operating-margin-as-it-cuts-12-of-workforce-in-strategic-reset</w:t>
      </w:r>
    </w:p>
    <w:p>
      <w:pPr>
        <w:jc w:val="both"/>
      </w:pPr>
      <w:r>
        <w:rPr>
          <w:rFonts w:ascii="Arial" w:hAnsi="Arial"/>
          <w:b w:val="0"/>
          <w:i w:val="0"/>
          <w:sz w:val="19"/>
        </w:rPr>
        <w:t xml:space="preserve">Oracle Corporation / TheNextWeb / Yahoo Finance / NAI 500 / Business Insider / Forbes / CNBC. (13. August 2026, mit Bezug auf Bilanz FY2026 zum 31. Mai 2026). </w:t>
      </w:r>
      <w:r>
        <w:rPr>
          <w:rFonts w:ascii="Arial" w:hAnsi="Arial"/>
          <w:b w:val="0"/>
          <w:i/>
          <w:sz w:val="19"/>
        </w:rPr>
        <w:t>Oracle plans fresh August layoffs as its AI spending spree bites / Oracle planning new round of layoffs in August 2026 / Oracle Deepens AI Expansion Pains With New Cuts After 21,000 Layoffs in One Year</w:t>
      </w:r>
      <w:r>
        <w:rPr>
          <w:rFonts w:ascii="Arial" w:hAnsi="Arial"/>
          <w:b w:val="0"/>
          <w:i w:val="0"/>
          <w:sz w:val="19"/>
        </w:rPr>
        <w:t>. Angekündigte weitere Layoff-Runde im August 2026 vor Beginn des zweiten Geschäftsquartals am 1. September 2026 mit zweistelligen Prozentreduktionen in einzelnen Bereichen; Vorlauf zum bereits vollzogenen Abbau von rund 21.000 Stellen (rund 13 Prozent, Rückgang von 162.000 auf 141.000 Beschäftigte) im Geschäftsjahr 2026; kumulierter Restrukturierungsaufwand 1,8 bis 2,1 Milliarden US-Dollar; parallel Investitionen von rund 55,7 Milliarden US-Dollar (FY2026, von 21,2 Milliarden US-Dollar in FY2025), finanziert über 43 Milliarden US-Dollar Anleihen und 5 Milliarden US-Dollar Eigenkapital, mit weiteren rund 40 Milliarden US-Dollar Kapitalbedarf im laufenden Jahr. Aufnahme in § 1.1 als Nachtragsbeleg zum Zusammenhang zwischen Personalabbau und KI-Capex-Ausbau. https://thenextweb.com/news/oracle-august-2026-layoffs-ai-capex | https://finance.yahoo.com/technology/ai/articles/oracle-planning-round-layoffs-august-134527039.html | https://nai500.com/blog/2026/08/oracle-deepens-ai-expansion-pains-with-new-cuts-after-21000-layoffs-in-one-year/</w:t>
      </w:r>
    </w:p>
    <w:p>
      <w:pPr>
        <w:jc w:val="both"/>
      </w:pPr>
      <w:r>
        <w:rPr>
          <w:rFonts w:ascii="Arial" w:hAnsi="Arial"/>
          <w:b w:val="0"/>
          <w:i w:val="0"/>
          <w:sz w:val="19"/>
        </w:rPr>
        <w:t xml:space="preserve">Meta Platforms, Inc. / Meta AI Research / CNBC / SiliconAngle / Seeking Alpha / Phoronix / Open Source For You / Hugging Face / MEXC News. (10. August 2026). </w:t>
      </w:r>
      <w:r>
        <w:rPr>
          <w:rFonts w:ascii="Arial" w:hAnsi="Arial"/>
          <w:b w:val="0"/>
          <w:i/>
          <w:sz w:val="19"/>
        </w:rPr>
        <w:t>Introducing Muse Glimmer: An Open Agentic Model That Runs on Your Device / Meta launches Muse Glimmer open-weight AI model / Meta releases open-source Muse Glimmer model with 30B parameters / Meta unveils open source AI model Muse Glimmer amid open-weight push / Meta Publishes Muse Glimmer As 30B Open Agentic Model / Meta Open Sources Muse Glimmer: A 30B Agentic AI Model / Meta is back with Muse Glimmer: local, agentic, multimodal, and open source / Muse-Glimmer-30B (Modellkarte)</w:t>
      </w:r>
      <w:r>
        <w:rPr>
          <w:rFonts w:ascii="Arial" w:hAnsi="Arial"/>
          <w:b w:val="0"/>
          <w:i w:val="0"/>
          <w:sz w:val="19"/>
        </w:rPr>
        <w:t>. Am 10. August 2026 freigegebener 30-Milliarden-Parameter-</w:t>
      </w:r>
      <w:r>
        <w:rPr>
          <w:rFonts w:ascii="Arial" w:hAnsi="Arial"/>
          <w:b w:val="0"/>
          <w:i/>
          <w:sz w:val="19"/>
        </w:rPr>
        <w:t>Open-Weight</w:t>
      </w:r>
      <w:r>
        <w:rPr>
          <w:rFonts w:ascii="Arial" w:hAnsi="Arial"/>
          <w:b w:val="0"/>
          <w:i w:val="0"/>
          <w:sz w:val="19"/>
        </w:rPr>
        <w:t xml:space="preserve">-Ableger der </w:t>
      </w:r>
      <w:r>
        <w:rPr>
          <w:rFonts w:ascii="Arial" w:hAnsi="Arial"/>
          <w:b w:val="0"/>
          <w:i/>
          <w:sz w:val="19"/>
        </w:rPr>
        <w:t>Muse-Spark</w:t>
      </w:r>
      <w:r>
        <w:rPr>
          <w:rFonts w:ascii="Arial" w:hAnsi="Arial"/>
          <w:b w:val="0"/>
          <w:i w:val="0"/>
          <w:sz w:val="19"/>
        </w:rPr>
        <w:t xml:space="preserve">-Familie mit </w:t>
      </w:r>
      <w:r>
        <w:rPr>
          <w:rFonts w:ascii="Arial" w:hAnsi="Arial"/>
          <w:b w:val="0"/>
          <w:i/>
          <w:sz w:val="19"/>
        </w:rPr>
        <w:t>Apache-2.0</w:t>
      </w:r>
      <w:r>
        <w:rPr>
          <w:rFonts w:ascii="Arial" w:hAnsi="Arial"/>
          <w:b w:val="0"/>
          <w:i w:val="0"/>
          <w:sz w:val="19"/>
        </w:rPr>
        <w:t xml:space="preserve">-kompatibler Freigabepolitik; 4-Bit-Quantisierung und </w:t>
      </w:r>
      <w:r>
        <w:rPr>
          <w:rFonts w:ascii="Arial" w:hAnsi="Arial"/>
          <w:b w:val="0"/>
          <w:i/>
          <w:sz w:val="19"/>
        </w:rPr>
        <w:t>speculative decoding</w:t>
      </w:r>
      <w:r>
        <w:rPr>
          <w:rFonts w:ascii="Arial" w:hAnsi="Arial"/>
          <w:b w:val="0"/>
          <w:i w:val="0"/>
          <w:sz w:val="19"/>
        </w:rPr>
        <w:t xml:space="preserve"> (Drafter-Verifier-Pipeline) senken den Speicherbedarf von rund 55 auf unter 20 Gigabyte RAM; einstellbare </w:t>
      </w:r>
      <w:r>
        <w:rPr>
          <w:rFonts w:ascii="Arial" w:hAnsi="Arial"/>
          <w:b w:val="0"/>
          <w:i/>
          <w:sz w:val="19"/>
        </w:rPr>
        <w:t>Reasoning-Strength</w:t>
      </w:r>
      <w:r>
        <w:rPr>
          <w:rFonts w:ascii="Arial" w:hAnsi="Arial"/>
          <w:b w:val="0"/>
          <w:i w:val="0"/>
          <w:sz w:val="19"/>
        </w:rPr>
        <w:t xml:space="preserve"> und automatische Aufgabenwiederholungen; Zielprofil lokale Agenten, Function Calling, Coding und LLM-as-a-judge; Anbieter-Benchmark-Vergleiche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auf zwei Dutzend Benchmarks. Aufnahme in § 8.2 als Extension der </w:t>
      </w:r>
      <w:r>
        <w:rPr>
          <w:rFonts w:ascii="Arial" w:hAnsi="Arial"/>
          <w:b w:val="0"/>
          <w:i/>
          <w:sz w:val="19"/>
        </w:rPr>
        <w:t>Muse-Spark-1.2</w:t>
      </w:r>
      <w:r>
        <w:rPr>
          <w:rFonts w:ascii="Arial" w:hAnsi="Arial"/>
          <w:b w:val="0"/>
          <w:i w:val="0"/>
          <w:sz w:val="19"/>
        </w:rPr>
        <w:t>-Freigabe (5. August 2026) auf ein lokal ausführbares Open-Weight-Segment; verdichtet die Verlagerung der Wertschöpfungs- und Zugriffslogik auf die Anwendungs- statt die zentrale API-Ebene. https://research.meta.ai/blog/introducing-muse-glimmer-open-agentic-model | https://siliconangle.com/2026/08/10/meta-releases-open-source-muse-glimmer-model-30b-parameters/ | https://seekingalpha.com/news/4629742-meta-unveils-open-source-ai-model-muse-glimmer-amid-open-weight-push | https://www.phoronix.com/news/Meta-Muse-Glimmer | https://www.opensourceforu.com/2026/08/meta-open-sources-muse-glimmer/ | https://huggingface.co/blog/muse-glimmer | https://huggingface.co/meta-models/Muse-Glimmer-30B | https://www.cnbc.com/2026/08/10/meta-muse-glimmer-open-weight-ai.html | https://developer.meta.com/ai/models/muse-glimmer/</w:t>
      </w:r>
    </w:p>
    <w:p>
      <w:pPr>
        <w:jc w:val="both"/>
      </w:pPr>
      <w:r>
        <w:rPr>
          <w:rFonts w:ascii="Arial" w:hAnsi="Arial"/>
          <w:b w:val="0"/>
          <w:i w:val="0"/>
          <w:sz w:val="19"/>
        </w:rPr>
        <w:t xml:space="preserve">OpenAI / gHacks / Adventure Media / Monks Answer Engine / edenai / Coursiv / techjacksolutions / BenchLM / AIPricing.guru. (11. und 13. August 2026). </w:t>
      </w:r>
      <w:r>
        <w:rPr>
          <w:rFonts w:ascii="Arial" w:hAnsi="Arial"/>
          <w:b w:val="0"/>
          <w:i/>
          <w:sz w:val="19"/>
        </w:rPr>
        <w:t>OpenAI Expands ChatGPT Ads Test to UK, Mexico, Brazil, Japan, and South Korea / Testing ads in ChatGPT / Our approach to advertising and expanding access to ChatGPT / Ads in ChatGPT (Help Center) / GPT-5.6 Sol: Benchmarks, Pricing &amp; API Access Guide 2026 / GPT-5.6 Sol: Benchmarks, API Pricing &amp; Review / GPT-5.6 Pricing: Sol, Terra &amp; Luna API Costs (2026) / OpenAI API Pricing (August 2026): Model &amp; Token Costs / OpenAI API Pricing (August 2026): GPT-5.6 &amp; Cyber</w:t>
      </w:r>
      <w:r>
        <w:rPr>
          <w:rFonts w:ascii="Arial" w:hAnsi="Arial"/>
          <w:b w:val="0"/>
          <w:i w:val="0"/>
          <w:sz w:val="19"/>
        </w:rPr>
        <w:t xml:space="preserve">. Zwei Ereignisse in einem Zeitfenster von 48 Stunden: (a) Rollout des </w:t>
      </w:r>
      <w:r>
        <w:rPr>
          <w:rFonts w:ascii="Arial" w:hAnsi="Arial"/>
          <w:b w:val="0"/>
          <w:i/>
          <w:sz w:val="19"/>
        </w:rPr>
        <w:t>ChatGPT-Advertising</w:t>
      </w:r>
      <w:r>
        <w:rPr>
          <w:rFonts w:ascii="Arial" w:hAnsi="Arial"/>
          <w:b w:val="0"/>
          <w:i w:val="0"/>
          <w:sz w:val="19"/>
        </w:rPr>
        <w:t xml:space="preserve">-Testlaufs zum 11. August 2026 im Vereinigten Königreich, in Mexiko, Brasilien, Japan und der Republik Korea; Anzeigen ausschließlich auf den Tarifen </w:t>
      </w:r>
      <w:r>
        <w:rPr>
          <w:rFonts w:ascii="Arial" w:hAnsi="Arial"/>
          <w:b w:val="0"/>
          <w:i/>
          <w:sz w:val="19"/>
        </w:rPr>
        <w:t>Free</w:t>
      </w:r>
      <w:r>
        <w:rPr>
          <w:rFonts w:ascii="Arial" w:hAnsi="Arial"/>
          <w:b w:val="0"/>
          <w:i w:val="0"/>
          <w:sz w:val="19"/>
        </w:rPr>
        <w:t xml:space="preserve"> und </w:t>
      </w:r>
      <w:r>
        <w:rPr>
          <w:rFonts w:ascii="Arial" w:hAnsi="Arial"/>
          <w:b w:val="0"/>
          <w:i/>
          <w:sz w:val="19"/>
        </w:rPr>
        <w:t>Go</w:t>
      </w:r>
      <w:r>
        <w:rPr>
          <w:rFonts w:ascii="Arial" w:hAnsi="Arial"/>
          <w:b w:val="0"/>
          <w:i w:val="0"/>
          <w:sz w:val="19"/>
        </w:rPr>
        <w:t xml:space="preserve">, während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und </w:t>
      </w:r>
      <w:r>
        <w:rPr>
          <w:rFonts w:ascii="Arial" w:hAnsi="Arial"/>
          <w:b w:val="0"/>
          <w:i/>
          <w:sz w:val="19"/>
        </w:rPr>
        <w:t>Education</w:t>
      </w:r>
      <w:r>
        <w:rPr>
          <w:rFonts w:ascii="Arial" w:hAnsi="Arial"/>
          <w:b w:val="0"/>
          <w:i w:val="0"/>
          <w:sz w:val="19"/>
        </w:rPr>
        <w:t xml:space="preserve"> werbefrei bleiben; (b) Vorschau eines </w:t>
      </w:r>
      <w:r>
        <w:rPr>
          <w:rFonts w:ascii="Arial" w:hAnsi="Arial"/>
          <w:b w:val="0"/>
          <w:i/>
          <w:sz w:val="19"/>
        </w:rPr>
        <w:t>Ultrafast</w:t>
      </w:r>
      <w:r>
        <w:rPr>
          <w:rFonts w:ascii="Arial" w:hAnsi="Arial"/>
          <w:b w:val="0"/>
          <w:i w:val="0"/>
          <w:sz w:val="19"/>
        </w:rPr>
        <w:t xml:space="preserve">-Modus für </w:t>
      </w:r>
      <w:r>
        <w:rPr>
          <w:rFonts w:ascii="Arial" w:hAnsi="Arial"/>
          <w:b w:val="0"/>
          <w:i/>
          <w:sz w:val="19"/>
        </w:rPr>
        <w:t>GPT-5.6 Sol</w:t>
      </w:r>
      <w:r>
        <w:rPr>
          <w:rFonts w:ascii="Arial" w:hAnsi="Arial"/>
          <w:b w:val="0"/>
          <w:i w:val="0"/>
          <w:sz w:val="19"/>
        </w:rPr>
        <w:t xml:space="preserve"> zum 13. August 2026 auf </w:t>
      </w:r>
      <w:r>
        <w:rPr>
          <w:rFonts w:ascii="Arial" w:hAnsi="Arial"/>
          <w:b w:val="0"/>
          <w:i/>
          <w:sz w:val="19"/>
        </w:rPr>
        <w:t>Cerebras</w:t>
      </w:r>
      <w:r>
        <w:rPr>
          <w:rFonts w:ascii="Arial" w:hAnsi="Arial"/>
          <w:b w:val="0"/>
          <w:i w:val="0"/>
          <w:sz w:val="19"/>
        </w:rPr>
        <w:t xml:space="preserve">-Infrastruktur mit bis zu 750 Ausgabe-Token pro Sekunde und rund der 14-fachen Standard-Ausführungsgeschwindigkeit; Preisstruktur der </w:t>
      </w:r>
      <w:r>
        <w:rPr>
          <w:rFonts w:ascii="Arial" w:hAnsi="Arial"/>
          <w:b w:val="0"/>
          <w:i/>
          <w:sz w:val="19"/>
        </w:rPr>
        <w:t>Sol</w:t>
      </w:r>
      <w:r>
        <w:rPr>
          <w:rFonts w:ascii="Arial" w:hAnsi="Arial"/>
          <w:b w:val="0"/>
          <w:i w:val="0"/>
          <w:sz w:val="19"/>
        </w:rPr>
        <w:t>-Zeile (5 US-Dollar Input / 30 US-Dollar Output je Million Token) in der Vorschau unverändert. Aufnahme in § 8.2 als Präzisierung der deflationären Frontier-Ökonomik um eine Latenz-Prämien-Ebene sowie um eine werbe-basierte Refinanzierungsschicht. https://www.ghacks.net/2026/08/13/openai-expands-chatgpt-ads-test-to-uk-mexico-brazil-japan-and-south-korea/ | https://openai.com/index/testing-ads-in-chatgpt/ | https://openai.com/index/our-approach-to-advertising-and-expanding-access/ | https://help.openai.com/en/articles/20001047-ads-in-chatgpt | https://www.edenai.co/post/gpt-5-6-sol-benchmarks-pricing-api-access-guide | https://coursiv.io/blog/chatgpt-5-6-sol | https://techjacksolutions.com/ai-tools/chatgpt/gpt-5-6-pricing/ | https://benchlm.ai/openai/api-pricing | https://www.aipricing.guru/openai-pricing/</w:t>
      </w:r>
    </w:p>
    <w:p>
      <w:pPr>
        <w:jc w:val="both"/>
      </w:pPr>
      <w:r>
        <w:rPr>
          <w:rFonts w:ascii="Arial" w:hAnsi="Arial"/>
          <w:b w:val="0"/>
          <w:i w:val="0"/>
          <w:sz w:val="19"/>
        </w:rPr>
        <w:t xml:space="preserve">Anthropic / Claude (X-Kanal) / GuruFocus / Enterprise DNA / ExplainX / Cosmic JS / Medium (Joe Njenga) / Malay Mail. (10. August 2026). </w:t>
      </w:r>
      <w:r>
        <w:rPr>
          <w:rFonts w:ascii="Arial" w:hAnsi="Arial"/>
          <w:b w:val="0"/>
          <w:i/>
          <w:sz w:val="19"/>
        </w:rPr>
        <w:t>We're making Claude Sonnet 5's introductory pricing permanent / Anthropic Maintains Claude Sonnet 5 Pricing Amid IPO Plans / Claude Sonnet 5 Price Freeze: What It Means for Business / Anthropic Just Made Claude Sonnet 5 Offer Pricing Permanent / Claude Sonnet 5 Pricing Locked at $2/$10 — Cheap Enough?</w:t>
      </w:r>
      <w:r>
        <w:rPr>
          <w:rFonts w:ascii="Arial" w:hAnsi="Arial"/>
          <w:b w:val="0"/>
          <w:i w:val="0"/>
          <w:sz w:val="19"/>
        </w:rPr>
        <w:t xml:space="preserve"> Am 10. August 2026 durch </w:t>
      </w:r>
      <w:r>
        <w:rPr>
          <w:rFonts w:ascii="Arial" w:hAnsi="Arial"/>
          <w:b w:val="0"/>
          <w:i/>
          <w:sz w:val="19"/>
        </w:rPr>
        <w:t>Anthropic</w:t>
      </w:r>
      <w:r>
        <w:rPr>
          <w:rFonts w:ascii="Arial" w:hAnsi="Arial"/>
          <w:b w:val="0"/>
          <w:i w:val="0"/>
          <w:sz w:val="19"/>
        </w:rPr>
        <w:t xml:space="preserve"> öffentlich bekanntgegebene dauerhafte Festschreibung der im Juni 2026 als </w:t>
      </w:r>
      <w:r>
        <w:rPr>
          <w:rFonts w:ascii="Arial" w:hAnsi="Arial"/>
          <w:b w:val="0"/>
          <w:i/>
          <w:sz w:val="19"/>
        </w:rPr>
        <w:t>Introductory Pricing</w:t>
      </w:r>
      <w:r>
        <w:rPr>
          <w:rFonts w:ascii="Arial" w:hAnsi="Arial"/>
          <w:b w:val="0"/>
          <w:i w:val="0"/>
          <w:sz w:val="19"/>
        </w:rPr>
        <w:t xml:space="preserve"> eingeführten Tarife 2 US-Dollar Input / 10 US-Dollar Output pro Million Token für </w:t>
      </w:r>
      <w:r>
        <w:rPr>
          <w:rFonts w:ascii="Arial" w:hAnsi="Arial"/>
          <w:b w:val="0"/>
          <w:i/>
          <w:sz w:val="19"/>
        </w:rPr>
        <w:t>Claude Sonnet 5</w:t>
      </w:r>
      <w:r>
        <w:rPr>
          <w:rFonts w:ascii="Arial" w:hAnsi="Arial"/>
          <w:b w:val="0"/>
          <w:i w:val="0"/>
          <w:sz w:val="19"/>
        </w:rPr>
        <w:t xml:space="preserve"> über den 31. August 2026 hinaus; die zuvor für den 1. September 2026 vorgesehene Erhöhung auf 3 US-Dollar Input / 15 US-Dollar Output (Faktor 1,5) wird zurückgenommen. Anbieter-Begründung: Preisstabilität für Kunden-Investitionsentscheidungen und Reduktion des Preisänderungs-Puffers; Berichterstattung ordnet die Rücknahme in eine sich verschärfende Konkurrenz durch Open-Weight-Modelle (</w:t>
      </w:r>
      <w:r>
        <w:rPr>
          <w:rFonts w:ascii="Arial" w:hAnsi="Arial"/>
          <w:b w:val="0"/>
          <w:i/>
          <w:sz w:val="19"/>
        </w:rPr>
        <w:t>Meta Muse Glimmer</w:t>
      </w:r>
      <w:r>
        <w:rPr>
          <w:rFonts w:ascii="Arial" w:hAnsi="Arial"/>
          <w:b w:val="0"/>
          <w:i w:val="0"/>
          <w:sz w:val="19"/>
        </w:rPr>
        <w:t xml:space="preserve">, </w:t>
      </w:r>
      <w:r>
        <w:rPr>
          <w:rFonts w:ascii="Arial" w:hAnsi="Arial"/>
          <w:b w:val="0"/>
          <w:i/>
          <w:sz w:val="19"/>
        </w:rPr>
        <w:t>Alibaba Qwen 3.8 Max</w:t>
      </w:r>
      <w:r>
        <w:rPr>
          <w:rFonts w:ascii="Arial" w:hAnsi="Arial"/>
          <w:b w:val="0"/>
          <w:i w:val="0"/>
          <w:sz w:val="19"/>
        </w:rPr>
        <w:t xml:space="preserve">, </w:t>
      </w:r>
      <w:r>
        <w:rPr>
          <w:rFonts w:ascii="Arial" w:hAnsi="Arial"/>
          <w:b w:val="0"/>
          <w:i/>
          <w:sz w:val="19"/>
        </w:rPr>
        <w:t>Z.ai GLM-5.3</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w:t>
      </w:r>
      <w:r>
        <w:rPr>
          <w:rFonts w:ascii="Arial" w:hAnsi="Arial"/>
          <w:b w:val="0"/>
          <w:i w:val="0"/>
          <w:sz w:val="19"/>
        </w:rPr>
        <w:t>) und in die IPO-Vorbereitung des Anbieters ein (Konjunktivpflicht nach § 4.2 Claude.md). Aufnahme in § 8.2 als Fortschreibung der deflationären Workhorse-Preisdynamik in der US-Frontier-Achse; Rückwirkung auf § 8.3 (Zugriffslogik einer inländischen KI-Nutzungsabgabe) und § 4.5 (Bemessungsbasis-Volatilität preisbasierter Zugriffe). https://x.com/claudeai/status/2086891169217122586 | https://www.gurufocus.com/news/9022707/anthropic-maintains-claude-sonnet-5-pricing-amid-ipo-plans | https://enterprisedna.co/resources/news/anthropic-claude-sonnet-5-pricing-permanent-reversal-august-2026/ | https://explainx.ai/blog/anthropic-sonnet-5-permanent-pricing-august-2026 | https://medium.com/ai-software-engineer/anthropic-just-made-claude-sonnet-5-offer-pricing-permanent-c51d293bb3e8</w:t>
      </w:r>
    </w:p>
    <w:p>
      <w:pPr>
        <w:jc w:val="both"/>
      </w:pPr>
      <w:r>
        <w:rPr>
          <w:rFonts w:ascii="Arial" w:hAnsi="Arial"/>
          <w:b w:val="0"/>
          <w:i w:val="0"/>
          <w:sz w:val="19"/>
        </w:rPr>
        <w:t xml:space="preserve">DeepSeek / TechNode / Fortune / Engadget / InfoWorld / US News &amp; World Report / PYMNTS / Quartz / Studio Global AI / Eden AI / Chuanxilu / Elser / AI Pricing Guru / BenchLM. (13. August 2026 / Wirksamkeit 16. August 2026 um 16:00 UTC). </w:t>
      </w:r>
      <w:r>
        <w:rPr>
          <w:rFonts w:ascii="Arial" w:hAnsi="Arial"/>
          <w:b w:val="0"/>
          <w:i/>
          <w:sz w:val="19"/>
        </w:rPr>
        <w:t>DeepSeek to introduce peak and off-peak pricing for its API / DeepSeek introduces peak-hour pricing that quadruples current levels / DeepSeek's AI models are about to cost four times more / DeepSeek raises some V4 prices by more than 10x as AI demand strains capacity / DeepSeek raising API prices by up to 1,100 % starting Aug. 16 / DeepSeek Ends Its AI Price War: Why API Costs Are Rising / DeepSeek Introduces Peak Pricing.</w:t>
      </w:r>
      <w:r>
        <w:rPr>
          <w:rFonts w:ascii="Arial" w:hAnsi="Arial"/>
          <w:b w:val="0"/>
          <w:i w:val="0"/>
          <w:sz w:val="19"/>
        </w:rPr>
        <w:t xml:space="preserve"> Am 13. August 2026 durch </w:t>
      </w:r>
      <w:r>
        <w:rPr>
          <w:rFonts w:ascii="Arial" w:hAnsi="Arial"/>
          <w:b w:val="0"/>
          <w:i/>
          <w:sz w:val="19"/>
        </w:rPr>
        <w:t>DeepSeek</w:t>
      </w:r>
      <w:r>
        <w:rPr>
          <w:rFonts w:ascii="Arial" w:hAnsi="Arial"/>
          <w:b w:val="0"/>
          <w:i w:val="0"/>
          <w:sz w:val="19"/>
        </w:rPr>
        <w:t xml:space="preserve"> (Hangzhou) angekündigte und am 16. August 2026 um 16:00 UTC in Kraft tretende Umstellung der bisher einheitlichen </w:t>
      </w:r>
      <w:r>
        <w:rPr>
          <w:rFonts w:ascii="Arial" w:hAnsi="Arial"/>
          <w:b w:val="0"/>
          <w:i/>
          <w:sz w:val="19"/>
        </w:rPr>
        <w:t>V4</w:t>
      </w:r>
      <w:r>
        <w:rPr>
          <w:rFonts w:ascii="Arial" w:hAnsi="Arial"/>
          <w:b w:val="0"/>
          <w:i w:val="0"/>
          <w:sz w:val="19"/>
        </w:rPr>
        <w:t xml:space="preserve">-API-Tarife auf eine </w:t>
      </w:r>
      <w:r>
        <w:rPr>
          <w:rFonts w:ascii="Arial" w:hAnsi="Arial"/>
          <w:b w:val="0"/>
          <w:i/>
          <w:sz w:val="19"/>
        </w:rPr>
        <w:t>Peak-/Off-Peak</w:t>
      </w:r>
      <w:r>
        <w:rPr>
          <w:rFonts w:ascii="Arial" w:hAnsi="Arial"/>
          <w:b w:val="0"/>
          <w:i w:val="0"/>
          <w:sz w:val="19"/>
        </w:rPr>
        <w:t xml:space="preserve">-Preisstruktur; Peak-Fenster 01:00–04:00 UTC und 06:00–10:00 UTC, alle übrigen Zeiten Off-Peak. Für </w:t>
      </w:r>
      <w:r>
        <w:rPr>
          <w:rFonts w:ascii="Arial" w:hAnsi="Arial"/>
          <w:b w:val="0"/>
          <w:i/>
          <w:sz w:val="19"/>
        </w:rPr>
        <w:t>V4-Flash</w:t>
      </w:r>
      <w:r>
        <w:rPr>
          <w:rFonts w:ascii="Arial" w:hAnsi="Arial"/>
          <w:b w:val="0"/>
          <w:i w:val="0"/>
          <w:sz w:val="19"/>
        </w:rPr>
        <w:t xml:space="preserve"> Off-Peak 0,22 US-Dollar Input (Cache-Miss) / 0,66 US-Dollar Output je Million Token, Peak 0,44 / 1,32 US-Dollar; für </w:t>
      </w:r>
      <w:r>
        <w:rPr>
          <w:rFonts w:ascii="Arial" w:hAnsi="Arial"/>
          <w:b w:val="0"/>
          <w:i/>
          <w:sz w:val="19"/>
        </w:rPr>
        <w:t>V4-Pro</w:t>
      </w:r>
      <w:r>
        <w:rPr>
          <w:rFonts w:ascii="Arial" w:hAnsi="Arial"/>
          <w:b w:val="0"/>
          <w:i w:val="0"/>
          <w:sz w:val="19"/>
        </w:rPr>
        <w:t xml:space="preserve"> Off-Peak 0,66 / 1,98 US-Dollar, Peak 1,32 / 3,96 US-Dollar; Peak-Output-Sätze entsprechen rund dem Vierfachen der bisherigen einheitlichen Tarife, Cache-Hit-Input-Steigerung nach </w:t>
      </w:r>
      <w:r>
        <w:rPr>
          <w:rFonts w:ascii="Arial" w:hAnsi="Arial"/>
          <w:b w:val="0"/>
          <w:i/>
          <w:sz w:val="19"/>
        </w:rPr>
        <w:t>InfoWorld</w:t>
      </w:r>
      <w:r>
        <w:rPr>
          <w:rFonts w:ascii="Arial" w:hAnsi="Arial"/>
          <w:b w:val="0"/>
          <w:i w:val="0"/>
          <w:sz w:val="19"/>
        </w:rPr>
        <w:t xml:space="preserve">-Berichterstattung 52 bis 1.100 Prozent. Anbieter-Begründung: </w:t>
      </w:r>
      <w:r>
        <w:rPr>
          <w:rFonts w:ascii="Arial" w:hAnsi="Arial"/>
          <w:b w:val="0"/>
          <w:i/>
          <w:sz w:val="19"/>
        </w:rPr>
        <w:t>rationalere Ressourcen­zuteilung</w:t>
      </w:r>
      <w:r>
        <w:rPr>
          <w:rFonts w:ascii="Arial" w:hAnsi="Arial"/>
          <w:b w:val="0"/>
          <w:i w:val="0"/>
          <w:sz w:val="19"/>
        </w:rPr>
        <w:t xml:space="preserve"> und Verschiebung von Entwickler-Workloads in weniger ausgelastete Zeitfenster; Rezeption ordnet die Umstellung in eine erstmalige Kapazitäts­knappheits-Signalisierung eines chinesischen Frontier-Anbieters ein (Konjunktivpflicht nach § 4.2 Claude.md). Aufnahme in § 8.2 als struktureller Gegendatenpunkt zur deflationären Workhorse-Preisdynamik und als erstes Frontier-Lab weltweit mit </w:t>
      </w:r>
      <w:r>
        <w:rPr>
          <w:rFonts w:ascii="Arial" w:hAnsi="Arial"/>
          <w:b w:val="0"/>
          <w:i/>
          <w:sz w:val="19"/>
        </w:rPr>
        <w:t>time-based demand pricing</w:t>
      </w:r>
      <w:r>
        <w:rPr>
          <w:rFonts w:ascii="Arial" w:hAnsi="Arial"/>
          <w:b w:val="0"/>
          <w:i w:val="0"/>
          <w:sz w:val="19"/>
        </w:rPr>
        <w:t>; Rückwirkung auf § 4.5 und § 8.3 (Bemessungsbasis-Verfeinerung an einer Zeit- statt einer Anbieter-Achse). https://technode.com/2026/08/14/deepseek-to-introduce-peak-and-off-peak-pricing-for-its-api/ | https://www.pymnts.com/news/artificial-intelligence/2026/deepseek-introduces-peak-hour-pricing-that-quadruples-current-levels/ | https://www.engadget.com/2236912/deepseek-ai-models-get-four-times-pricier/ | https://www.infoworld.com/article/4209439/deepseek-raises-some-v4-prices-by-more-than-10x-as-ai-demand-strains-capacity.html | https://fortune.com/2026/08/13/deepseek-increases-prices-for-ai-services-by-multiple-times/ | https://money.usnews.com/investing/news/articles/2026-08-13/deepseek-raises-api-pricing-for-its-v4-models | https://qz.com/deepseek-api-price-increase-v4-peak-off-peak-081326 | https://www.studioglobal.ai/discover/answers/what-factors-drove-deepseek-s-august-2026-announcement-6a7600fc7905dee986cc3c74</w:t>
      </w:r>
    </w:p>
    <w:p>
      <w:pPr>
        <w:jc w:val="both"/>
      </w:pPr>
      <w:r>
        <w:rPr>
          <w:rFonts w:ascii="Arial" w:hAnsi="Arial"/>
          <w:b w:val="0"/>
          <w:i w:val="0"/>
          <w:sz w:val="19"/>
        </w:rPr>
        <w:t xml:space="preserve">Z.ai / Unite.AI / Decrypt / TechTimes / ExplainX / fello.ai / The Agent Report / SaaSCity / SandBase. (14. August 2026). </w:t>
      </w:r>
      <w:r>
        <w:rPr>
          <w:rFonts w:ascii="Arial" w:hAnsi="Arial"/>
          <w:b w:val="0"/>
          <w:i/>
          <w:sz w:val="19"/>
        </w:rPr>
        <w:t>Z.ai Launches GLM-5.3 With Frontier Coding and a Cyber Capability That Outgrew Its Training / China's Z.AI Ships GLM-5.3, Calling It the Top Open-Weight Coding Model / GLM-5.3: Post-Training Produced Exploit Chains Z.ai Never Planned, Finds 1,097 Critical Bugs / GLM-5.3 Launch: Benchmarks, Pricing &amp; Access (Aug 2026) / GLM 5.3: Benchmarks, Pricing and the Held-Back Weights / GLM-5.3: Z.ai Tops the Open Coding Leaderboard on Post-Training Alone — and Its Cyber Gains Are the Real Story / GLM-5.3: Same Base Model, 50 % Better at Coding — and a Cyber Capability Z.ai Didn't Plan For / GLM-5.3 Launches: Frontier Coding and Emergent Cybersecurity</w:t>
      </w:r>
      <w:r>
        <w:rPr>
          <w:rFonts w:ascii="Arial" w:hAnsi="Arial"/>
          <w:b w:val="0"/>
          <w:i w:val="0"/>
          <w:sz w:val="19"/>
        </w:rPr>
        <w:t xml:space="preserve">. Am 14. August 2026 durch </w:t>
      </w:r>
      <w:r>
        <w:rPr>
          <w:rFonts w:ascii="Arial" w:hAnsi="Arial"/>
          <w:b w:val="0"/>
          <w:i/>
          <w:sz w:val="19"/>
        </w:rPr>
        <w:t>Z.ai</w:t>
      </w:r>
      <w:r>
        <w:rPr>
          <w:rFonts w:ascii="Arial" w:hAnsi="Arial"/>
          <w:b w:val="0"/>
          <w:i w:val="0"/>
          <w:sz w:val="19"/>
        </w:rPr>
        <w:t xml:space="preserve"> (Beijing) über </w:t>
      </w:r>
      <w:r>
        <w:rPr>
          <w:rFonts w:ascii="Arial" w:hAnsi="Arial"/>
          <w:b w:val="0"/>
          <w:i/>
          <w:sz w:val="19"/>
        </w:rPr>
        <w:t>GLM Coding Plan</w:t>
      </w:r>
      <w:r>
        <w:rPr>
          <w:rFonts w:ascii="Arial" w:hAnsi="Arial"/>
          <w:b w:val="0"/>
          <w:i w:val="0"/>
          <w:sz w:val="19"/>
        </w:rPr>
        <w:t xml:space="preserve"> und </w:t>
      </w:r>
      <w:r>
        <w:rPr>
          <w:rFonts w:ascii="Arial" w:hAnsi="Arial"/>
          <w:b w:val="0"/>
          <w:i/>
          <w:sz w:val="19"/>
        </w:rPr>
        <w:t>ZCode</w:t>
      </w:r>
      <w:r>
        <w:rPr>
          <w:rFonts w:ascii="Arial" w:hAnsi="Arial"/>
          <w:b w:val="0"/>
          <w:i w:val="0"/>
          <w:sz w:val="19"/>
        </w:rPr>
        <w:t xml:space="preserve">-Plattform freigegebene </w:t>
      </w:r>
      <w:r>
        <w:rPr>
          <w:rFonts w:ascii="Arial" w:hAnsi="Arial"/>
          <w:b w:val="0"/>
          <w:i/>
          <w:sz w:val="19"/>
        </w:rPr>
        <w:t>GLM-5.3</w:t>
      </w:r>
      <w:r>
        <w:rPr>
          <w:rFonts w:ascii="Arial" w:hAnsi="Arial"/>
          <w:b w:val="0"/>
          <w:i w:val="0"/>
          <w:sz w:val="19"/>
        </w:rPr>
        <w:t xml:space="preserve">-Iteration auf identischer 744-Milliarden-Parameter-Basis wie </w:t>
      </w:r>
      <w:r>
        <w:rPr>
          <w:rFonts w:ascii="Arial" w:hAnsi="Arial"/>
          <w:b w:val="0"/>
          <w:i/>
          <w:sz w:val="19"/>
        </w:rPr>
        <w:t>GLM-5.2</w:t>
      </w:r>
      <w:r>
        <w:rPr>
          <w:rFonts w:ascii="Arial" w:hAnsi="Arial"/>
          <w:b w:val="0"/>
          <w:i w:val="0"/>
          <w:sz w:val="19"/>
        </w:rPr>
        <w:t xml:space="preserve">, mit rund 50 % Verbesserung auf der anbietereigenen </w:t>
      </w:r>
      <w:r>
        <w:rPr>
          <w:rFonts w:ascii="Arial" w:hAnsi="Arial"/>
          <w:b w:val="0"/>
          <w:i/>
          <w:sz w:val="19"/>
        </w:rPr>
        <w:t>Z.ai Code Bench</w:t>
      </w:r>
      <w:r>
        <w:rPr>
          <w:rFonts w:ascii="Arial" w:hAnsi="Arial"/>
          <w:b w:val="0"/>
          <w:i w:val="0"/>
          <w:sz w:val="19"/>
        </w:rPr>
        <w:t xml:space="preserve"> (34,5 % vs. 23,4 %) durch skaliertes Nach-Training, aber Rückstand auf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an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w:t>
      </w:r>
      <w:r>
        <w:rPr>
          <w:rFonts w:ascii="Arial" w:hAnsi="Arial"/>
          <w:b w:val="0"/>
          <w:i/>
          <w:sz w:val="19"/>
        </w:rPr>
        <w:t>SWE-Bench Verified</w:t>
      </w:r>
      <w:r>
        <w:rPr>
          <w:rFonts w:ascii="Arial" w:hAnsi="Arial"/>
          <w:b w:val="0"/>
          <w:i w:val="0"/>
          <w:sz w:val="19"/>
        </w:rPr>
        <w:t xml:space="preserve"> Kimi K3 67,5, Fable 5 69,7, GLM-5.3 66,9; </w:t>
      </w:r>
      <w:r>
        <w:rPr>
          <w:rFonts w:ascii="Arial" w:hAnsi="Arial"/>
          <w:b w:val="0"/>
          <w:i/>
          <w:sz w:val="19"/>
        </w:rPr>
        <w:t>GLM-5.2</w:t>
      </w:r>
      <w:r>
        <w:rPr>
          <w:rFonts w:ascii="Arial" w:hAnsi="Arial"/>
          <w:b w:val="0"/>
          <w:i w:val="0"/>
          <w:sz w:val="19"/>
        </w:rPr>
        <w:t xml:space="preserve">-API-Preise rund 1,40 US-Dollar Input / 4,40 US-Dollar Output je Million Token (etwa eine Größenordnung unter US-Frontier); Open-Weight-Freigabe zurückgehalten für rund zwei Wochen nach Sicherheits­evaluation und Härtung (Abweichung von der </w:t>
      </w:r>
      <w:r>
        <w:rPr>
          <w:rFonts w:ascii="Arial" w:hAnsi="Arial"/>
          <w:b w:val="0"/>
          <w:i/>
          <w:sz w:val="19"/>
        </w:rPr>
        <w:t>GLM-5.2</w:t>
      </w:r>
      <w:r>
        <w:rPr>
          <w:rFonts w:ascii="Arial" w:hAnsi="Arial"/>
          <w:b w:val="0"/>
          <w:i w:val="0"/>
          <w:sz w:val="19"/>
        </w:rPr>
        <w:t xml:space="preserve">-Praxis mit MIT-Lizenz auf </w:t>
      </w:r>
      <w:r>
        <w:rPr>
          <w:rFonts w:ascii="Arial" w:hAnsi="Arial"/>
          <w:b w:val="0"/>
          <w:i/>
          <w:sz w:val="19"/>
        </w:rPr>
        <w:t>Hugging Face</w:t>
      </w:r>
      <w:r>
        <w:rPr>
          <w:rFonts w:ascii="Arial" w:hAnsi="Arial"/>
          <w:b w:val="0"/>
          <w:i w:val="0"/>
          <w:sz w:val="19"/>
        </w:rPr>
        <w:t xml:space="preserve"> binnen Tagen); emergente Cybersicherheits-Fähigkeit: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2.436 Schwachstellen identifiziert (1.097 kritisch)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w:t>
      </w:r>
      <w:r>
        <w:rPr>
          <w:rFonts w:ascii="Arial" w:hAnsi="Arial"/>
          <w:b w:val="0"/>
          <w:i/>
          <w:sz w:val="19"/>
        </w:rPr>
        <w:t>Z.ai</w:t>
      </w:r>
      <w:r>
        <w:rPr>
          <w:rFonts w:ascii="Arial" w:hAnsi="Arial"/>
          <w:b w:val="0"/>
          <w:i w:val="0"/>
          <w:sz w:val="19"/>
        </w:rPr>
        <w:t xml:space="preserve"> auf der US-</w:t>
      </w:r>
      <w:r>
        <w:rPr>
          <w:rFonts w:ascii="Arial" w:hAnsi="Arial"/>
          <w:b w:val="0"/>
          <w:i/>
          <w:sz w:val="19"/>
        </w:rPr>
        <w:t>Entity List</w:t>
      </w:r>
      <w:r>
        <w:rPr>
          <w:rFonts w:ascii="Arial" w:hAnsi="Arial"/>
          <w:b w:val="0"/>
          <w:i w:val="0"/>
          <w:sz w:val="19"/>
        </w:rPr>
        <w:t xml:space="preserve">. Aufnahme in § 8.2 als weiterer Datenpunkt der Konvergenz auf der Frontier-Modell-Achse (parallel zu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mit strukturellem Novum einer sicherheitsbezogenen Zurückhaltungsphase bei einem chinesischen Anbieter; Rückwirkung auf die Zugriffslogik einer inländischen KI-Nutzungsabgabe (§ 8.3) über die Verlagerung der Bemessungsbasis auf die inländische Ausführung des Anwendungs- und Sicherheits-Stacks. https://www.unite.ai/z-ai-launches-glm-5-3-with-frontier-coding-and-a-cyber-capability-that-outgrew-its-training/ | https://decrypt.co/375684/china-z-ai-glm-5-3-top-open-weight-coding-model | https://www.techtimes.com/articles/324426/20260814/glm-53-post-training-produced-exploit-chains-zai-never-planned-finds-1097-critical-bugs.htm | https://explainx.ai/blog/glm-5-3-launch-cyber-defense-benchmarks-august-2026 | https://felloai.com/glm-5-3/ | https://the-agent-report.com/2026/08/glm-5-3-zai-post-training-coding-cyber/ | https://saascity.io/blog/glm-5-3-zai-open-weights-coding-model-cyber-capabilities-2026 | https://blog.sandbase.ai/glm-5-3-release-watch-2026/</w:t>
      </w:r>
    </w:p>
    <w:p>
      <w:pPr>
        <w:jc w:val="both"/>
      </w:pPr>
      <w:r>
        <w:rPr>
          <w:rFonts w:ascii="Arial" w:hAnsi="Arial"/>
          <w:b w:val="0"/>
          <w:i w:val="0"/>
          <w:sz w:val="19"/>
        </w:rPr>
        <w:t xml:space="preserve">Ma, M. (S.) / The Conversation / Naked Capitalism / TechXplore / Dataconomy / Fast Company / Digital Information World / The Times Weekly / Capital / United for Equity. (12./13. August 2026). </w:t>
      </w:r>
      <w:r>
        <w:rPr>
          <w:rFonts w:ascii="Arial" w:hAnsi="Arial"/>
          <w:b w:val="0"/>
          <w:i/>
          <w:sz w:val="19"/>
        </w:rPr>
        <w:t>Layoffs tied to AI hurt worker productivity — and the reason may surprise managers / AI-driven Layoffs Are Failing To Deliver Productivity Gains / The surprising reason AI layoffs hurt worker productivity.</w:t>
      </w:r>
      <w:r>
        <w:rPr>
          <w:rFonts w:ascii="Arial" w:hAnsi="Arial"/>
          <w:b w:val="0"/>
          <w:i w:val="0"/>
          <w:sz w:val="19"/>
        </w:rPr>
        <w:t xml:space="preserve"> Am 12. August 2026 in </w:t>
      </w:r>
      <w:r>
        <w:rPr>
          <w:rFonts w:ascii="Arial" w:hAnsi="Arial"/>
          <w:b w:val="0"/>
          <w:i/>
          <w:sz w:val="19"/>
        </w:rPr>
        <w:t>The Conversation</w:t>
      </w:r>
      <w:r>
        <w:rPr>
          <w:rFonts w:ascii="Arial" w:hAnsi="Arial"/>
          <w:b w:val="0"/>
          <w:i w:val="0"/>
          <w:sz w:val="19"/>
        </w:rPr>
        <w:t xml:space="preserve"> durch Mark (Shuai) Ma, Associate Professor of Business Administration an der Katz Graduate School of Business der University of Pittsburgh, publizierte populärwissenschaftliche Auslegung des eigenen SSRN-Working-Papers </w:t>
      </w:r>
      <w:r>
        <w:rPr>
          <w:rFonts w:ascii="Arial" w:hAnsi="Arial"/>
          <w:b w:val="0"/>
          <w:i/>
          <w:sz w:val="19"/>
        </w:rPr>
        <w:t>Ding, Ma, Wu &amp; Yang</w:t>
      </w:r>
      <w:r>
        <w:rPr>
          <w:rFonts w:ascii="Arial" w:hAnsi="Arial"/>
          <w:b w:val="0"/>
          <w:i w:val="0"/>
          <w:sz w:val="19"/>
        </w:rPr>
        <w:t xml:space="preserve"> (26. April 2026, SSRN 6652799); Kernaussage: KI-attribuierte Layoffs beschädigen das Mitarbeiter-KI-Sentiment und damit systematisch jene firm-produktivität, die durch KI-Adoption realisiert werden soll — Rückgriff auf eine Atlanta-Fed-Erhebung (rund 90 % der Führungskräfte sehen bislang keine messbaren KI-Produktivitätsgewinne im eigenen Haus), eine Reuters/Ipsos-Umfrage (rund 50 % der US-Amerikanerinnen und -Amerikaner fürchten KI-bedingte Arbeitsplatzverluste im eigenen Haushalt) und eine durchschnittliche Börsenrendite nahe null bei KI-Layoff-Ankündigungen; breite Wiederaufnahme durch </w:t>
      </w:r>
      <w:r>
        <w:rPr>
          <w:rFonts w:ascii="Arial" w:hAnsi="Arial"/>
          <w:b w:val="0"/>
          <w:i/>
          <w:sz w:val="19"/>
        </w:rPr>
        <w:t>Naked Capitalism</w:t>
      </w:r>
      <w:r>
        <w:rPr>
          <w:rFonts w:ascii="Arial" w:hAnsi="Arial"/>
          <w:b w:val="0"/>
          <w:i w:val="0"/>
          <w:sz w:val="19"/>
        </w:rPr>
        <w:t xml:space="preserve"> (12. August 2026), </w:t>
      </w:r>
      <w:r>
        <w:rPr>
          <w:rFonts w:ascii="Arial" w:hAnsi="Arial"/>
          <w:b w:val="0"/>
          <w:i/>
          <w:sz w:val="19"/>
        </w:rPr>
        <w:t>TechXplore</w:t>
      </w:r>
      <w:r>
        <w:rPr>
          <w:rFonts w:ascii="Arial" w:hAnsi="Arial"/>
          <w:b w:val="0"/>
          <w:i w:val="0"/>
          <w:sz w:val="19"/>
        </w:rPr>
        <w:t xml:space="preserve">, </w:t>
      </w:r>
      <w:r>
        <w:rPr>
          <w:rFonts w:ascii="Arial" w:hAnsi="Arial"/>
          <w:b w:val="0"/>
          <w:i/>
          <w:sz w:val="19"/>
        </w:rPr>
        <w:t>Dataconomy</w:t>
      </w:r>
      <w:r>
        <w:rPr>
          <w:rFonts w:ascii="Arial" w:hAnsi="Arial"/>
          <w:b w:val="0"/>
          <w:i w:val="0"/>
          <w:sz w:val="19"/>
        </w:rPr>
        <w:t xml:space="preserve"> (13. August 2026, „AI-driven Layoffs Are Failing To Deliver Productivity Gains"), </w:t>
      </w:r>
      <w:r>
        <w:rPr>
          <w:rFonts w:ascii="Arial" w:hAnsi="Arial"/>
          <w:b w:val="0"/>
          <w:i/>
          <w:sz w:val="19"/>
        </w:rPr>
        <w:t>Fast Company</w:t>
      </w:r>
      <w:r>
        <w:rPr>
          <w:rFonts w:ascii="Arial" w:hAnsi="Arial"/>
          <w:b w:val="0"/>
          <w:i w:val="0"/>
          <w:sz w:val="19"/>
        </w:rPr>
        <w:t xml:space="preserve">, </w:t>
      </w:r>
      <w:r>
        <w:rPr>
          <w:rFonts w:ascii="Arial" w:hAnsi="Arial"/>
          <w:b w:val="0"/>
          <w:i/>
          <w:sz w:val="19"/>
        </w:rPr>
        <w:t>Digital Information World</w:t>
      </w:r>
      <w:r>
        <w:rPr>
          <w:rFonts w:ascii="Arial" w:hAnsi="Arial"/>
          <w:b w:val="0"/>
          <w:i w:val="0"/>
          <w:sz w:val="19"/>
        </w:rPr>
        <w:t xml:space="preserve">, </w:t>
      </w:r>
      <w:r>
        <w:rPr>
          <w:rFonts w:ascii="Arial" w:hAnsi="Arial"/>
          <w:b w:val="0"/>
          <w:i/>
          <w:sz w:val="19"/>
        </w:rPr>
        <w:t>The Times Weekly</w:t>
      </w:r>
      <w:r>
        <w:rPr>
          <w:rFonts w:ascii="Arial" w:hAnsi="Arial"/>
          <w:b w:val="0"/>
          <w:i w:val="0"/>
          <w:sz w:val="19"/>
        </w:rPr>
        <w:t xml:space="preserve">, </w:t>
      </w:r>
      <w:r>
        <w:rPr>
          <w:rFonts w:ascii="Arial" w:hAnsi="Arial"/>
          <w:b w:val="0"/>
          <w:i/>
          <w:sz w:val="19"/>
        </w:rPr>
        <w:t>Capital</w:t>
      </w:r>
      <w:r>
        <w:rPr>
          <w:rFonts w:ascii="Arial" w:hAnsi="Arial"/>
          <w:b w:val="0"/>
          <w:i w:val="0"/>
          <w:sz w:val="19"/>
        </w:rPr>
        <w:t xml:space="preserve"> (Mauritius), </w:t>
      </w:r>
      <w:r>
        <w:rPr>
          <w:rFonts w:ascii="Arial" w:hAnsi="Arial"/>
          <w:b w:val="0"/>
          <w:i/>
          <w:sz w:val="19"/>
        </w:rPr>
        <w:t>United for Equity</w:t>
      </w:r>
      <w:r>
        <w:rPr>
          <w:rFonts w:ascii="Arial" w:hAnsi="Arial"/>
          <w:b w:val="0"/>
          <w:i w:val="0"/>
          <w:sz w:val="19"/>
        </w:rPr>
        <w:t xml:space="preserve">. Aufnahme in § 3.5 als Sentiment-Sabotage-Kanal komplementär zur </w:t>
      </w:r>
      <w:r>
        <w:rPr>
          <w:rFonts w:ascii="Arial" w:hAnsi="Arial"/>
          <w:b w:val="0"/>
          <w:i/>
          <w:sz w:val="19"/>
        </w:rPr>
        <w:t>„jagged capability"</w:t>
      </w:r>
      <w:r>
        <w:rPr>
          <w:rFonts w:ascii="Arial" w:hAnsi="Arial"/>
          <w:b w:val="0"/>
          <w:i w:val="0"/>
          <w:sz w:val="19"/>
        </w:rPr>
        <w:t>-Auslegung (McCrory 22. Juli 2026); Rückwirkung auf § 8.4 (Systemstabilität) und § 9.1 (Kausalattributions­problematik einer engen Typ-5-Ersatzabgabe). https://theconversation.com/layoffs-tied-to-ai-hurt-worker-productivity-and-the-reason-may-surprise-managers-286749 | https://www.nakedcapitalism.com/2026/08/layoffs-tied-to-ai-hurt-worker-productivity-and-the-reason-may-surprise-managers.html | https://techxplore.com/news/2026-08-layoffs-ai-worker-productivity.html | https://dataconomy.com/2026/08/13/ai-driven-layoffs-undermine-productivity/ | https://www.fastcompany.com/91589194/surprising-reason-ai-layoffs-hurt-worker-productivity | https://www.digitalinformationworld.com/2026/08/layoffs-tied-to-ai-hurt-worker.html | https://thetimesweekly.com/2026/08/layoffs-tied-to-ai-hurt-worker-productivity-and-the-reason-may-surprise-managers/ | https://www.capital-media.mu/2026/08/layoffs-tied-to-ai-hurt-worker-productivity-and-the-reason-may-surprise-managers/</w:t>
      </w:r>
    </w:p>
    <w:p>
      <w:pPr>
        <w:jc w:val="both"/>
      </w:pPr>
      <w:r>
        <w:rPr>
          <w:rFonts w:ascii="Arial" w:hAnsi="Arial"/>
          <w:b/>
          <w:i w:val="0"/>
          <w:sz w:val="19"/>
        </w:rPr>
        <w:t>Hinweis zur Aktualität:</w:t>
      </w:r>
      <w:r>
        <w:rPr>
          <w:rFonts w:ascii="Arial" w:hAnsi="Arial"/>
          <w:b w:val="0"/>
          <w:i w:val="0"/>
          <w:sz w:val="19"/>
        </w:rPr>
        <w:t xml:space="preserve"> Dieses Arbeitspapier gibt den Stand Mitte August 2026 (Schnitt am 21. August 2026 — Lauf 001 vom 21. August 2026, Version 71.0)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Lauf 001 vom 10. Juli 2026 ergänzt zwei weitere Fortschreibungen: die öffentliche Freigabe der </w:t>
      </w:r>
      <w:r>
        <w:rPr>
          <w:rFonts w:ascii="Arial" w:hAnsi="Arial"/>
          <w:b w:val="0"/>
          <w:i/>
          <w:sz w:val="19"/>
        </w:rPr>
        <w:t>OpenAI-GPT-5.6</w:t>
      </w:r>
      <w:r>
        <w:rPr>
          <w:rFonts w:ascii="Arial" w:hAnsi="Arial"/>
          <w:b w:val="0"/>
          <w:i w:val="0"/>
          <w:sz w:val="19"/>
        </w:rPr>
        <w:t xml:space="preserve">-Reihe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w:t>
      </w:r>
      <w:r>
        <w:rPr>
          <w:rFonts w:ascii="Arial" w:hAnsi="Arial"/>
          <w:b w:val="0"/>
          <w:i/>
          <w:sz w:val="19"/>
        </w:rPr>
        <w:t>Luna</w:t>
      </w:r>
      <w:r>
        <w:rPr>
          <w:rFonts w:ascii="Arial" w:hAnsi="Arial"/>
          <w:b w:val="0"/>
          <w:i w:val="0"/>
          <w:sz w:val="19"/>
        </w:rPr>
        <w:t xml:space="preserve">) am 9. Juli 2026 nach vorheriger Preview-Kohorte ab 26. Juni 2026 und einer 30-tägigen Sicherheitsvor­prüfung durch die US-Bundesregierung (AI-Cybersecurity-Executive-Order Juni 2026); Cerebras-Wafer-Scale-Deployment der Spitzenstufe </w:t>
      </w:r>
      <w:r>
        <w:rPr>
          <w:rFonts w:ascii="Arial" w:hAnsi="Arial"/>
          <w:b w:val="0"/>
          <w:i/>
          <w:sz w:val="19"/>
        </w:rPr>
        <w:t>Sol</w:t>
      </w:r>
      <w:r>
        <w:rPr>
          <w:rFonts w:ascii="Arial" w:hAnsi="Arial"/>
          <w:b w:val="0"/>
          <w:i w:val="0"/>
          <w:sz w:val="19"/>
        </w:rPr>
        <w:t xml:space="preserve"> mit bis zu 750 Token pro Sekunde (rund zehnfach gegenüber typischer NVIDIA-GPU-Inferenz produktiver Frontier-Modelle) und Standard-API-Preise Sol 5/30 US-Dollar pro Million Input-/Output-Token; für § 8.2 als Fortschreibung der deflationären Preisdynamik und für § 4.5 als Beleg einer sich etablierenden </w:t>
      </w:r>
      <w:r>
        <w:rPr>
          <w:rFonts w:ascii="Arial" w:hAnsi="Arial"/>
          <w:b w:val="0"/>
          <w:i/>
          <w:sz w:val="19"/>
        </w:rPr>
        <w:t>US-Vor-Freigabe-Praxis</w:t>
      </w:r>
      <w:r>
        <w:rPr>
          <w:rFonts w:ascii="Arial" w:hAnsi="Arial"/>
          <w:b w:val="0"/>
          <w:i w:val="0"/>
          <w:sz w:val="19"/>
        </w:rPr>
        <w:t xml:space="preserve"> aufgenommen; sowie die Fable-5-Episode (Anthropic): Ausfuhrkontrollen der US-Regierung vom 12. Juni 2026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nach dokumentiertem Amazon-Umgehungsverfahren, weltweite Aussetzung durch Anthropic, Redeployment ab 1. Juli 2026 mit gemeinsam mit dem US Center for AI Safety Institute (CAISI) trainierten Klassifikatoren (&gt;99 % Blockade der Umgehungsroutine, erhöhte Fehlalarmquote auf regulären Debugging-/Programmier-Prompts); Kontingent-Verlängerung auf kostenpflichtigen Tarifen bis 12. Juli 2026 — Aufnahme in § 4.5 (US-Vor-Freigabe-Regime, exekutiv-sicherheitspolitische Vermittlung des Zugriffs auf Frontier-Modelle) und Rückwirkung auf § 8.3 (Robustheits­anforderungen an Wertschöpfungsabgabe und Fondslogik gegenüber Verfügbarkeits­störungen der Basismodelle). Lauf 001 vom 11. Juli 2026 ergänzt zwei weitere Fortschreibungen: die Verabschiedung des </w:t>
      </w:r>
      <w:r>
        <w:rPr>
          <w:rFonts w:ascii="Arial" w:hAnsi="Arial"/>
          <w:b w:val="0"/>
          <w:i/>
          <w:sz w:val="19"/>
        </w:rPr>
        <w:t>KI-MIG</w:t>
      </w:r>
      <w:r>
        <w:rPr>
          <w:rFonts w:ascii="Arial" w:hAnsi="Arial"/>
          <w:b w:val="0"/>
          <w:i w:val="0"/>
          <w:sz w:val="19"/>
        </w:rPr>
        <w:t xml:space="preserve"> durch den Bundesrat am 10. Juli 2026 in seiner 1067. Sitzung (Ausschussempfehlung des </w:t>
      </w:r>
      <w:r>
        <w:rPr>
          <w:rFonts w:ascii="Arial" w:hAnsi="Arial"/>
          <w:b w:val="0"/>
          <w:i/>
          <w:sz w:val="19"/>
        </w:rPr>
        <w:t>Ausschusses für Digitalisierung und Staatsmodernisierung</w:t>
      </w:r>
      <w:r>
        <w:rPr>
          <w:rFonts w:ascii="Arial" w:hAnsi="Arial"/>
          <w:b w:val="0"/>
          <w:i w:val="0"/>
          <w:sz w:val="19"/>
        </w:rPr>
        <w:t xml:space="preserve"> vom 30. Juni 2026 zur Anrufung des Vermittlungsausschusses fand im Plenum keine Mehrheit; das Gesetz kann ohne weiteres parlamentarisches Verfahren in Kraft treten — Bundesnetzagentur als zentrale Marktüberwachungs- und Anlaufstelle mit Koordinierungs- und Kompetenzzentrum, gebündelter KI-Expertise, zentraler Beschwerdestelle für Bürgerinnen und Bürger und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 § 4.4); sowie die am 9. Juli 2026 durch </w:t>
      </w:r>
      <w:r>
        <w:rPr>
          <w:rFonts w:ascii="Arial" w:hAnsi="Arial"/>
          <w:b w:val="0"/>
          <w:i/>
          <w:sz w:val="19"/>
        </w:rPr>
        <w:t>Meta Superintelligence Labs</w:t>
      </w:r>
      <w:r>
        <w:rPr>
          <w:rFonts w:ascii="Arial" w:hAnsi="Arial"/>
          <w:b w:val="0"/>
          <w:i w:val="0"/>
          <w:sz w:val="19"/>
        </w:rPr>
        <w:t xml:space="preserve"> freigegebene kostenpflichtige </w:t>
      </w:r>
      <w:r>
        <w:rPr>
          <w:rFonts w:ascii="Arial" w:hAnsi="Arial"/>
          <w:b w:val="0"/>
          <w:i/>
          <w:sz w:val="19"/>
        </w:rPr>
        <w:t>Meta Model API</w:t>
      </w:r>
      <w:r>
        <w:rPr>
          <w:rFonts w:ascii="Arial" w:hAnsi="Arial"/>
          <w:b w:val="0"/>
          <w:i w:val="0"/>
          <w:sz w:val="19"/>
        </w:rPr>
        <w:t xml:space="preserve"> für das agentische Multimodalmodell </w:t>
      </w:r>
      <w:r>
        <w:rPr>
          <w:rFonts w:ascii="Arial" w:hAnsi="Arial"/>
          <w:b w:val="0"/>
          <w:i/>
          <w:sz w:val="19"/>
        </w:rPr>
        <w:t>Muse Spark 1.1</w:t>
      </w:r>
      <w:r>
        <w:rPr>
          <w:rFonts w:ascii="Arial" w:hAnsi="Arial"/>
          <w:b w:val="0"/>
          <w:i w:val="0"/>
          <w:sz w:val="19"/>
        </w:rPr>
        <w:t xml:space="preserve"> (Kontextfenster 1 Million Token mit aktivem Kontextmanagement; Einstiegspreis 1,25 US-Dollar Input / 4,25 US-Dollar Output pro Million Token, 20 US-Dollar Startguthaben — rund ein Viertel bis ein Drittel des Anthropic-/OpenAI-Preisniveaus; angekündigte Meta-Chip-Produktion ab September 2026) als weiterer Beleg der Preisdeflation an der Inferenzfront und der Verdichtung der Angebotsseite an der US-Frontier — Aufnahme in § 8.2 mit Rückwirkung auf § 8.3 (Zugriffspfade und Robustheits­anforderungen gegenüber Verfügbarkeits­störungen). Lauf 001 vom 12. Juli 2026 ergänzt zwei weitere Fortschreibungen: den Vollzug der Anthropic-</w:t>
      </w:r>
      <w:r>
        <w:rPr>
          <w:rFonts w:ascii="Arial" w:hAnsi="Arial"/>
          <w:b w:val="0"/>
          <w:i/>
          <w:sz w:val="19"/>
        </w:rPr>
        <w:t>Fable 5</w:t>
      </w:r>
      <w:r>
        <w:rPr>
          <w:rFonts w:ascii="Arial" w:hAnsi="Arial"/>
          <w:b w:val="0"/>
          <w:i w:val="0"/>
          <w:sz w:val="19"/>
        </w:rPr>
        <w:t xml:space="preserve">-Umstellung auf Nutzungsguthaben zum 13. Juli 2026 (Kontingent auf Abonnementplänen abgelaufen zum 12. Juli 2026 23:59:59 PT; Standardpreis 10 US-Dollar pro Million Input- und 50 US-Dollar pro Million Output-Token — doppelter </w:t>
      </w:r>
      <w:r>
        <w:rPr>
          <w:rFonts w:ascii="Arial" w:hAnsi="Arial"/>
          <w:b w:val="0"/>
          <w:i/>
          <w:sz w:val="19"/>
        </w:rPr>
        <w:t>Claude-Opus-4.8</w:t>
      </w:r>
      <w:r>
        <w:rPr>
          <w:rFonts w:ascii="Arial" w:hAnsi="Arial"/>
          <w:b w:val="0"/>
          <w:i w:val="0"/>
          <w:sz w:val="19"/>
        </w:rPr>
        <w:t xml:space="preserve">-Standardpreis und höchste je durch Anthropic öffentlich gelistete Kategorie; 90-%-Prompt-Caching-Rabatt bleibt bestehen; wöchentlicher 50-%-Nutzungsdeckel weiter unverändert) mit differenzierender Fortschreibung der § 8.2-Preisdynamik zwischen supply-constrained Frontier-Klasse (aufwärts, hier </w:t>
      </w:r>
      <w:r>
        <w:rPr>
          <w:rFonts w:ascii="Arial" w:hAnsi="Arial"/>
          <w:b w:val="0"/>
          <w:i/>
          <w:sz w:val="19"/>
        </w:rPr>
        <w:t>Fable 5</w:t>
      </w:r>
      <w:r>
        <w:rPr>
          <w:rFonts w:ascii="Arial" w:hAnsi="Arial"/>
          <w:b w:val="0"/>
          <w:i w:val="0"/>
          <w:sz w:val="19"/>
        </w:rPr>
        <w:t xml:space="preserve">) und Workhorse-Klasse (abwärts, </w:t>
      </w:r>
      <w:r>
        <w:rPr>
          <w:rFonts w:ascii="Arial" w:hAnsi="Arial"/>
          <w:b w:val="0"/>
          <w:i/>
          <w:sz w:val="19"/>
        </w:rPr>
        <w:t>Claude Sonnet 5</w:t>
      </w:r>
      <w:r>
        <w:rPr>
          <w:rFonts w:ascii="Arial" w:hAnsi="Arial"/>
          <w:b w:val="0"/>
          <w:i w:val="0"/>
          <w:sz w:val="19"/>
        </w:rPr>
        <w:t xml:space="preserve">, Meta </w:t>
      </w:r>
      <w:r>
        <w:rPr>
          <w:rFonts w:ascii="Arial" w:hAnsi="Arial"/>
          <w:b w:val="0"/>
          <w:i/>
          <w:sz w:val="19"/>
        </w:rPr>
        <w:t>Muse Spark 1.1</w:t>
      </w:r>
      <w:r>
        <w:rPr>
          <w:rFonts w:ascii="Arial" w:hAnsi="Arial"/>
          <w:b w:val="0"/>
          <w:i w:val="0"/>
          <w:sz w:val="19"/>
        </w:rPr>
        <w:t xml:space="preserve">); sowie den Anfang Juli 2026 (Financial Times 2. Juli 2026, aufgegriffen von CNBC, Fortune, Forbes, TechCrunch, Reuters, Technology.org und </w:t>
      </w:r>
      <w:r>
        <w:rPr>
          <w:rFonts w:ascii="Arial" w:hAnsi="Arial"/>
          <w:b w:val="0"/>
          <w:i/>
          <w:sz w:val="19"/>
        </w:rPr>
        <w:t>TheAIInsider</w:t>
      </w:r>
      <w:r>
        <w:rPr>
          <w:rFonts w:ascii="Arial" w:hAnsi="Arial"/>
          <w:b w:val="0"/>
          <w:i w:val="0"/>
          <w:sz w:val="19"/>
        </w:rPr>
        <w:t xml:space="preserve"> am 2./3. Juli 2026) berichteten Gegenvorschlag von OpenAI-CEO Sam Altman zum am 18. Juni 2026 eingebrachten Sanders-</w:t>
      </w:r>
      <w:r>
        <w:rPr>
          <w:rFonts w:ascii="Arial" w:hAnsi="Arial"/>
          <w:b w:val="0"/>
          <w:i/>
          <w:sz w:val="19"/>
        </w:rPr>
        <w:t>American A.I. Sovereign Wealth Fund Act</w:t>
      </w:r>
      <w:r>
        <w:rPr>
          <w:rFonts w:ascii="Arial" w:hAnsi="Arial"/>
          <w:b w:val="0"/>
          <w:i w:val="0"/>
          <w:sz w:val="19"/>
        </w:rPr>
        <w:t xml:space="preserve"> (S. 4825): freiwillige 5-%-Equity-Dotierung (~42,6 Mrd. USD bei 852 Mrd. USD Bewertung nach der März-2026-Finanzierungsrunde) an einen US-Souveränen KI-Beteiligungsfonds nach dem </w:t>
      </w:r>
      <w:r>
        <w:rPr>
          <w:rFonts w:ascii="Arial" w:hAnsi="Arial"/>
          <w:b w:val="0"/>
          <w:i/>
          <w:sz w:val="19"/>
        </w:rPr>
        <w:t>Alaska-Permanent-Fund</w:t>
      </w:r>
      <w:r>
        <w:rPr>
          <w:rFonts w:ascii="Arial" w:hAnsi="Arial"/>
          <w:b w:val="0"/>
          <w:i w:val="0"/>
          <w:sz w:val="19"/>
        </w:rPr>
        <w:t xml:space="preserve">-Modell mit Aufforderung an Anthropic, Alphabet/Google, Meta und xAI zu einer spiegelbildlichen 5-%-Beteiligung; informelle Gespräche mit Präsident Trump, Handelsminister Lutnick und Finanzminister Bessent — Aufnahme in § 4.5 (Fenstererweiterung wegen § 4.5-Kohärenz mit dem bereits eingearbeiteten Sanders-SWF-Act) als konzeptioneller Konter- und Ergänzungsvorschlag mit deutlich reduzierter Dotierung, freiwilliger Trägerlogik und offener institutioneller Kontrolle. Lauf 001 vom 13. Juli 2026 ergänzt zwei weitere Fortschreibungen: die zweite und dritte Lesung des </w:t>
      </w:r>
      <w:r>
        <w:rPr>
          <w:rFonts w:ascii="Arial" w:hAnsi="Arial"/>
          <w:b w:val="0"/>
          <w:i/>
          <w:sz w:val="19"/>
        </w:rPr>
        <w:t>GKV-Beitragssatzstabilisierungsgesetzes</w:t>
      </w:r>
      <w:r>
        <w:rPr>
          <w:rFonts w:ascii="Arial" w:hAnsi="Arial"/>
          <w:b w:val="0"/>
          <w:i w:val="0"/>
          <w:sz w:val="19"/>
        </w:rPr>
        <w:t xml:space="preserve"> im Bundestag am 10. Juli 2026 (namentliche Abstimmung 318 zu 284 Stimmen in Kalenderwoche 28; erste Lesung 12. Juni 2026, Kabinettsbeschluss 29. April 2026, erster Bundesratsdurchgang 8. Mai 2026 — 1065. Sitzung; zweiter Bundesratsdurchgang steht noch aus — die Beitragsseite bleibt ausdrücklich unberührt, das Gesetz zielt ausgaben- und strukturseitig auf einen Konsolidierungspfad von rund 15 bis 19,6 Mrd. Euro für 2027 mit einer Steigerung auf rund 42,8 Mrd. Euro bis 2030 — § 5.2); sowie die am 10. Juli 2026 vor dem </w:t>
      </w:r>
      <w:r>
        <w:rPr>
          <w:rFonts w:ascii="Arial" w:hAnsi="Arial"/>
          <w:b w:val="0"/>
          <w:i/>
          <w:sz w:val="19"/>
        </w:rPr>
        <w:t>United States District Court for the Northern District of California</w:t>
      </w:r>
      <w:r>
        <w:rPr>
          <w:rFonts w:ascii="Arial" w:hAnsi="Arial"/>
          <w:b w:val="0"/>
          <w:i w:val="0"/>
          <w:sz w:val="19"/>
        </w:rPr>
        <w:t xml:space="preserve"> eingereichte 41-seitige Klageschrift </w:t>
      </w:r>
      <w:r>
        <w:rPr>
          <w:rFonts w:ascii="Arial" w:hAnsi="Arial"/>
          <w:b w:val="0"/>
          <w:i/>
          <w:sz w:val="19"/>
        </w:rPr>
        <w:t>Apple Inc. v. OpenAI, OpenAI OpCo LLC &amp; io Products, Inc.</w:t>
      </w:r>
      <w:r>
        <w:rPr>
          <w:rFonts w:ascii="Arial" w:hAnsi="Arial"/>
          <w:b w:val="0"/>
          <w:i w:val="0"/>
          <w:sz w:val="19"/>
        </w:rPr>
        <w:t xml:space="preserve"> (Bloomberg, CNBC, Axios, Engadget, TechCrunch, Cybersecurity News) mit dem Vorwurf systematischer Aneignung von Trade Secrets „at every level, from members of technical staff to its Chief Hardware Officer, and in coordination with business partners"; Apple gibt an, dass inzwischen über 400 ehemalige Apple-Beschäftigte bei OpenAI arbeiten, benannt sind unter anderem der OpenAI </w:t>
      </w:r>
      <w:r>
        <w:rPr>
          <w:rFonts w:ascii="Arial" w:hAnsi="Arial"/>
          <w:b w:val="0"/>
          <w:i/>
          <w:sz w:val="19"/>
        </w:rPr>
        <w:t>Chief Hardware Officer</w:t>
      </w:r>
      <w:r>
        <w:rPr>
          <w:rFonts w:ascii="Arial" w:hAnsi="Arial"/>
          <w:b w:val="0"/>
          <w:i w:val="0"/>
          <w:sz w:val="19"/>
        </w:rPr>
        <w:t xml:space="preserve"> Tang Yew Tan (früher Vice President bei Apple) sowie der frühere </w:t>
      </w:r>
      <w:r>
        <w:rPr>
          <w:rFonts w:ascii="Arial" w:hAnsi="Arial"/>
          <w:b w:val="0"/>
          <w:i/>
          <w:sz w:val="19"/>
        </w:rPr>
        <w:t>Senior Systems Electrical Engineer</w:t>
      </w:r>
      <w:r>
        <w:rPr>
          <w:rFonts w:ascii="Arial" w:hAnsi="Arial"/>
          <w:b w:val="0"/>
          <w:i w:val="0"/>
          <w:sz w:val="19"/>
        </w:rPr>
        <w:t xml:space="preserve"> Chang Liu — Aufnahme in § 8.2 als </w:t>
      </w:r>
      <w:r>
        <w:rPr>
          <w:rFonts w:ascii="Arial" w:hAnsi="Arial"/>
          <w:b w:val="0"/>
          <w:i/>
          <w:sz w:val="19"/>
        </w:rPr>
        <w:t>rechtsförmige</w:t>
      </w:r>
      <w:r>
        <w:rPr>
          <w:rFonts w:ascii="Arial" w:hAnsi="Arial"/>
          <w:b w:val="0"/>
          <w:i w:val="0"/>
          <w:sz w:val="19"/>
        </w:rPr>
        <w:t xml:space="preserve"> Fortschreibung der DeepMind-Talent-Bestandsdimension aus Version 29.0 und als weiteres Volatilitätsargument gegen eine bestandsorientierte Umverteilungs­logik (§ 8.3). Lauf 001 vom 14. Juli 2026 ergänzt eine weitere Fortschreibung: den Vollzug des zweiten Bundesratsdurchgangs des </w:t>
      </w:r>
      <w:r>
        <w:rPr>
          <w:rFonts w:ascii="Arial" w:hAnsi="Arial"/>
          <w:b w:val="0"/>
          <w:i/>
          <w:sz w:val="19"/>
        </w:rPr>
        <w:t>GKV-Beitragssatzstabilisierungsgesetzes</w:t>
      </w:r>
      <w:r>
        <w:rPr>
          <w:rFonts w:ascii="Arial" w:hAnsi="Arial"/>
          <w:b w:val="0"/>
          <w:i w:val="0"/>
          <w:sz w:val="19"/>
        </w:rPr>
        <w:t xml:space="preserve"> am 10. Juli 2026 (Deutsches Ärzteblatt, DATEV-Magazin, STB Treuhand, ZDFheute); der Antrag von sechs Ländern (Saarland, Bremen, Hamburg, Mecklenburg-Vorpommern, Niedersachsen, Sachsen-Anhalt) auf Anrufung des Vermittlungsausschusses scheitert an der Zweidrittelmehrheit, nachdem die Bundesregierung in einer Protokollerklärung Zugeständnisse zusichert — rund 550 Millionen Euro zusätzliche Krankenhausmittel (davon 100 Millionen Euro für Universitätskliniken ab 2027 und 450 Millionen Euro über einen erhöhten Rechnungszuschlag), Angleichung der Kostenaufwuchsgrenze 2027–2029, Abbau von Bürokratie einschließlich PPR 2.0 und Pflegepersonaluntergrenzen, erweiterte Ausnahmen vom 15,5-%-Herstellerabschlag im Pharmabereich bis Januar 2027 sowie ein interministerielles Fachgremium bis Ende September 2026; das Gesetz kann damit ohne weitere parlamentarische Behandlung in Kraft treten und schließt damit die in § 5.2 dokumentierte GKV-Reformschiene ab. Lauf 001 vom 15. Juli 2026 ergänzt zwei weitere Fortschreibungen: die Regierungserklärung des Bundeskanzlers Friedrich Merz in der 89. Sitzung des 21. Bundestages am 9. Juli 2026 („Regierungserklärung zur aktuellen politischen Lage") mit Zwischenbilanz nach 14 Monaten und Verankerung des 34-Punkte-Koalitionsausschuss-Programms vom 1./2. Juli 2026 („für Aufschwung und Beschäftigung"); Merz zitiert Startup-Verband-Zahlen für das erste Halbjahr 2026 (&gt; 3.000 neue Unternehmen, nahezu Vorjahres­gesamtwert; &gt; 1/3 mit direktem KI-Bezug) und verweist auf die Inbetriebnahme der Halbleiterproduktion in Dresden, formuliert die vollständige und zeitnahe Umsetzung der 33 Empfehlungen der Alterssicherungskommission (Bericht 23. Juni 2026) bis Ende 2026 als Ziel und ordnet Steuer-, Renten-, Gesundheits- und Arbeitsmarktreform als kohärentes Reformpaket ein — Aufnahme in § 5.2 (Reformprozess und deutsche Startup-/Wertschöpfungs­einordnung; Rückwirkung auf § 8.2 Deutschland-These/Veredelungsstrategie); sowie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mit dem amtlichen Standbericht zum Arbeitsmarkt (Erwerbstätigkeit −8.000 im Mai 2026, sozialversicherungspflichtige Beschäftigung −5.000 im April 2026, „noch keine Verbesserung der Arbeitsmarktperspektiven"), zur strukturellen Rolle künstlicher Intelligenz („zunehmende Bedeutung künstlicher Intelligenz und demografischer Wandel" als strukturelle Herausforderungen) und zur asiatisch-getriebenen KI-Handelsdynamik (Exporte Datenverarbeitungsgeräte +2,3 % im Mai 2026) — Aufnahme in § 1.1 als amtlicher, kurzfristig konjunkturstützender KI-Befund parallel zu den Trackerständen und Layoff-Aggregaten. Lauf 001 vom 16. Juli 2026 ergänzt drei weitere Fortschreibungen: die öffentliche Freigabe des Modells </w:t>
      </w:r>
      <w:r>
        <w:rPr>
          <w:rFonts w:ascii="Arial" w:hAnsi="Arial"/>
          <w:b w:val="0"/>
          <w:i/>
          <w:sz w:val="19"/>
        </w:rPr>
        <w:t>Grok 4.5</w:t>
      </w:r>
      <w:r>
        <w:rPr>
          <w:rFonts w:ascii="Arial" w:hAnsi="Arial"/>
          <w:b w:val="0"/>
          <w:i w:val="0"/>
          <w:sz w:val="19"/>
        </w:rPr>
        <w:t xml:space="preserve"> durch </w:t>
      </w:r>
      <w:r>
        <w:rPr>
          <w:rFonts w:ascii="Arial" w:hAnsi="Arial"/>
          <w:b w:val="0"/>
          <w:i/>
          <w:sz w:val="19"/>
        </w:rPr>
        <w:t>SpaceXAI</w:t>
      </w:r>
      <w:r>
        <w:rPr>
          <w:rFonts w:ascii="Arial" w:hAnsi="Arial"/>
          <w:b w:val="0"/>
          <w:i w:val="0"/>
          <w:sz w:val="19"/>
        </w:rPr>
        <w:t xml:space="preserve"> (Rebrand xAI → SpaceXAI Februar 2026) zum 8. Juli 2026 (Bloomberg, TechCrunch, Axios, MarkTechPost, Memeburn, FourWeekMBA) als „Opus-Klasse"-Modell mit Preispunkten 2/6 US-Dollar Input/Output pro Million Token (schnelle Variante 4/18 US-Dollar; Cache-Read 0,50 US-Dollar) über Grok Build, Cursor und SpaceXAI-API; ergänzt um den </w:t>
      </w:r>
      <w:r>
        <w:rPr>
          <w:rFonts w:ascii="Arial" w:hAnsi="Arial"/>
          <w:b w:val="0"/>
          <w:i/>
          <w:sz w:val="19"/>
        </w:rPr>
        <w:t>Grok-Build</w:t>
      </w:r>
      <w:r>
        <w:rPr>
          <w:rFonts w:ascii="Arial" w:hAnsi="Arial"/>
          <w:b w:val="0"/>
          <w:i w:val="0"/>
          <w:sz w:val="19"/>
        </w:rPr>
        <w:t xml:space="preserve">-Zwischenfall vom 14. Juli 2026 (The Register, TechTimes: unautorisierter Upload ganzer Nutzer-Codebasen, Server-Abschaltung, öffentliche Zusage der Löschung) und die am 14. Juli 2026 gemeldete Führung im Long-Horizon Terminal-Bench — Aufnahme in § 8.2 (differenzierte Preisspreizung zwischen supply-constrained Frontier-Klasse und Workhorse-Klasse; Robustheits­anforderungen an importierte Frontier-Modelle mit Rückwirkung auf § 8.3); die am 14. Juli 2026 durch TechCrunch (Rebecca Bellan, </w:t>
      </w:r>
      <w:r>
        <w:rPr>
          <w:rFonts w:ascii="Arial" w:hAnsi="Arial"/>
          <w:b w:val="0"/>
          <w:i/>
          <w:sz w:val="19"/>
        </w:rPr>
        <w:t>„The real AI race may no longer be at the frontier"</w:t>
      </w:r>
      <w:r>
        <w:rPr>
          <w:rFonts w:ascii="Arial" w:hAnsi="Arial"/>
          <w:b w:val="0"/>
          <w:i w:val="0"/>
          <w:sz w:val="19"/>
        </w:rPr>
        <w:t xml:space="preserve">) verdichtete Marktstruktur-Beobachtung zur Verlagerung produktiver KI-Nutzung auf Open-Weight-Modelle (rund 41 % der Hugging-Face-Downloads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Open-Weight-basiert — Tencent, Xiaomi, DeepSeek, MiniMax, Z.ai; drei Millionen öffentlich gelistete Modelle auf Hugging Face; Anthropic </w:t>
      </w:r>
      <w:r>
        <w:rPr>
          <w:rFonts w:ascii="Arial" w:hAnsi="Arial"/>
          <w:b w:val="0"/>
          <w:i/>
          <w:sz w:val="19"/>
        </w:rPr>
        <w:t>Claude Opus 4.7</w:t>
      </w:r>
      <w:r>
        <w:rPr>
          <w:rFonts w:ascii="Arial" w:hAnsi="Arial"/>
          <w:b w:val="0"/>
          <w:i w:val="0"/>
          <w:sz w:val="19"/>
        </w:rPr>
        <w:t xml:space="preserve"> nur Platz 7; Zitate CEO Clem Delangue und Microsoft-CEO Nadella) — Aufnahme in § 8.2 als Ergänzung der Rohstoff-Analogie um die Verschiebung der produktiven Nutzung mit Rückwirkung auf § 8.3 (verminderte direkte Abschöpfungs­fläche über Anbieter-Umsätze und Stützung der Veredelungs­logik); die Bloomberg-Bericht­erstattung vom 15. Juli 2026 zur </w:t>
      </w:r>
      <w:r>
        <w:rPr>
          <w:rFonts w:ascii="Arial" w:hAnsi="Arial"/>
          <w:b w:val="0"/>
          <w:i/>
          <w:sz w:val="19"/>
        </w:rPr>
        <w:t>Anthropic-IPO-Vorbereitung</w:t>
      </w:r>
      <w:r>
        <w:rPr>
          <w:rFonts w:ascii="Arial" w:hAnsi="Arial"/>
          <w:b w:val="0"/>
          <w:i w:val="0"/>
          <w:sz w:val="19"/>
        </w:rPr>
        <w:t xml:space="preserve"> (Investoren­meetings-Serie; Sekundärmarkt-Bewertung 1,11–1,14 Bio. USD zum 14. Juli 2026 nach 96,5 Mrd. USD im Mai 2026; Ticker-Prognose $ANTH 46–48 %, IPO im Q4 2026 rund 78 %, Lead-Underwriter Goldman Sachs 52–55 %, Emissions­volumen &gt; 60 Mrd. USD) — Aufnahme in § 5.4 mit Rückwirkung auf § 8.3 (fiskalische Volatilität einer bestands­orientierten Umverteilungs­logik gegenüber einer wertschöpfungs­bezogenen Zugriffsarchitektur); sowie die am 15. Juli 2026 mit WARN-Notice wirksam werdende </w:t>
      </w:r>
      <w:r>
        <w:rPr>
          <w:rFonts w:ascii="Arial" w:hAnsi="Arial"/>
          <w:b w:val="0"/>
          <w:i/>
          <w:sz w:val="19"/>
        </w:rPr>
        <w:t>Intel-Manufacturing-Layoff-Runde</w:t>
      </w:r>
      <w:r>
        <w:rPr>
          <w:rFonts w:ascii="Arial" w:hAnsi="Arial"/>
          <w:b w:val="0"/>
          <w:i w:val="0"/>
          <w:sz w:val="19"/>
        </w:rPr>
        <w:t xml:space="preserve"> an vier Oregon-Standorten (Aloha, Ronler Acres, Hawthorne Farms, Jones Farm) mit 2.392 Beschäftigten — davon 412 Module Equipment Technicians, 307 Module Development Engineers, 148 Module Engineers plus Process Integration Engineers und Manufacturing Technicians — als Hardware-seitige Personalreduktion im Restrukturierungs­rahmen CEO Lip-Bu Tan (Personalbestand ~125.000 → unter 100.000, zusätzliche 1 Milliarde US-Dollar Betriebskosten­kürzung 2026; Foundry-Verlust ~3 Milliarden US-Dollar Q2 2025; AI-Chip-Marktanteil Intel ~1 % vs. NVIDIA ~92 %) — Aufnahme in § 1.1 als weitere Illustration der in § 8.2 dokumentierten Asymmetrie zwischen Hyperscaler-Capex und Personalreduktion und als Erweiterung des Layoff-Aggregats um die vorgelagerte Halbleiter­produktionsschicht. Lauf 001 vom 17. Juli 2026 ergänzt vier weitere Fortschreibungen: den Kabinettsbeschluss des Bundesministeriums für Gesundheit vom 15. Juli 2026 zum </w:t>
      </w:r>
      <w:r>
        <w:rPr>
          <w:rFonts w:ascii="Arial" w:hAnsi="Arial"/>
          <w:b w:val="0"/>
          <w:i/>
          <w:sz w:val="19"/>
        </w:rPr>
        <w:t>Gesetz für Daten und digitale Innovation im Gesundheitswesen</w:t>
      </w:r>
      <w:r>
        <w:rPr>
          <w:rFonts w:ascii="Arial" w:hAnsi="Arial"/>
          <w:b w:val="0"/>
          <w:i w:val="0"/>
          <w:sz w:val="19"/>
        </w:rPr>
        <w:t xml:space="preserve"> (GeDIG) — KI-gestützte Krankenkassen-Angebote in der ePA (versichertenverständliche Aufbereitung von Befunden, individualisierte Beipackzettel), zeitlich befristete Reallabore für Krankenkassen, direkte Marktbeschaffung durch die gematik, Volltextsuche in der ePA ab Anfang 2027, digitale Impfnachweise ab Mitte 2027, verpflichtender TI-Anschluss bis 1. September 2029; rund 445 Millionen Euro jährliche Entlastungswirkung — bricht die über achtzehn Läufe dokumentierte Serie ohne KI-spezifischen G-BA-/gematik-/BfArM-Beschluss und wird in § 7.3 aufgenommen; die Konzernmitteilung von </w:t>
      </w:r>
      <w:r>
        <w:rPr>
          <w:rFonts w:ascii="Arial" w:hAnsi="Arial"/>
          <w:b w:val="0"/>
          <w:i/>
          <w:sz w:val="19"/>
        </w:rPr>
        <w:t>Thomson Reuters</w:t>
      </w:r>
      <w:r>
        <w:rPr>
          <w:rFonts w:ascii="Arial" w:hAnsi="Arial"/>
          <w:b w:val="0"/>
          <w:i w:val="0"/>
          <w:sz w:val="19"/>
        </w:rPr>
        <w:t xml:space="preserve"> vom 13. Juli 2026 mit einer Reduktion von bis zu 500 Engineering-Stellen (rund 1,8 % von 27.100 Beschäftigten, rund 5,2 % der 9.400 Beschäftigten in Operations-and-Technology) und expliziter Umschichtung „hin zu KI-nativen Rollen" bei zugleich Q1-FY-2026-Umsatzplus von rund 10 %; die SEC-8-K-Meldung von </w:t>
      </w:r>
      <w:r>
        <w:rPr>
          <w:rFonts w:ascii="Arial" w:hAnsi="Arial"/>
          <w:b w:val="0"/>
          <w:i/>
          <w:sz w:val="19"/>
        </w:rPr>
        <w:t>Sprout Social</w:t>
      </w:r>
      <w:r>
        <w:rPr>
          <w:rFonts w:ascii="Arial" w:hAnsi="Arial"/>
          <w:b w:val="0"/>
          <w:i w:val="0"/>
          <w:sz w:val="19"/>
        </w:rPr>
        <w:t xml:space="preserve"> (NASDAQ: SPT) vom 15. Juli 2026 mit einer Reduktion von rund 260 Positionen (20 % der Belegschaft; Board-Beschluss 8. Juli 2026), Restrukturierungs­aufwand 18–20 Millionen US-Dollar und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 beide Ankündigungen werden in § 1.1 als Ausweitung der KI-Restrukturierung auf Enterprise-Software-, Analytics- und Legal-/Tax-/Regulatory-Segmentanbieter aufgenommen; sowie die zum 17. Juli 2026 avisierte Freigabe von </w:t>
      </w:r>
      <w:r>
        <w:rPr>
          <w:rFonts w:ascii="Arial" w:hAnsi="Arial"/>
          <w:b w:val="0"/>
          <w:i/>
          <w:sz w:val="19"/>
        </w:rPr>
        <w:t>Gemini 3.5 Pro</w:t>
      </w:r>
      <w:r>
        <w:rPr>
          <w:rFonts w:ascii="Arial" w:hAnsi="Arial"/>
          <w:b w:val="0"/>
          <w:i w:val="0"/>
          <w:sz w:val="19"/>
        </w:rPr>
        <w:t xml:space="preserve"> durch Google DeepMind nach Vollumbau der 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zum monatlichen Preis von 250 US-Dollar, autonomes Werkzeug- und Coding-Verhalten; TechTimes 13. Juli 2026, BigGo Finance 13. Juli 2026, HackerNoon 13. Juli 2026, Enterprise DNA, ZoomBangla, Memeburn — Zeitpunkt und Spezifikationen zum Zeitpunkt der Berichterstattung nicht durch offizielle Google-Mitteilung bestätigt) — Aufnahme in § 8.2 als weitere Frontier-Freigabe innerhalb der zehntägigen Juli-2026-Serie (Grok 4.5 8. Juli, GPT-5.6 und Muse Spark 1.1 9. Juli, Gemini 3.5 Pro 17. Juli) und als Illustration der aufwärts gerichteten Preisspreizung am oberen Ende (Deep-Think-Modus 250 USD/Monat) neben der abwärts gerichteten Workhorse-Deflation. Lauf 001 vom 18. Juli 2026 ergänzt eine weitere Fortschreibung: die am 16. Juli 2026 durch das chinesische Unternehmen </w:t>
      </w:r>
      <w:r>
        <w:rPr>
          <w:rFonts w:ascii="Arial" w:hAnsi="Arial"/>
          <w:b w:val="0"/>
          <w:i/>
          <w:sz w:val="19"/>
        </w:rPr>
        <w:t>Moonshot AI</w:t>
      </w:r>
      <w:r>
        <w:rPr>
          <w:rFonts w:ascii="Arial" w:hAnsi="Arial"/>
          <w:b w:val="0"/>
          <w:i w:val="0"/>
          <w:sz w:val="19"/>
        </w:rPr>
        <w:t xml:space="preserve"> (Peking) vollzogene Freigabe des Modells </w:t>
      </w:r>
      <w:r>
        <w:rPr>
          <w:rFonts w:ascii="Arial" w:hAnsi="Arial"/>
          <w:b w:val="0"/>
          <w:i/>
          <w:sz w:val="19"/>
        </w:rPr>
        <w:t>Kimi K3</w:t>
      </w:r>
      <w:r>
        <w:rPr>
          <w:rFonts w:ascii="Arial" w:hAnsi="Arial"/>
          <w:b w:val="0"/>
          <w:i w:val="0"/>
          <w:sz w:val="19"/>
        </w:rPr>
        <w:t xml:space="preserve"> (VentureBeat, Fortune, TechCrunch, People's Daily, Warp2Search, MLQ News, The Decoder, Simon Willison) als „first open 3-trillion-parameter-class AI model" mit rund 2,8 Billionen Gesamtparametern in einer Mixture-of-Experts-Architektur — dem bislang größten offen zugänglichen KI-Modell überhaupt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vollständige Open-Weight-Veröffentlichung für den 27. Juli 2026 angekündigt); </w:t>
      </w:r>
      <w:r>
        <w:rPr>
          <w:rFonts w:ascii="Arial" w:hAnsi="Arial"/>
          <w:b w:val="0"/>
          <w:i/>
          <w:sz w:val="19"/>
        </w:rPr>
        <w:t>Artificial-Analysis-Intelligence-Index</w:t>
      </w:r>
      <w:r>
        <w:rPr>
          <w:rFonts w:ascii="Arial" w:hAnsi="Arial"/>
          <w:b w:val="0"/>
          <w:i w:val="0"/>
          <w:sz w:val="19"/>
        </w:rPr>
        <w:t xml:space="preserve">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Input / 15 US-Dollar Output pro Million Token, Cache-Read 0,30 US-Dollar — Preisniveau des </w:t>
      </w:r>
      <w:r>
        <w:rPr>
          <w:rFonts w:ascii="Arial" w:hAnsi="Arial"/>
          <w:b w:val="0"/>
          <w:i/>
          <w:sz w:val="19"/>
        </w:rPr>
        <w:t>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xml:space="preserve">: „signaling the end of super cheap Chinese AI"). Aufnahme in § 8.2 als Ergänzung der Rohstoff-Analogie um die Präzisierung, dass die Open-Weight-Verlagerung nicht mehr allein über Preisunterbietung, sondern zunehmend über Kapazitätsführerschaft auf einer bislang den US-Frontier-Anbietern vorbehaltenen Ebene erfolgt, und als Beleg für die Preis-Konvergenz chinesischer Open-Weight-Anbieter Richtung US-Workhorse-Niveau — Rückwirkung auf § 8.3 (Zugriffspfade auf inländische KI-Wertschöpfung gewinnen an Substanz, verlassen sich aber nicht mehr auf eine dauerhaft günstige Import-Ökonomie chinesischer Modelle). Lauf 001 vom 19. Juli 2026 ergänzt zwei weitere Fortschreibungen: die durch das intern reviewte Reuters-Memo (aufgegriffen von CNBC am 9. Juli 2026, DataCenterDynamics und Yahoo Finance) und die vertiefende Berichterstattung von </w:t>
      </w:r>
      <w:r>
        <w:rPr>
          <w:rFonts w:ascii="Arial" w:hAnsi="Arial"/>
          <w:b w:val="0"/>
          <w:i/>
          <w:sz w:val="19"/>
        </w:rPr>
        <w:t>TechTimes</w:t>
      </w:r>
      <w:r>
        <w:rPr>
          <w:rFonts w:ascii="Arial" w:hAnsi="Arial"/>
          <w:b w:val="0"/>
          <w:i w:val="0"/>
          <w:sz w:val="19"/>
        </w:rPr>
        <w:t xml:space="preserve"> vom 17. Juli 2026 („Meta's Iris AI Chip Passes Testing: Broadcom Now Designs Chips for Three Rivals") verdichtete Custom-Silicon-Konzentrations­dimension der Rohstoff-Analogie (§ 8.2) — Meta </w:t>
      </w:r>
      <w:r>
        <w:rPr>
          <w:rFonts w:ascii="Arial" w:hAnsi="Arial"/>
          <w:b w:val="0"/>
          <w:i/>
          <w:sz w:val="19"/>
        </w:rPr>
        <w:t>V3 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schließt die Bug-Testphase innerhalb von rund sechs Wochen ab, TSMC-Serien­fertigung ab September 2026 avisiert; Design­partner </w:t>
      </w:r>
      <w:r>
        <w:rPr>
          <w:rFonts w:ascii="Arial" w:hAnsi="Arial"/>
          <w:b w:val="0"/>
          <w:i/>
          <w:sz w:val="19"/>
        </w:rPr>
        <w:t>Broadcom</w:t>
      </w:r>
      <w:r>
        <w:rPr>
          <w:rFonts w:ascii="Arial" w:hAnsi="Arial"/>
          <w:b w:val="0"/>
          <w:i w:val="0"/>
          <w:sz w:val="19"/>
        </w:rPr>
        <w:t xml:space="preserve"> entwirft parallel Custom-AI-ASICs für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während </w:t>
      </w:r>
      <w:r>
        <w:rPr>
          <w:rFonts w:ascii="Arial" w:hAnsi="Arial"/>
          <w:b w:val="0"/>
          <w:i/>
          <w:sz w:val="19"/>
        </w:rPr>
        <w:t>Anthropic</w:t>
      </w:r>
      <w:r>
        <w:rPr>
          <w:rFonts w:ascii="Arial" w:hAnsi="Arial"/>
          <w:b w:val="0"/>
          <w:i w:val="0"/>
          <w:sz w:val="19"/>
        </w:rPr>
        <w:t xml:space="preserve"> mit </w:t>
      </w:r>
      <w:r>
        <w:rPr>
          <w:rFonts w:ascii="Arial" w:hAnsi="Arial"/>
          <w:b w:val="0"/>
          <w:i/>
          <w:sz w:val="19"/>
        </w:rPr>
        <w:t>Samsung Foundry</w:t>
      </w:r>
      <w:r>
        <w:rPr>
          <w:rFonts w:ascii="Arial" w:hAnsi="Arial"/>
          <w:b w:val="0"/>
          <w:i w:val="0"/>
          <w:sz w:val="19"/>
        </w:rPr>
        <w:t xml:space="preserve"> über einen 2-nm-Chip verhandelt und </w:t>
      </w:r>
      <w:r>
        <w:rPr>
          <w:rFonts w:ascii="Arial" w:hAnsi="Arial"/>
          <w:b w:val="0"/>
          <w:i/>
          <w:sz w:val="19"/>
        </w:rPr>
        <w:t>Amazon</w:t>
      </w:r>
      <w:r>
        <w:rPr>
          <w:rFonts w:ascii="Arial" w:hAnsi="Arial"/>
          <w:b w:val="0"/>
          <w:i w:val="0"/>
          <w:sz w:val="19"/>
        </w:rPr>
        <w:t>/</w:t>
      </w:r>
      <w:r>
        <w:rPr>
          <w:rFonts w:ascii="Arial" w:hAnsi="Arial"/>
          <w:b w:val="0"/>
          <w:i/>
          <w:sz w:val="19"/>
        </w:rPr>
        <w:t>Microsoft</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FY-2026-Q2-Umsatz 10,8 Mrd. USD (+143 % gegenüber Vorjahresquartal); Aufnahme in § 8.2 als Design­partner-Konzentrations­befund parallel zur </w:t>
      </w:r>
      <w:r>
        <w:rPr>
          <w:rFonts w:ascii="Arial" w:hAnsi="Arial"/>
          <w:b w:val="0"/>
          <w:i/>
          <w:sz w:val="19"/>
        </w:rPr>
        <w:t>Kyber</w:t>
      </w:r>
      <w:r>
        <w:rPr>
          <w:rFonts w:ascii="Arial" w:hAnsi="Arial"/>
          <w:b w:val="0"/>
          <w:i w:val="0"/>
          <w:sz w:val="19"/>
        </w:rPr>
        <w:t xml:space="preserve">-Rack-Verzögerung und als Volatilitätsargument gegen bestandsorientierte Umverteilungslogik (§ 8.3); sowie die Fortschreibung des </w:t>
      </w:r>
      <w:r>
        <w:rPr>
          <w:rFonts w:ascii="Arial" w:hAnsi="Arial"/>
          <w:b w:val="0"/>
          <w:i/>
          <w:sz w:val="19"/>
        </w:rPr>
        <w:t>SkillSyncer</w:t>
      </w:r>
      <w:r>
        <w:rPr>
          <w:rFonts w:ascii="Arial" w:hAnsi="Arial"/>
          <w:b w:val="0"/>
          <w:i w:val="0"/>
          <w:sz w:val="19"/>
        </w:rPr>
        <w:t xml:space="preserve">-Layoff-Trackers zum 19. Juli 2026 (302 Layoff-Ereignisse, 201.754 betroffene Beschäftigte, 164 KI-attribuierte Ereignisse mit rund 168.770 KI-attribuierten Personen; +35 Ereignisse und +15.860 Personen gegenüber dem 9. Juli 2026; die Aggregat-KI-Kausalquote sinkt tendenziell von 56 auf 54 %) als Aggregat-Beleg der beschleunigenden Tech-Restrukturierung und als Präzisierung der KI-Kausalquote (§ 1.1, § 9.1). Lauf 001 vom 20. Juli 2026 ergänzt eine weitere Fortschreibung: die im NBER-Working-Paper-Katalog vom Juli 2026 aufgeführte szenariogestützte Fiskalanalyse von Karen Dynan (Harvard), Douglas Elmendorf (Harvard, früherer CBO-Direktor) und Louise Sheiner (Brookings, Hutchins Center) mit dem Titel </w:t>
      </w:r>
      <w:r>
        <w:rPr>
          <w:rFonts w:ascii="Arial" w:hAnsi="Arial"/>
          <w:b w:val="0"/>
          <w:i/>
          <w:sz w:val="19"/>
        </w:rPr>
        <w:t>„How Might Fiscal Policy Respond to the Rise of Artificial Intelligence?"</w:t>
      </w:r>
      <w:r>
        <w:rPr>
          <w:rFonts w:ascii="Arial" w:hAnsi="Arial"/>
          <w:b w:val="0"/>
          <w:i w:val="0"/>
          <w:sz w:val="19"/>
        </w:rPr>
        <w:t xml:space="preserve"> (NBER Working Paper 35437, vorbereitet für die Brookings-Konferenz </w:t>
      </w:r>
      <w:r>
        <w:rPr>
          <w:rFonts w:ascii="Arial" w:hAnsi="Arial"/>
          <w:b w:val="0"/>
          <w:i/>
          <w:sz w:val="19"/>
        </w:rPr>
        <w:t>„The Forces Shaping America's Fiscal Future"</w:t>
      </w:r>
      <w:r>
        <w:rPr>
          <w:rFonts w:ascii="Arial" w:hAnsi="Arial"/>
          <w:b w:val="0"/>
          <w:i w:val="0"/>
          <w:sz w:val="19"/>
        </w:rPr>
        <w:t xml:space="preserve"> im Juni 2026; öffentliche Rezeption unter anderem in </w:t>
      </w:r>
      <w:r>
        <w:rPr>
          <w:rFonts w:ascii="Arial" w:hAnsi="Arial"/>
          <w:b w:val="0"/>
          <w:i/>
          <w:sz w:val="19"/>
        </w:rPr>
        <w:t>Wyoming News Now</w:t>
      </w:r>
      <w:r>
        <w:rPr>
          <w:rFonts w:ascii="Arial" w:hAnsi="Arial"/>
          <w:b w:val="0"/>
          <w:i w:val="0"/>
          <w:sz w:val="19"/>
        </w:rPr>
        <w:t xml:space="preserve"> / Franchise Group vom 14. Juli 2026): Bei einem aktuellen US-Schuldenstand von rund 101 % des Bruttoinlandsprodukts und einer CBO-Baseline-Projektion von rund 175 % bis 2056 modellieren die Autoren vier Langfristszenarien (schnelleres Produktivitätswachstum, größere Einkommensungleichheit, dauerhafte Beschäftigungs­verdrängung, höherer Kapitalanteil am Einkommen) und finden im Worst-Case-KI-Szenario (permanente Arbeitsplatz­verluste, Einkommensverschiebung zu Kapitalbesitzern) eine 2056er-Schulden­quote von nur noch rund 126 % — eine Reduktion um 49 Prozentpunkte gegenüber der Baseline, allerdings zum Preis einer erheblichen Verteilungsverschiebung. Die Autoren würden die aktuelle CBO-Annahme von +0,1 Prozentpunkten zusätzlichem jährlichen KI-Produktivitätswachstum sinngemäß als zu konservativ bezeichnen (Elmendorf: „einen größeren Schub" einzukalkulieren), betonen aber die Prognoseunsicherheit; ihre politikrobuste Empfehlung ist ein Instrumentenmix aus wachstumsfördernden Maßnahmen, Umverteilung, breit angelegter Arbeitsvermittlung/Qualifizierung (statt KI-spezifischer Programme) sowie Kapital­besteuerung und Eigentums­fragen. Aufnahme in § 3.3 als quantitative Szenariomatrix, die den Korinek-Lockwood-Rahmen ergänzt, und mit Rückwirkung auf § 3.5 als weitere empirisch-quantitative Stütze der szenariorobusten steuerpolitischen Auslegung. Lauf 001 vom 21. Juli 2026 ergänzt eine weitere Fortschreibung: die am 13. Juli 2026 durch das </w:t>
      </w:r>
      <w:r>
        <w:rPr>
          <w:rFonts w:ascii="Arial" w:hAnsi="Arial"/>
          <w:b w:val="0"/>
          <w:i/>
          <w:sz w:val="19"/>
        </w:rPr>
        <w:t>Stanford Digital Economy Lab</w:t>
      </w:r>
      <w:r>
        <w:rPr>
          <w:rFonts w:ascii="Arial" w:hAnsi="Arial"/>
          <w:b w:val="0"/>
          <w:i w:val="0"/>
          <w:sz w:val="19"/>
        </w:rPr>
        <w:t xml:space="preserve"> veröffentlichte Erklärung </w:t>
      </w:r>
      <w:r>
        <w:rPr>
          <w:rFonts w:ascii="Arial" w:hAnsi="Arial"/>
          <w:b w:val="0"/>
          <w:i/>
          <w:sz w:val="19"/>
        </w:rPr>
        <w:t>„We Must Act Now: A Statement on AI's Transformation of the Economy"</w:t>
      </w:r>
      <w:r>
        <w:rPr>
          <w:rFonts w:ascii="Arial" w:hAnsi="Arial"/>
          <w:b w:val="0"/>
          <w:i w:val="0"/>
          <w:sz w:val="19"/>
        </w:rPr>
        <w:t xml:space="preserve"> mit ausführlicher Rezeption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w:t>
      </w:r>
      <w:r>
        <w:rPr>
          <w:rFonts w:ascii="Arial" w:hAnsi="Arial"/>
          <w:b w:val="0"/>
          <w:i/>
          <w:sz w:val="19"/>
        </w:rPr>
        <w:t>NBC News</w:t>
      </w:r>
      <w:r>
        <w:rPr>
          <w:rFonts w:ascii="Arial" w:hAnsi="Arial"/>
          <w:b w:val="0"/>
          <w:i w:val="0"/>
          <w:sz w:val="19"/>
        </w:rPr>
        <w:t xml:space="preserve">, </w:t>
      </w:r>
      <w:r>
        <w:rPr>
          <w:rFonts w:ascii="Arial" w:hAnsi="Arial"/>
          <w:b w:val="0"/>
          <w:i/>
          <w:sz w:val="19"/>
        </w:rPr>
        <w:t>The Hill</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Breitbart</w:t>
      </w:r>
      <w:r>
        <w:rPr>
          <w:rFonts w:ascii="Arial" w:hAnsi="Arial"/>
          <w:b w:val="0"/>
          <w:i w:val="0"/>
          <w:sz w:val="19"/>
        </w:rPr>
        <w:t xml:space="preserve"> (14./15. Juli 2026) und einer UVA-Darden-Erläuterung zur Rolle Korineks vom 15. Juli 2026, organisiert von Erik Brynjolfsson (Stanford), Ajay Agrawal (Toronto), Anton Korinek (UVA / Anthropic) und Tom Cunningham (METR) und zum Startzeitpunkt von mehr als 200 Ökonominnen, Ökonomen und KI-Forschenden unterzeichnet — darunter sechzehn Nobelpreisträger (u. a. Daron Acemoglu, Simon Johnson, Joseph Stiglitz, Paul Krugman, Michael Spence, Ben Bernanke) und Vertreter aus KI-Unternehmen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Aufnahme in § 3.3 als politisch-institutionelle Verankerung des Korinek-Lockwood-Rahmens und als dokumentierte Positionsbewegung von Acemoglu/Johnson mit Rückwirkung auf § 3.5 und § 11.3. Mit Schnitt am 22. Juli 2026 (Lauf 001 vom 22. Juli 2026) tritt Version 42.0 hinzu und ergänzt zwei belegbare Fortschreibungen aus dem 7-Tage-Fenster bzw. 48-Stunden-Fenster für Cluster F: die am 20. Juli 2026 durch US-Bezirksrichterin Araceli Martinez-Olguin (in Nachfolge des in den Ruhestand gegangenen Richters William Alsup) am United States District Court for the Northern District of California erteilte endgültige Genehmigung des 1,5-Milliarden-Dollar-Vergleichs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mit rund 500.000 Werken zu je rund 3.000 US-Dollar (TechCrunch, hothardware, Yahoo Finance, Publishers Weekly, TechTimes, Benzinga, Claims Journal 20./21. Juli 2026) — größter Copyright-Vergleich der US-Rechtsgeschichte, keine bindende Präzedenzwirkung; Alsup hatte im Vorlauf entschieden, dass das Training auf legal erworbenen urheberrechtlich geschützten Texten unter die US-Fair-Use-Doktrin fällt, während das Herunterladen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 Aufnahme in § 8.2 als erster großmaßstäblicher monetärer Referenzwert für die Trainingsdaten-Ebene der KI-Wertschöpfungskette mit Rückwirkung auf § 8.3 (Trennung zwischen zivilrechtlicher Vergütung am Ort der Rohstoffproduktion und öffentlich-rechtlichem Zugriff am Ort der Veredelungsrendite); sowie die Fortschreibung des </w:t>
      </w:r>
      <w:r>
        <w:rPr>
          <w:rFonts w:ascii="Arial" w:hAnsi="Arial"/>
          <w:b w:val="0"/>
          <w:i/>
          <w:sz w:val="19"/>
        </w:rPr>
        <w:t>SkillSyncer</w:t>
      </w:r>
      <w:r>
        <w:rPr>
          <w:rFonts w:ascii="Arial" w:hAnsi="Arial"/>
          <w:b w:val="0"/>
          <w:i w:val="0"/>
          <w:sz w:val="19"/>
        </w:rPr>
        <w:t xml:space="preserve">-Layoff-Trackers zum 22. Juli 2026 (322 Layoff-Ereignisse, 205.832 betroffene Beschäftigte, 173 KI-attribuierte Ereignisse mit rund 170.945 KI-attribuierten Personen; +20 Ereignisse und +4.078 Personen gegenüber dem 19. Juli 2026; die Aggregat-KI-Kausalquote bleibt stabil bei 54 %) — Aufnahme in § 1.1 als Aggregat-Beleg der weiterhin gleichmäßigen Tech-Restrukturierung und Präzisierung der KI-Kausalquote (§ 9.1). Mit Schnitt am 23. Juli 2026 (Lauf 001 vom 23. Juli 2026) tritt Version 43.0 hinzu und ergänzt drei belegbare Fortschreibungen aus dem 7-Tage-Fenster bzw. 48-Stunden-Fenster für Cluster F und J: die am 17. Juli 2026 vom Board of Governors of the Federal Reserve System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von Paul E. Soto, Mason Thieu und Jeffrey S. Allen mit der Einordnung der aktuellen Phase als „Buildout-Phase" (konzentrierte, im Aggregat nicht verbreiterte Arbeitsmarkteffekte; konsistente Produktivitätstrends zwischen Sektoren hoher/mittlerer/niedriger KI-Exposition; KI-Effekt bei jüngeren Beschäftigten „primär in verlangsamter Einstellungsdynamik statt in unmittelbaren Entlassungen"; höchste sektorale Exposition in NAICS 51 und 54) — Aufnahme in § 1.1 mit Rückwirkung auf § 8.3 und § 9.1; die zum 22. Juli 2026 in Kraft tretende Meta-Entlassungswelle im US-Bundesstaat Washington mit 1.395 Beschäftigten (Bellevue 699, Seattle 259 aus zwei Büros, Redmond 206, Remote 231) als Teil der konzernweiten 8.000-Stellen-AI-Restrukturierung bei einer globalen März-2026-Belegschaft von knapp 78.000 sowie die parallel am 22. Juli 2026 kommunizierten Amazon-Streichungen in der </w:t>
      </w:r>
      <w:r>
        <w:rPr>
          <w:rFonts w:ascii="Arial" w:hAnsi="Arial"/>
          <w:b w:val="0"/>
          <w:i/>
          <w:sz w:val="19"/>
        </w:rPr>
        <w:t>Artificial-General-Intelligence</w:t>
      </w:r>
      <w:r>
        <w:rPr>
          <w:rFonts w:ascii="Arial" w:hAnsi="Arial"/>
          <w:b w:val="0"/>
          <w:i w:val="0"/>
          <w:sz w:val="19"/>
        </w:rPr>
        <w:t xml:space="preserve">-Organisation (Nova-Foundation-Modelle, Silizium- und Quantencomputing-Programme; Teams der Vice Presidents Adeeb Shanaa und Vishal Sharma; strategische Verschiebung „hin zu kundenzentrierter KI") — Aufnahme in § 1.1 als Cluster-F-Beleg des Deployment-vor-Grundlagenforschung-Umschwungs; sowie den </w:t>
      </w:r>
      <w:r>
        <w:rPr>
          <w:rFonts w:ascii="Arial" w:hAnsi="Arial"/>
          <w:b w:val="0"/>
          <w:i/>
          <w:sz w:val="19"/>
        </w:rPr>
        <w:t>Tesla</w:t>
      </w:r>
      <w:r>
        <w:rPr>
          <w:rFonts w:ascii="Arial" w:hAnsi="Arial"/>
          <w:b w:val="0"/>
          <w:i w:val="0"/>
          <w:sz w:val="19"/>
        </w:rPr>
        <w:t xml:space="preserve">-Q2-2026-Earnings-Call am 22. Juli 2026 mit Full-Year-Capex-Guidance über 25 Milliarden US-Dollar bei neuer 30-Milliarden-US-Dollar-Fremdfinanzierungslinie, dem 46-Tage-Abbau der Model-S-/-X-Linien in Fremont, der Installation der </w:t>
      </w:r>
      <w:r>
        <w:rPr>
          <w:rFonts w:ascii="Arial" w:hAnsi="Arial"/>
          <w:b w:val="0"/>
          <w:i/>
          <w:sz w:val="19"/>
        </w:rPr>
        <w:t>Optimus-Gen-3</w:t>
      </w:r>
      <w:r>
        <w:rPr>
          <w:rFonts w:ascii="Arial" w:hAnsi="Arial"/>
          <w:b w:val="0"/>
          <w:i w:val="0"/>
          <w:sz w:val="19"/>
        </w:rPr>
        <w:t xml:space="preserve">-Erstlinien (Long-Term-Auslegung bis eine Million Roboter pro Jahr, Anlauf „quite flat and long"), rund 10.000 unikalen Bauteilen ohne bestehende Zulieferkette, Musks Selbst­einordnung als „hardest product to scale manufacturing that we've ever made at Tesla", AI-Compute-Partnerschaften mit Samsung Foundry und TSMC, der „Terafab"-Ankündigung, dem Free Cashflow Q2 von −1,1 Milliarden US-Dollar und der Robotaxi-Ausweitung auf sieben US-Metropolregionen mit rund 380.000 unbeaufsichtigten Meilen — Aufnahme in § 8.2 mit Rückwirkung auf § 8.3 als physisch-robotische Ergänzung der Compute- und Silicon-Design-Konzentration. Mit Schnitt am 24. Juli 2026 (Lauf 001 vom 24. Juli 2026) tritt Version 44.0 hinzu und ergänzt drei belegbare Fortschreibungen aus dem 48-Stunden-Fenster für Cluster F/I und aus dem 7-Tage-Fenster für Cluster D: den </w:t>
      </w:r>
      <w:r>
        <w:rPr>
          <w:rFonts w:ascii="Arial" w:hAnsi="Arial"/>
          <w:b w:val="0"/>
          <w:i/>
          <w:sz w:val="19"/>
        </w:rPr>
        <w:t>Alphabet</w:t>
      </w:r>
      <w:r>
        <w:rPr>
          <w:rFonts w:ascii="Arial" w:hAnsi="Arial"/>
          <w:b w:val="0"/>
          <w:i w:val="0"/>
          <w:sz w:val="19"/>
        </w:rPr>
        <w:t xml:space="preserve">-Q2-2026-Earnings-Call am Abend des 22. Juli 2026 mit einem Konzernumsatz von 119,8 Milliarden US-Dollar (+24 % gegenüber Vorjahr), einem Google-Cloud-Umsatz von 24,8 Milliarden US-Dollar (+82 %) bei einem Auftragsbestand von 514 Milliarden US-Dollar, Q2-Kapitalausgaben von 44,9 Milliarden US-Dollar bei einem erstmals seit rund zehn Jahren negativen Free Cashflow (−5,9 Milliarden US-Dollar) sowie einer Anhebung der Full-Year-Capex-Guidance 2026 von 180–190 auf 195–205 Milliarden US-Dollar (+15 Milliarden US-Dollar in einem Quartal); nach-börsliche Aktienreaktion rund −7 % — Aufnahme in § 1.1 und § 8.2 als Fortschreibung der Compute-Rohstoff-Konzentrations- und Nachfrageüberhitzungs-These; den </w:t>
      </w:r>
      <w:r>
        <w:rPr>
          <w:rFonts w:ascii="Arial" w:hAnsi="Arial"/>
          <w:b w:val="0"/>
          <w:i/>
          <w:sz w:val="19"/>
        </w:rPr>
        <w:t>Intel</w:t>
      </w:r>
      <w:r>
        <w:rPr>
          <w:rFonts w:ascii="Arial" w:hAnsi="Arial"/>
          <w:b w:val="0"/>
          <w:i w:val="0"/>
          <w:sz w:val="19"/>
        </w:rPr>
        <w:t xml:space="preserve">-Q2-2026-Earnings-Call am 23. Juli 2026 mit einem Konzernumsatz von 16,1 Milliarden US-Dollar (+25 %; stärkstes Quartalswachstum seit über 15 Jahren), einem Data-Center-and-AI-Wachstum von 59 % auf 6,3 Milliarden US-Dollar, Non-GAAP-EPS 0,42 US-Dollar (Guidance 0,20 USD), einer Anhebung der Full-Year-Capex-Guidance 2026 von 17 auf über 20 Milliarden US-Dollar bei „significantly above"-Prognose für 2027 sowie der ausdrücklichen Aussage, die vorliegenden Bestellungen für Server-Produkte gegenwärtig nicht vollständig erfüllen zu können und 10 langfristige Verträge mit Server-CPU-Großkunden geschlossen zu haben — Aufnahme in § 1.1 und § 8.2 als Hardware-seitige Bestätigung derselben Diagnose; die Freigabe des </w:t>
      </w:r>
      <w:r>
        <w:rPr>
          <w:rFonts w:ascii="Arial" w:hAnsi="Arial"/>
          <w:b w:val="0"/>
          <w:i/>
          <w:sz w:val="19"/>
        </w:rPr>
        <w:t>Anthropic Economic Index Connector</w:t>
      </w:r>
      <w:r>
        <w:rPr>
          <w:rFonts w:ascii="Arial" w:hAnsi="Arial"/>
          <w:b w:val="0"/>
          <w:i w:val="0"/>
          <w:sz w:val="19"/>
        </w:rPr>
        <w:t xml:space="preserve"> für Claude am 22. Juli 2026 als öffentlich zugängliches, niedrigschwelliges Abfrage-Instrument für den bereits in § 3.5 verankerten Anthropic Economic Index — Aufnahme in § 1.1 und § 11.3 mit Rückwirkung auf § 3.5 und § 9.1 als Verstetigungsbeleg des Index als öffentlichem Beobachtungsformat. Mit Schnitt am 25. Juli 2026 (Lauf 001 vom 25. Juli 2026) tritt Version 45.0 hinzu und ergänzt eine belegbare Fortschreibung aus dem 7-Tage-Fenster für Cluster A/B: die am 24. Juli 2026 durch die OECD in der Reihe </w:t>
      </w:r>
      <w:r>
        <w:rPr>
          <w:rFonts w:ascii="Arial" w:hAnsi="Arial"/>
          <w:b w:val="0"/>
          <w:i/>
          <w:sz w:val="19"/>
        </w:rPr>
        <w:t>OECD Artificial Intelligence Papers</w:t>
      </w:r>
      <w:r>
        <w:rPr>
          <w:rFonts w:ascii="Arial" w:hAnsi="Arial"/>
          <w:b w:val="0"/>
          <w:i w:val="0"/>
          <w:sz w:val="19"/>
        </w:rPr>
        <w:t xml:space="preserve"> veröffentlichte 64-seitige Working-Paper-Studie </w:t>
      </w:r>
      <w:r>
        <w:rPr>
          <w:rFonts w:ascii="Arial" w:hAnsi="Arial"/>
          <w:b w:val="0"/>
          <w:i/>
          <w:sz w:val="19"/>
        </w:rPr>
        <w:t>„Recent policy developments on AI in the labour market"</w:t>
      </w:r>
      <w:r>
        <w:rPr>
          <w:rFonts w:ascii="Arial" w:hAnsi="Arial"/>
          <w:b w:val="0"/>
          <w:i w:val="0"/>
          <w:sz w:val="19"/>
        </w:rPr>
        <w:t xml:space="preserve">, die die in den G7-Staaten, der Europäischen Union und ausgewählten lateinamerikanischen Volkswirtschaften ergriffenen KI-Arbeitsmarkt-Politikmaßnahmen entlang von sechs Feldern (Automatisierung/Produktivität/Qualifikation/Inklusion; Datenschutz; Nicht-Diskriminierung; Arbeitsschutz; Transparenz/Erklärbarkeit/Rechenschaft; sozialer Dialog) systematisiert; Kernbefund: Politikmaßnahmen mit explizitem KI-Bezug seien am weitesten in KI-Qualifikation und KI-Adoption entwickelt, während konkrete Regelungen in Datenschutz, Transparenz und Rechenschaftspflicht überwiegend erst aufkämen — Aufnahme in § 4.4 (OECD-weite Bestandsaufnahme als Vergleichshorizont zum AI-Act-/KI-MIG-/Digital-Omnibus-Rahmen) mit Rückwirkung auf § 4.5 (Sanders/OpenAI im internationalen Vergleich als avanciertere Debattenposition), § 5.2 (Sozialpartner-Verankerung als international anschlussfähig) und § 9.1 (schwache Transparenz-/Rechenschafts-Entwicklung als weiteres Argument gegen Typ-5-Ersatzabgabe) sowie Neueintrag in § 11.3. Mit Schnitt am 26. Juli 2026 (Lauf 001 vom 26. Juli 2026) tritt Version 46.0 hinzu und ergänzt zwei belegbare Fortschreibungen aus dem 7-Tage-Fenster für Cluster B und Cluster A/D: die Amtsblatt-Publikation des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w:t>
      </w:r>
      <w:r>
        <w:rPr>
          <w:rFonts w:ascii="Arial" w:hAnsi="Arial"/>
          <w:b w:val="0"/>
          <w:i w:val="0"/>
          <w:sz w:val="19"/>
        </w:rPr>
        <w:t xml:space="preserve"> am 24. Juli 2026 (CELEX 32026R1744, OJ L, 2026/1744; Inkrafttreten am dritten Tag nach OJ-Publikation, mithin 27. Juli 2026) — verbindlicher Rechtsakt der Trilog-Einigung vom 7. Mai 2026, der Parlaments­bestätigung vom 16. Juni 2026 und der finalen Ratsbilligung vom 29. Juni 2026, mit verbindlicher Verschiebung der Hochrisiko-Pflichten (Anhang III auf 2. Dezember 2027, Anhang I auf 2. August 2028), SME-Erleichterungen auf small mid-cap enterprises, KI-Kompetenz-Reformulierung (Art. 4), erweiterter Bias-Detektions-Rechtsgrundlage, Verbotserweiterung Art. 5 (nicht-einvernehmliche intime KI-Inhalte und CSAM), AI-Regulatory-Sandbox-Frist 2. August 2027 und GPAI-Durchsetzungsbefugnissen 2. August 2026 — Aufnahme in § 4.3 mit Rückwirkung auf § 4.4, § 5.1 und § 8.3 sowie Neueintrag in § 11.3; sowie den X-Langtext-Essay von </w:t>
      </w:r>
      <w:r>
        <w:rPr>
          <w:rFonts w:ascii="Arial" w:hAnsi="Arial"/>
          <w:b w:val="0"/>
          <w:i/>
          <w:sz w:val="19"/>
        </w:rPr>
        <w:t>Peter McCrory</w:t>
      </w:r>
      <w:r>
        <w:rPr>
          <w:rFonts w:ascii="Arial" w:hAnsi="Arial"/>
          <w:b w:val="0"/>
          <w:i w:val="0"/>
          <w:sz w:val="19"/>
        </w:rPr>
        <w:t xml:space="preserve"> (Head of Economics, Anthropic) vom 22. Juli 2026 als Synthese von 18 Monaten unternehmensinterner Anthropic-Forschung und aktualisierten </w:t>
      </w:r>
      <w:r>
        <w:rPr>
          <w:rFonts w:ascii="Arial" w:hAnsi="Arial"/>
          <w:b w:val="0"/>
          <w:i/>
          <w:sz w:val="19"/>
        </w:rPr>
        <w:t>Bureau-of-Labor-Statistics</w:t>
      </w:r>
      <w:r>
        <w:rPr>
          <w:rFonts w:ascii="Arial" w:hAnsi="Arial"/>
          <w:b w:val="0"/>
          <w:i w:val="0"/>
          <w:sz w:val="19"/>
        </w:rPr>
        <w:t xml:space="preserve">-Analysen (US-Arbeitslosenquote 4,2 % im Juni 2026, Prime-Age-Employment nahe Mehrdekaden-Hoch, keine relative Verschlechterung KI-exponierter Berufe, „stubbornly jagged" AI-Fähigkeitsprofil, frühe Warnsignale schwächerer Einstellungsdynamik bei jüngeren Beschäftigten in exponierten Rollen; datenbasierte Zurücknahme der Amodei-50-%-White-Collar-Prognose) — Aufnahme in § 3.5 mit Rückwirkung auf § 8.4 und § 9.1 sowie Neueintrag in § 11.3. In Version 47.0 (Schnitt am 27. Juli 2026 — Lauf 001 vom 27. Juli 2026) werden zwei belegbare Neuzugänge aus dem 7-Tage- bzw. 48-Stunden-Fenster ergänzt: (1) die am 22. Juli 2026 vom israelischen Work-Management-Anbieter </w:t>
      </w:r>
      <w:r>
        <w:rPr>
          <w:rFonts w:ascii="Arial" w:hAnsi="Arial"/>
          <w:b w:val="0"/>
          <w:i/>
          <w:sz w:val="19"/>
        </w:rPr>
        <w:t>monday.com Ltd.</w:t>
      </w:r>
      <w:r>
        <w:rPr>
          <w:rFonts w:ascii="Arial" w:hAnsi="Arial"/>
          <w:b w:val="0"/>
          <w:i w:val="0"/>
          <w:sz w:val="19"/>
        </w:rPr>
        <w:t xml:space="preserve"> (NASDAQ: MNDY) angekündigte AI-First-Restrukturierung mit rund 620 Streichungen (20 % der globalen Belegschaft, davon rund 350 in Tel Aviv), 45–55 Millionen US-Dollar Restrukturierungsaufwand und expliziter Selbstpositionierung als strategische, nicht substitutions- oder kostenbezogene Reduktion — Aufnahme in § 1.1 mit Rückwirkung auf § 9.1 (Kausalattributions­problematik selbstpositionierter „AI-First"-Layoffs) und Neueintrag in § 11.5; und (2) die am 24. Juli 2026 von </w:t>
      </w:r>
      <w:r>
        <w:rPr>
          <w:rFonts w:ascii="Arial" w:hAnsi="Arial"/>
          <w:b w:val="0"/>
          <w:i/>
          <w:sz w:val="19"/>
        </w:rPr>
        <w:t>Anthropic</w:t>
      </w:r>
      <w:r>
        <w:rPr>
          <w:rFonts w:ascii="Arial" w:hAnsi="Arial"/>
          <w:b w:val="0"/>
          <w:i w:val="0"/>
          <w:sz w:val="19"/>
        </w:rPr>
        <w:t xml:space="preserve"> veröffentlichte Frontier-Modell-Freigabe </w:t>
      </w:r>
      <w:r>
        <w:rPr>
          <w:rFonts w:ascii="Arial" w:hAnsi="Arial"/>
          <w:b w:val="0"/>
          <w:i/>
          <w:sz w:val="19"/>
        </w:rPr>
        <w:t>Claude Opus 5</w:t>
      </w:r>
      <w:r>
        <w:rPr>
          <w:rFonts w:ascii="Arial" w:hAnsi="Arial"/>
          <w:b w:val="0"/>
          <w:i w:val="0"/>
          <w:sz w:val="19"/>
        </w:rPr>
        <w:t xml:space="preserve"> — 5 US-Dollar Input / 25 US-Dollar Output pro Million Token, halbes Preisniveau gegenüber </w:t>
      </w:r>
      <w:r>
        <w:rPr>
          <w:rFonts w:ascii="Arial" w:hAnsi="Arial"/>
          <w:b w:val="0"/>
          <w:i/>
          <w:sz w:val="19"/>
        </w:rPr>
        <w:t>Claude Fable 5</w:t>
      </w:r>
      <w:r>
        <w:rPr>
          <w:rFonts w:ascii="Arial" w:hAnsi="Arial"/>
          <w:b w:val="0"/>
          <w:i w:val="0"/>
          <w:sz w:val="19"/>
        </w:rPr>
        <w:t xml:space="preserve"> bei nahe Fable-5 liegenden Fähigkeitsniveaus, 1-Millionen-Token-Kontextfenster, adaptiver Denkmodus, fünfstufige </w:t>
      </w:r>
      <w:r>
        <w:rPr>
          <w:rFonts w:ascii="Arial" w:hAnsi="Arial"/>
          <w:b w:val="0"/>
          <w:i/>
          <w:sz w:val="19"/>
        </w:rPr>
        <w:t>effort</w:t>
      </w:r>
      <w:r>
        <w:rPr>
          <w:rFonts w:ascii="Arial" w:hAnsi="Arial"/>
          <w:b w:val="0"/>
          <w:i w:val="0"/>
          <w:sz w:val="19"/>
        </w:rPr>
        <w:t xml:space="preserve">-Skala, laut Hersteller bislang stärkste Alignment-Leistung — Aufnahme in § 8.2 als weiterer Datenpunkt der deflationären Inferenzpreis-Dynamik mit Rückwirkung auf die </w:t>
      </w:r>
      <w:r>
        <w:rPr>
          <w:rFonts w:ascii="Arial" w:hAnsi="Arial"/>
          <w:b w:val="0"/>
          <w:i/>
          <w:sz w:val="19"/>
        </w:rPr>
        <w:t>Veredelungsstrategie</w:t>
      </w:r>
      <w:r>
        <w:rPr>
          <w:rFonts w:ascii="Arial" w:hAnsi="Arial"/>
          <w:b w:val="0"/>
          <w:i w:val="0"/>
          <w:sz w:val="19"/>
        </w:rPr>
        <w:t xml:space="preserve"> (§ 8.3) und Neueintrag in § 11.5. In Version 48.0 (Schnitt am 28. Juli 2026 — Lauf 001 vom 28. Juli 2026) werden zwei belegbare Neuzugänge aus dem 7-Tage-Fenster für Cluster F ergänzt, die die im Vorlauf mit </w:t>
      </w:r>
      <w:r>
        <w:rPr>
          <w:rFonts w:ascii="Arial" w:hAnsi="Arial"/>
          <w:b w:val="0"/>
          <w:i/>
          <w:sz w:val="19"/>
        </w:rPr>
        <w:t>monday.com</w:t>
      </w:r>
      <w:r>
        <w:rPr>
          <w:rFonts w:ascii="Arial" w:hAnsi="Arial"/>
          <w:b w:val="0"/>
          <w:i w:val="0"/>
          <w:sz w:val="19"/>
        </w:rPr>
        <w:t xml:space="preserve"> eröffnete Kausalattributions­diskussion um zwei komplementäre Positionierungen erweitern: (1) die am 22. Juli 2026 von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angekündigte Reduktion von rund 10 % der Community-Operations- (Customer-Service-) Teams mit ausdrücklich offen KI-attribuierter Selbstpositionierung (Zitat VP Megha Yethatika: „our organization has become too complex and siloed" und „an effective organization to layer AI on"; parallel weiterhin über 500 offene Stellen unter anderem für Robotaxi-Ingenieurinnen und -Ingenieure; zweite Personalreduktion binnen zwei Monaten bei rund 34.000 globalen Beschäftigten) — Aufnahme in § 1.1 mit Rückwirkung auf § 9.1 (offen substitutions­nahe Selbstpositionierung) und Neueintrag in § 11.5; und (2) die am 23. Juli 2026 von </w:t>
      </w:r>
      <w:r>
        <w:rPr>
          <w:rFonts w:ascii="Arial" w:hAnsi="Arial"/>
          <w:b w:val="0"/>
          <w:i/>
          <w:sz w:val="19"/>
        </w:rPr>
        <w:t>Patreon</w:t>
      </w:r>
      <w:r>
        <w:rPr>
          <w:rFonts w:ascii="Arial" w:hAnsi="Arial"/>
          <w:b w:val="0"/>
          <w:i w:val="0"/>
          <w:sz w:val="19"/>
        </w:rPr>
        <w:t xml:space="preserve"> nach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w:t>
      </w:r>
      <w:r>
        <w:rPr>
          <w:rFonts w:ascii="Arial" w:hAnsi="Arial"/>
          <w:b w:val="0"/>
          <w:i/>
          <w:sz w:val="19"/>
        </w:rPr>
        <w:t>TechBriefly</w:t>
      </w:r>
      <w:r>
        <w:rPr>
          <w:rFonts w:ascii="Arial" w:hAnsi="Arial"/>
          <w:b w:val="0"/>
          <w:i w:val="0"/>
          <w:sz w:val="19"/>
        </w:rPr>
        <w:t xml:space="preserve"> und </w:t>
      </w:r>
      <w:r>
        <w:rPr>
          <w:rFonts w:ascii="Arial" w:hAnsi="Arial"/>
          <w:b w:val="0"/>
          <w:i/>
          <w:sz w:val="19"/>
        </w:rPr>
        <w:t>The Statesman</w:t>
      </w:r>
      <w:r>
        <w:rPr>
          <w:rFonts w:ascii="Arial" w:hAnsi="Arial"/>
          <w:b w:val="0"/>
          <w:i w:val="0"/>
          <w:sz w:val="19"/>
        </w:rPr>
        <w:t xml:space="preserve"> angekündigte Reduktion von 93 Beschäftigten (rund 20 % der Belegschaft) mit ausdrücklich nicht-substitutions­bezogener Selbstpositionierung (Zitat CEO Jack Conte: „we are not making the above changes because we believe AI replaces humans"; zugleich Verweis auf „AI has fundamentally transformed the tech industry" als strategischen Anlass; Abfindungspaket 16 Wochen Grundvergütung plus eine Woche pro Dienstjahr, Kranken­versicherung bis Jahresende, 1.500-US-Dollar-Laptop-Stipendium; Umsatz 2025 +28 %) — Aufnahme in § 1.1 mit Rückwirkung auf § 9.1 (ausdrücklich nicht-substitutions­bezogene Selbstpositionierung) und Neueintrag in § 11.5. Zusammen mit </w:t>
      </w:r>
      <w:r>
        <w:rPr>
          <w:rFonts w:ascii="Arial" w:hAnsi="Arial"/>
          <w:b w:val="0"/>
          <w:i/>
          <w:sz w:val="19"/>
        </w:rPr>
        <w:t>monday.com</w:t>
      </w:r>
      <w:r>
        <w:rPr>
          <w:rFonts w:ascii="Arial" w:hAnsi="Arial"/>
          <w:b w:val="0"/>
          <w:i w:val="0"/>
          <w:sz w:val="19"/>
        </w:rPr>
        <w:t xml:space="preserve"> (offen KI-anlassbezogen ohne direkte Substitution) markieren </w:t>
      </w:r>
      <w:r>
        <w:rPr>
          <w:rFonts w:ascii="Arial" w:hAnsi="Arial"/>
          <w:b w:val="0"/>
          <w:i/>
          <w:sz w:val="19"/>
        </w:rPr>
        <w:t>Uber</w:t>
      </w:r>
      <w:r>
        <w:rPr>
          <w:rFonts w:ascii="Arial" w:hAnsi="Arial"/>
          <w:b w:val="0"/>
          <w:i w:val="0"/>
          <w:sz w:val="19"/>
        </w:rPr>
        <w:t xml:space="preserve"> (offen KI-attribuiert mit expliziter Substitutionsnähe) und </w:t>
      </w:r>
      <w:r>
        <w:rPr>
          <w:rFonts w:ascii="Arial" w:hAnsi="Arial"/>
          <w:b w:val="0"/>
          <w:i/>
          <w:sz w:val="19"/>
        </w:rPr>
        <w:t>Patreon</w:t>
      </w:r>
      <w:r>
        <w:rPr>
          <w:rFonts w:ascii="Arial" w:hAnsi="Arial"/>
          <w:b w:val="0"/>
          <w:i w:val="0"/>
          <w:sz w:val="19"/>
        </w:rPr>
        <w:t xml:space="preserve"> (ausdrücklich nicht-substitutions­bezogen mit KI als bloßem strategischen Marktumfeld) die dreiteilige Bandbreite der Selbstpositionierung von Layoff-Anlässen in einer einzelnen Kalenderwoche und untermauern das in § 9.1 dokumentierte Attributions­problem einer engen Typ-5-Ersatzabgabe. In Version 49.0 (Schnitt am 29. Juli 2026 — Lauf 001 vom 29. Juli 2026) treten zwei weitere belegbare Neuzugänge aus dem 7-Tage-Fenster für Cluster F hinzu, die die im Vorlauf eröffnete Bandbreite um eine vierte, mittlere Selbstpositionierung erweitern und die Deployment-vor-Grundlagenforschung-Verschiebung auf Hyperscaler-Ebene erneut sichtbar machen: (1) die am 28. Juli 2026 parallel zur Quartals-Berichterstattung von </w:t>
      </w:r>
      <w:r>
        <w:rPr>
          <w:rFonts w:ascii="Arial" w:hAnsi="Arial"/>
          <w:b w:val="0"/>
          <w:i/>
          <w:sz w:val="19"/>
        </w:rPr>
        <w:t>Visa Inc.</w:t>
      </w:r>
      <w:r>
        <w:rPr>
          <w:rFonts w:ascii="Arial" w:hAnsi="Arial"/>
          <w:b w:val="0"/>
          <w:i w:val="0"/>
          <w:sz w:val="19"/>
        </w:rPr>
        <w:t xml:space="preserve"> (NYSE: V) nach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angekündigte Reduktion von rund 2.600 Beschäftigten (etwa 7 % der zum Fiskaljahresende gemeldeten globalen Belegschaft von rund 34.100) mit einem Abfindungs­aufwand von 563 Millionen US-Dollar, überwiegend in Technology- und Product-Organisationen, wörtlichem CEO-Zitat Ryan McInerney („AI is also helping to accelerate this evolution and shape the way work gets done at Visa") sowie ausdrücklicher Positionierung von KI als „beitragender Faktor, aber nicht einzige Ursache" — Aufnahme in § 1.1 mit Rückwirkung auf § 9.1 als mittlere Selbstpositionierung zwischen offen substitutions­naher (Uber) und ausdrücklich nicht-substitutions­bezogener (Patreon) Selbstpositionierung, damit erweiterte administrative Bandbreite auf vier Selbstpositionierungen innerhalb einer einzelnen Kalenderwoche, und Neueintrag in § 11.5; und (2) die am 28. Juli 2026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MediaPost</w:t>
      </w:r>
      <w:r>
        <w:rPr>
          <w:rFonts w:ascii="Arial" w:hAnsi="Arial"/>
          <w:b w:val="0"/>
          <w:i w:val="0"/>
          <w:sz w:val="19"/>
        </w:rPr>
        <w:t xml:space="preserve"> bekannt gewordene </w:t>
      </w:r>
      <w:r>
        <w:rPr>
          <w:rFonts w:ascii="Arial" w:hAnsi="Arial"/>
          <w:b w:val="0"/>
          <w:i/>
          <w:sz w:val="19"/>
        </w:rPr>
        <w:t>Amazon-AGI-Restrukturierung</w:t>
      </w:r>
      <w:r>
        <w:rPr>
          <w:rFonts w:ascii="Arial" w:hAnsi="Arial"/>
          <w:b w:val="0"/>
          <w:i w:val="0"/>
          <w:sz w:val="19"/>
        </w:rPr>
        <w:t xml:space="preserve"> mit Schließung des 2024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bleiben aktiv), Ressourcen-Konzentration auf eine neu formierte Frontier-Modell-Forschungsgruppe unter Pieter Abbeel (Covariant-Übernahme) und einem neuen Foundation-Modell zur Herbst-Konferenz </w:t>
      </w:r>
      <w:r>
        <w:rPr>
          <w:rFonts w:ascii="Arial" w:hAnsi="Arial"/>
          <w:b w:val="0"/>
          <w:i/>
          <w:sz w:val="19"/>
        </w:rPr>
        <w:t>re:Invent 2026</w:t>
      </w:r>
      <w:r>
        <w:rPr>
          <w:rFonts w:ascii="Arial" w:hAnsi="Arial"/>
          <w:b w:val="0"/>
          <w:i w:val="0"/>
          <w:sz w:val="19"/>
        </w:rPr>
        <w:t xml:space="preserve"> —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eine erkennbare Deployment-Priorisierung gegenüber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offenlegt) und Neueintrag in § 11.5. In Version 50.0 (Schnitt am 30. Juli 2026 — Lauf 001 vom 30. Juli 2026) treten zwei weitere belegbare Neuzugänge aus dem 48-Stunden-Fenster für Cluster F und I hinzu, die die Asymmetrie zwischen Personalreduktion, Capex-Anstieg und Margenverlauf auf Hyperscaler-Ebene erstmals in zwei komplementären Ausprägungen offenlegen: (1) das am 29. Juli 2026 nach Marktschluss von </w:t>
      </w:r>
      <w:r>
        <w:rPr>
          <w:rFonts w:ascii="Arial" w:hAnsi="Arial"/>
          <w:b w:val="0"/>
          <w:i/>
          <w:sz w:val="19"/>
        </w:rPr>
        <w:t>Microsoft</w:t>
      </w:r>
      <w:r>
        <w:rPr>
          <w:rFonts w:ascii="Arial" w:hAnsi="Arial"/>
          <w:b w:val="0"/>
          <w:i w:val="0"/>
          <w:sz w:val="19"/>
        </w:rPr>
        <w:t xml:space="preserve"> (NASDAQ: MSFT) veröffentlichte Q4-FY2026-Ergebnis mit einem Quartalsumsatz von 90,0 Milliarden US-Dollar (+18 %), einem GAAP-Ergebnis je Aktie von 4,81 US-Dollar (+32 %), einem Q4-Nettogewinn von 35,8 Milliarden US-Dollar (+31 %), </w:t>
      </w:r>
      <w:r>
        <w:rPr>
          <w:rFonts w:ascii="Arial" w:hAnsi="Arial"/>
          <w:b w:val="0"/>
          <w:i/>
          <w:sz w:val="19"/>
        </w:rPr>
        <w:t>Microsoft-Cloud</w:t>
      </w:r>
      <w:r>
        <w:rPr>
          <w:rFonts w:ascii="Arial" w:hAnsi="Arial"/>
          <w:b w:val="0"/>
          <w:i w:val="0"/>
          <w:sz w:val="19"/>
        </w:rPr>
        <w:t xml:space="preserve"> 59,3 Milliarden US-Dollar (+27 %), </w:t>
      </w:r>
      <w:r>
        <w:rPr>
          <w:rFonts w:ascii="Arial" w:hAnsi="Arial"/>
          <w:b w:val="0"/>
          <w:i/>
          <w:sz w:val="19"/>
        </w:rPr>
        <w:t>Azure</w:t>
      </w:r>
      <w:r>
        <w:rPr>
          <w:rFonts w:ascii="Arial" w:hAnsi="Arial"/>
          <w:b w:val="0"/>
          <w:i w:val="0"/>
          <w:sz w:val="19"/>
        </w:rPr>
        <w:t xml:space="preserve"> +43 % im Quartal und erstmals über 100 Milliarden US-Dollar Fiskaljahres-Umsatz (+41 %), einer </w:t>
      </w:r>
      <w:r>
        <w:rPr>
          <w:rFonts w:ascii="Arial" w:hAnsi="Arial"/>
          <w:b w:val="0"/>
          <w:i/>
          <w:sz w:val="19"/>
        </w:rPr>
        <w:t>Commercial Remaining Performance Obligation</w:t>
      </w:r>
      <w:r>
        <w:rPr>
          <w:rFonts w:ascii="Arial" w:hAnsi="Arial"/>
          <w:b w:val="0"/>
          <w:i w:val="0"/>
          <w:sz w:val="19"/>
        </w:rPr>
        <w:t xml:space="preserve"> von 678 Milliarden US-Dollar (+84 %), über 30 Millionen zahlungspflichtigen </w:t>
      </w:r>
      <w:r>
        <w:rPr>
          <w:rFonts w:ascii="Arial" w:hAnsi="Arial"/>
          <w:b w:val="0"/>
          <w:i/>
          <w:sz w:val="19"/>
        </w:rPr>
        <w:t>Microsoft-365-Copilot</w:t>
      </w:r>
      <w:r>
        <w:rPr>
          <w:rFonts w:ascii="Arial" w:hAnsi="Arial"/>
          <w:b w:val="0"/>
          <w:i w:val="0"/>
          <w:sz w:val="19"/>
        </w:rPr>
        <w:t xml:space="preserve">-Sitzen und einem FY2026-Capex von 115,9 Milliarden US-Dollar (Vorjahr 64,6 Milliarden US-Dollar; +79 %) — Aufnahme in § 1.1 mit Rückwirkung auf § 8.2 und § 8.3 sowie Neueintrag in § 11.5 als Beleg der Fortsetzung des Capex-Aufbaus bei zugleich beschleunigtem Cloud-Umsatzwachstum ohne Margenverlust; und (2) das am 29. Juli 2026 nach Marktschluss von </w:t>
      </w:r>
      <w:r>
        <w:rPr>
          <w:rFonts w:ascii="Arial" w:hAnsi="Arial"/>
          <w:b w:val="0"/>
          <w:i/>
          <w:sz w:val="19"/>
        </w:rPr>
        <w:t>Meta Platforms</w:t>
      </w:r>
      <w:r>
        <w:rPr>
          <w:rFonts w:ascii="Arial" w:hAnsi="Arial"/>
          <w:b w:val="0"/>
          <w:i w:val="0"/>
          <w:sz w:val="19"/>
        </w:rPr>
        <w:t xml:space="preserve"> (NASDAQ: META) veröffentlichte Q2-2026-Ergebnis mit einem Quartalsumsatz von 60,8 Milliarden US-Dollar (+28 %) bei einem verwässerten Ergebnis je Aktie von 6,18 US-Dollar (−13 %), einer auf 31 % (Q2 2025: 43 %) rückläufigen operativen Marge, einem freien Cashflow von 784 Millionen US-Dollar (−91 % gegenüber Vorjahresquartal), Q2-Kapitalausgaben von 31,08 Milliarden US-Dollar, einer auf 130 bis 145 Milliarden US-Dollar eingegrenzten Full-Year-Capex-Guidance 2026 (unteres Ende von 115 Milliarden US-Dollar angehoben), einer Q3-2026-Umsatzguidance von 61 bis 64 Milliarden US-Dollar (unterhalb der Konsens-Erwartung) sowie einem nachbörslichen Kursrückgang von rund 9,6 % — Aufnahme in § 1.1 als Beleg der erstmals sichtbaren Margen- und Cashflow-Spannung des Capex-Ausbaus auf Konzernebene mit Rückwirkung auf § 3.5, § 8.2 und § 8.3 sowie Neueintrag in § 11.5. In Version 51.0 (Schnitt am 31. Juli 2026 — Lauf 001 vom 31. Juli 2026) tritt der Abschluss des Hyperscaler-Q2-2026-Zyklus hinzu: Das am 30. Juli 2026 nach Marktschluss von </w:t>
      </w:r>
      <w:r>
        <w:rPr>
          <w:rFonts w:ascii="Arial" w:hAnsi="Arial"/>
          <w:b w:val="0"/>
          <w:i/>
          <w:sz w:val="19"/>
        </w:rPr>
        <w:t>Amazon.com</w:t>
      </w:r>
      <w:r>
        <w:rPr>
          <w:rFonts w:ascii="Arial" w:hAnsi="Arial"/>
          <w:b w:val="0"/>
          <w:i w:val="0"/>
          <w:sz w:val="19"/>
        </w:rPr>
        <w:t xml:space="preserve"> (NASDAQ: AMZN) veröffentlichte Q2-2026-Ergebnis mit einem Konzernumsatz von 200,6 Milliarden US-Dollar (+20 %), einem operativen Ergebnis von 27,5 Milliarden US-Dollar (+43 %), einem verwässerten Ergebnis je Aktie von 5,75 US-Dollar (Konsens 1,81 US-Dollar), einem </w:t>
      </w:r>
      <w:r>
        <w:rPr>
          <w:rFonts w:ascii="Arial" w:hAnsi="Arial"/>
          <w:b w:val="0"/>
          <w:i/>
          <w:sz w:val="19"/>
        </w:rPr>
        <w:t>AWS</w:t>
      </w:r>
      <w:r>
        <w:rPr>
          <w:rFonts w:ascii="Arial" w:hAnsi="Arial"/>
          <w:b w:val="0"/>
          <w:i w:val="0"/>
          <w:sz w:val="19"/>
        </w:rPr>
        <w:t xml:space="preserve">-Umsatz von 42,2 Milliarden US-Dollar (+37 % — stärkstes AWS-Quartalswachstum seit achtzehn Quartalen), einem </w:t>
      </w:r>
      <w:r>
        <w:rPr>
          <w:rFonts w:ascii="Arial" w:hAnsi="Arial"/>
          <w:b w:val="0"/>
          <w:i/>
          <w:sz w:val="19"/>
        </w:rPr>
        <w:t>AWS-AI</w:t>
      </w:r>
      <w:r>
        <w:rPr>
          <w:rFonts w:ascii="Arial" w:hAnsi="Arial"/>
          <w:b w:val="0"/>
          <w:i w:val="0"/>
          <w:sz w:val="19"/>
        </w:rPr>
        <w:t xml:space="preserve">- und </w:t>
      </w:r>
      <w:r>
        <w:rPr>
          <w:rFonts w:ascii="Arial" w:hAnsi="Arial"/>
          <w:b w:val="0"/>
          <w:i/>
          <w:sz w:val="19"/>
        </w:rPr>
        <w:t>AWS-Chips</w:t>
      </w:r>
      <w:r>
        <w:rPr>
          <w:rFonts w:ascii="Arial" w:hAnsi="Arial"/>
          <w:b w:val="0"/>
          <w:i w:val="0"/>
          <w:sz w:val="19"/>
        </w:rPr>
        <w:t xml:space="preserve">-Geschäft mit annualisiertem Run-Rate von jeweils über 25 Milliarden US-Dollar (Trainium, Graviton), einer </w:t>
      </w:r>
      <w:r>
        <w:rPr>
          <w:rFonts w:ascii="Arial" w:hAnsi="Arial"/>
          <w:b w:val="0"/>
          <w:i/>
          <w:sz w:val="19"/>
        </w:rPr>
        <w:t>Remaining Performance Obligation</w:t>
      </w:r>
      <w:r>
        <w:rPr>
          <w:rFonts w:ascii="Arial" w:hAnsi="Arial"/>
          <w:b w:val="0"/>
          <w:i w:val="0"/>
          <w:sz w:val="19"/>
        </w:rPr>
        <w:t xml:space="preserve"> von 496 Milliarden US-Dollar sowie einer auf rund 220 Milliarden US-Dollar (Vorlauf 200 Milliarden US-Dollar) angehobenen Full-Year-2026-Capex-Guidance mit Verweis auf gestiegene Speicherpreise; CEO Andy Jassy stellt die AWS-Kapazität im Konjunktiv als 2026 und 2027 knapp gegenüber der Nachfrage dar, der Vorstand kündigt eine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an — Aufnahme in § 1.1 mit Rückwirkung auf § 3.5, § 5.1, § 8.2 und § 8.3 sowie Neueintrag in § 11.5. Damit stabilisiert sich die aggregierte 2026-Hyperscaler-Capex-Größenordnung (Alphabet 195 bis 205, Amazon 220, Meta 130 bis 145, Microsoft FY2026 115,9 Milliarden US-Dollar) fest jenseits von 700 Milliarden US-Dollar. In Version 52.0 (Schnitt am 1. August 2026 — Lauf 001 vom 1. August 2026) treten zwei parallele Bewegungen aus dem 48-Stunden- und 7-Tage-Fenster hinzu: Erstens hat OpenAI am 30. Juli 2026 — drei Wochen nach der allgemeinen Freigabe der </w:t>
      </w:r>
      <w:r>
        <w:rPr>
          <w:rFonts w:ascii="Arial" w:hAnsi="Arial"/>
          <w:b w:val="0"/>
          <w:i/>
          <w:sz w:val="19"/>
        </w:rPr>
        <w:t>GPT-5.6</w:t>
      </w:r>
      <w:r>
        <w:rPr>
          <w:rFonts w:ascii="Arial" w:hAnsi="Arial"/>
          <w:b w:val="0"/>
          <w:i w:val="0"/>
          <w:sz w:val="19"/>
        </w:rPr>
        <w:t xml:space="preserve">-Familie am 9. Juli 2026 — die </w:t>
      </w:r>
      <w:r>
        <w:rPr>
          <w:rFonts w:ascii="Arial" w:hAnsi="Arial"/>
          <w:b w:val="0"/>
          <w:i/>
          <w:sz w:val="19"/>
        </w:rPr>
        <w:t>GPT-5.6</w:t>
      </w:r>
      <w:r>
        <w:rPr>
          <w:rFonts w:ascii="Arial" w:hAnsi="Arial"/>
          <w:b w:val="0"/>
          <w:i w:val="0"/>
          <w:sz w:val="19"/>
        </w:rPr>
        <w:t>-Preise nachjustiert (</w:t>
      </w:r>
      <w:r>
        <w:rPr>
          <w:rFonts w:ascii="Arial" w:hAnsi="Arial"/>
          <w:b w:val="0"/>
          <w:i/>
          <w:sz w:val="19"/>
        </w:rPr>
        <w:t>Luna</w:t>
      </w:r>
      <w:r>
        <w:rPr>
          <w:rFonts w:ascii="Arial" w:hAnsi="Arial"/>
          <w:b w:val="0"/>
          <w:i w:val="0"/>
          <w:sz w:val="19"/>
        </w:rPr>
        <w:t xml:space="preserve"> Input/Output 1,00/6,00 → 0,20/1,20 US-Dollar je Million Token, −80 %; </w:t>
      </w:r>
      <w:r>
        <w:rPr>
          <w:rFonts w:ascii="Arial" w:hAnsi="Arial"/>
          <w:b w:val="0"/>
          <w:i/>
          <w:sz w:val="19"/>
        </w:rPr>
        <w:t>Terra</w:t>
      </w:r>
      <w:r>
        <w:rPr>
          <w:rFonts w:ascii="Arial" w:hAnsi="Arial"/>
          <w:b w:val="0"/>
          <w:i w:val="0"/>
          <w:sz w:val="19"/>
        </w:rPr>
        <w:t xml:space="preserve"> 2,50/15,00 → 2,00/12,00 US-Dollar, −20 %; </w:t>
      </w:r>
      <w:r>
        <w:rPr>
          <w:rFonts w:ascii="Arial" w:hAnsi="Arial"/>
          <w:b w:val="0"/>
          <w:i/>
          <w:sz w:val="19"/>
        </w:rPr>
        <w:t>Sol</w:t>
      </w:r>
      <w:r>
        <w:rPr>
          <w:rFonts w:ascii="Arial" w:hAnsi="Arial"/>
          <w:b w:val="0"/>
          <w:i w:val="0"/>
          <w:sz w:val="19"/>
        </w:rPr>
        <w:t xml:space="preserve"> unverändert bei 5,00/30,00 US-Dollar, ergänzt um einen kostenpflichtigen </w:t>
      </w:r>
      <w:r>
        <w:rPr>
          <w:rFonts w:ascii="Arial" w:hAnsi="Arial"/>
          <w:b w:val="0"/>
          <w:i/>
          <w:sz w:val="19"/>
        </w:rPr>
        <w:t>Fast</w:t>
      </w:r>
      <w:r>
        <w:rPr>
          <w:rFonts w:ascii="Arial" w:hAnsi="Arial"/>
          <w:b w:val="0"/>
          <w:i w:val="0"/>
          <w:sz w:val="19"/>
        </w:rPr>
        <w:t xml:space="preserve">-Modus mit 2,5-facher Ausführungsgeschwindigkeit bei doppeltem Preis) und den Schritt mit internen Effizienzgewinnen sowie dem Wettbewerbsdruck kostengünstiger chinesischer Open-Weight-Modelle begründet — Aufnahme in § 8.2 als Beleg der fortgesetzten deflationären Preisdynamik in der Modellschicht und der zunehmenden KI-Renten-Diversifizierung über Fast-Access- und Effizienzprämien mit Neueintrag in § 11.5. Zweitens hat die Europäische Kommission am 31. Juli 2026 in einer eigenen Mitteilung die planmäßige Aktivierung des Durchsetzungsregimes des </w:t>
      </w:r>
      <w:r>
        <w:rPr>
          <w:rFonts w:ascii="Arial" w:hAnsi="Arial"/>
          <w:b w:val="0"/>
          <w:i/>
          <w:sz w:val="19"/>
        </w:rPr>
        <w:t>EU AI Act</w:t>
      </w:r>
      <w:r>
        <w:rPr>
          <w:rFonts w:ascii="Arial" w:hAnsi="Arial"/>
          <w:b w:val="0"/>
          <w:i w:val="0"/>
          <w:sz w:val="19"/>
        </w:rPr>
        <w:t xml:space="preserve"> zum 2. August 2026 bestätigt: Kommissionsbefugnisse gegenüber GPAI-Anbietern (Dokumentation, Evaluierung, Korrekturmaßnahmen, Geldbußen bis 3 % des weltweiten Jahresumsatzes bzw. 15 Millionen Euro je nach Höchstbetrag) treten in Kraft, ebenso die Transparenzpflichten des Art. 50 (Kennzeichnung bei Chatbots und interaktiven KI-Systemen, Deepfake-Kennzeichnung, maschinenlesbare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das </w:t>
      </w:r>
      <w:r>
        <w:rPr>
          <w:rFonts w:ascii="Arial" w:hAnsi="Arial"/>
          <w:b w:val="0"/>
          <w:i/>
          <w:sz w:val="19"/>
        </w:rPr>
        <w:t>AI Office</w:t>
      </w:r>
      <w:r>
        <w:rPr>
          <w:rFonts w:ascii="Arial" w:hAnsi="Arial"/>
          <w:b w:val="0"/>
          <w:i w:val="0"/>
          <w:sz w:val="19"/>
        </w:rPr>
        <w:t xml:space="preserve"> erhält nach </w:t>
      </w:r>
      <w:r>
        <w:rPr>
          <w:rFonts w:ascii="Arial" w:hAnsi="Arial"/>
          <w:b w:val="0"/>
          <w:i/>
          <w:sz w:val="19"/>
        </w:rPr>
        <w:t>Fortune</w:t>
      </w:r>
      <w:r>
        <w:rPr>
          <w:rFonts w:ascii="Arial" w:hAnsi="Arial"/>
          <w:b w:val="0"/>
          <w:i w:val="0"/>
          <w:sz w:val="19"/>
        </w:rPr>
        <w:t xml:space="preserve">-Berichterstattung zeitgleich 38 zusätzliche Stellen — Aufnahme in § 4.3 mit Rückwirkung auf § 5.1 und § 8.3 sowie Neueintrag in § 11.3. Mit Version 53.0 (Schnitt am 2. August 2026 — Lauf 001 vom 2. August 2026) tritt eine einzige, aber sicherheits- und governance-politisch bedeutsame Beobachtung aus Cluster D hinzu: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verankerte 60-Tage-Frist zur Ausarbeitung eines freiwilligen US-Frontier-Modell-Vor-Freigabe-Frameworks (klassifizierter Benchmarking-Prozess durch NSA/CISA/NIST, freiwilliges Offenlegungs-Framework durch Treasury/NSA/CISA/NIST, föderaler Cyber-Personalausbau durch OPM)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Fristablauf am 1. August 2026 (00:00 UTC) ohne öffentliche Deliverables verstrichen — weder Federal-Register-Eintrag noch NIST-, CISA- oder OSTP-Publikation seien vorgelegt worden (Konjunktiv nach § 4.2 Claude.md) — Aufnahme in § 4.5 als Nachtrag zur Fable-5-Episode mit Rückwirkung auf § 8.2 und § 8.3 sowie Neueintrag in § 11.5. Der Befund verstärkt die im letzten Nachtrag bereits ausgesprochene Asymmetrie zwischen einem exekutiv-informal wirkenden US-Regime und einem institutionalisierten, mit Bußgeld- und Transparenzpflichten hinterlegten europäischen </w:t>
      </w:r>
      <w:r>
        <w:rPr>
          <w:rFonts w:ascii="Arial" w:hAnsi="Arial"/>
          <w:b w:val="0"/>
          <w:i/>
          <w:sz w:val="19"/>
        </w:rPr>
        <w:t>AI-Act</w:t>
      </w:r>
      <w:r>
        <w:rPr>
          <w:rFonts w:ascii="Arial" w:hAnsi="Arial"/>
          <w:b w:val="0"/>
          <w:i w:val="0"/>
          <w:sz w:val="19"/>
        </w:rPr>
        <w:t xml:space="preserve">-Durchsetzungsregime ab dem 2. August 2026. Mit Version 54.0 (Schnitt am 3. August 2026 — Lauf 001 vom 3. August 2026) kommt aus Cluster I ein weiterer Datenpunkt hinzu: OpenAI hat am 1. August 2026 in einem Blogpost mit dem Titel </w:t>
      </w:r>
      <w:r>
        <w:rPr>
          <w:rFonts w:ascii="Arial" w:hAnsi="Arial"/>
          <w:b w:val="0"/>
          <w:i/>
          <w:sz w:val="19"/>
        </w:rPr>
        <w:t>Ten advances in mathematics and theoretical computer science</w:t>
      </w:r>
      <w:r>
        <w:rPr>
          <w:rFonts w:ascii="Arial" w:hAnsi="Arial"/>
          <w:b w:val="0"/>
          <w:i w:val="0"/>
          <w:sz w:val="19"/>
        </w:rPr>
        <w:t xml:space="preserve"> einen intern verfügbaren Modellkandidaten mit dem Arbeitsnamen </w:t>
      </w:r>
      <w:r>
        <w:rPr>
          <w:rFonts w:ascii="Arial" w:hAnsi="Arial"/>
          <w:b w:val="0"/>
          <w:i/>
          <w:sz w:val="19"/>
        </w:rPr>
        <w:t>Astra</w:t>
      </w:r>
      <w:r>
        <w:rPr>
          <w:rFonts w:ascii="Arial" w:hAnsi="Arial"/>
          <w:b w:val="0"/>
          <w:i w:val="0"/>
          <w:sz w:val="19"/>
        </w:rPr>
        <w:t xml:space="preserve"> —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 angekündigt und diesem zehn Ergebnisse in Mathematik und theoretischer Informatik zugeschrieben (erstmalige Verbesserung des allgemeinen hoch-dimensionalen Kugelpackungs-Exponenten seit 1978, super­exponentielle untere Schranke für Multicolor-Ramsey-Zahlen mit Auflösung von </w:t>
      </w:r>
      <w:r>
        <w:rPr>
          <w:rFonts w:ascii="Arial" w:hAnsi="Arial"/>
          <w:b w:val="0"/>
          <w:i/>
          <w:sz w:val="19"/>
        </w:rPr>
        <w:t>Erdős-Concern 183</w:t>
      </w:r>
      <w:r>
        <w:rPr>
          <w:rFonts w:ascii="Arial" w:hAnsi="Arial"/>
          <w:b w:val="0"/>
          <w:i w:val="0"/>
          <w:sz w:val="19"/>
        </w:rPr>
        <w:t xml:space="preserve">, nicht-sofische Gruppen, Widerlegung der Rigiditätsvermutung von Alain Connes, neue Schranken für fehlerkorrigierende Codes und Permanenten­komplexität, Härte-Ergebnisse für das </w:t>
      </w:r>
      <w:r>
        <w:rPr>
          <w:rFonts w:ascii="Arial" w:hAnsi="Arial"/>
          <w:b w:val="0"/>
          <w:i/>
          <w:sz w:val="19"/>
        </w:rPr>
        <w:t>Closest-Vector-Problem</w:t>
      </w:r>
      <w:r>
        <w:rPr>
          <w:rFonts w:ascii="Arial" w:hAnsi="Arial"/>
          <w:b w:val="0"/>
          <w:i w:val="0"/>
          <w:sz w:val="19"/>
        </w:rPr>
        <w:t xml:space="preserve"> in der Gitter-Kryptographie); die formale Nachprüfung durch die Mathematik-Community steht aus (Konjunktiv nach § 4.2 Claude.md), OpenAI hat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publiziert.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 Aufnahme in § 8.2 als Beleg der beschleunigten Frontier-Iterations­frequenz und der Ausweitung der KI-Substitution wissens­intensiver Cognitive-Arbeit in den Bereich grundlagen­wissenschaftlicher Beweisarbeit mit Rückwirkung auf § 1.1 und § 8.3 sowie Neueintrag in § 11.5. Mit Version 55.0 (Schnitt am 4. August 2026 — Lauf 001 vom 4. August 2026) tritt aus Cluster B der erste operative Enforcement-Fall der </w:t>
      </w:r>
      <w:r>
        <w:rPr>
          <w:rFonts w:ascii="Arial" w:hAnsi="Arial"/>
          <w:b w:val="0"/>
          <w:i/>
          <w:sz w:val="19"/>
        </w:rPr>
        <w:t>EU-AI-Act</w:t>
      </w:r>
      <w:r>
        <w:rPr>
          <w:rFonts w:ascii="Arial" w:hAnsi="Arial"/>
          <w:b w:val="0"/>
          <w:i w:val="0"/>
          <w:sz w:val="19"/>
        </w:rPr>
        <w:t xml:space="preserve">-Durchsetzung hinzu: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Benzinga</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und </w:t>
      </w:r>
      <w:r>
        <w:rPr>
          <w:rFonts w:ascii="Arial" w:hAnsi="Arial"/>
          <w:b w:val="0"/>
          <w:i/>
          <w:sz w:val="19"/>
        </w:rPr>
        <w:t>Help Net Security</w:t>
      </w:r>
      <w:r>
        <w:rPr>
          <w:rFonts w:ascii="Arial" w:hAnsi="Arial"/>
          <w:b w:val="0"/>
          <w:i w:val="0"/>
          <w:sz w:val="19"/>
        </w:rPr>
        <w:t xml:space="preserve"> vom 3./4. August 2026 hat die Europäische Kommission binnen 24 Stunden nach Aktivierung ihrer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Ende-Juli-2026-Sicherheitsvorfälle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 Aufnahme in § 4.3 mit Rückwirkung auf § 5.1 und § 8.3 sowie Neueintrag in § 11.5. Als institutionelle Vorstufe war </w:t>
      </w:r>
      <w:r>
        <w:rPr>
          <w:rFonts w:ascii="Arial" w:hAnsi="Arial"/>
          <w:b w:val="0"/>
          <w:i/>
          <w:sz w:val="19"/>
        </w:rPr>
        <w:t>Anthropic</w:t>
      </w:r>
      <w:r>
        <w:rPr>
          <w:rFonts w:ascii="Arial" w:hAnsi="Arial"/>
          <w:b w:val="0"/>
          <w:i w:val="0"/>
          <w:sz w:val="19"/>
        </w:rPr>
        <w:t xml:space="preserve"> im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Mit Version 56.0 (Schnitt am 5. August 2026 — Lauf 001 vom 5. August 2026) treten aus Cluster D drei am 4. August 2026 koordiniert wirkende US-Governance-Signale hinzu: Die Trump-Administration habe nach </w:t>
      </w:r>
      <w:r>
        <w:rPr>
          <w:rFonts w:ascii="Arial" w:hAnsi="Arial"/>
          <w:b w:val="0"/>
          <w:i/>
          <w:sz w:val="19"/>
        </w:rPr>
        <w:t>CNN Business</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BNN-Bloomberg</w:t>
      </w:r>
      <w:r>
        <w:rPr>
          <w:rFonts w:ascii="Arial" w:hAnsi="Arial"/>
          <w:b w:val="0"/>
          <w:i w:val="0"/>
          <w:sz w:val="19"/>
        </w:rPr>
        <w:t xml:space="preserve">-, </w:t>
      </w:r>
      <w:r>
        <w:rPr>
          <w:rFonts w:ascii="Arial" w:hAnsi="Arial"/>
          <w:b w:val="0"/>
          <w:i/>
          <w:sz w:val="19"/>
        </w:rPr>
        <w:t>GV-Wire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-Berichterstattung am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und die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(bis zu 30 Tage Vor-Zugang für Sicherheits- und Aufsichtsbehörden); </w:t>
      </w:r>
      <w:r>
        <w:rPr>
          <w:rFonts w:ascii="Arial" w:hAnsi="Arial"/>
          <w:b w:val="0"/>
          <w:i/>
          <w:sz w:val="19"/>
        </w:rPr>
        <w:t>Anthropic</w:t>
      </w:r>
      <w:r>
        <w:rPr>
          <w:rFonts w:ascii="Arial" w:hAnsi="Arial"/>
          <w:b w:val="0"/>
          <w:i w:val="0"/>
          <w:sz w:val="19"/>
        </w:rPr>
        <w:t xml:space="preserve"> habe am selben Tag mit Mariano-Florentino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seit 2019 Mitglied der </w:t>
      </w:r>
      <w:r>
        <w:rPr>
          <w:rFonts w:ascii="Arial" w:hAnsi="Arial"/>
          <w:b w:val="0"/>
          <w:i/>
          <w:sz w:val="19"/>
        </w:rPr>
        <w:t>Harvard Corporation</w:t>
      </w:r>
      <w:r>
        <w:rPr>
          <w:rFonts w:ascii="Arial" w:hAnsi="Arial"/>
          <w:b w:val="0"/>
          <w:i w:val="0"/>
          <w:sz w:val="19"/>
        </w:rPr>
        <w:t xml:space="preserve">) seinen ersten </w:t>
      </w:r>
      <w:r>
        <w:rPr>
          <w:rFonts w:ascii="Arial" w:hAnsi="Arial"/>
          <w:b w:val="0"/>
          <w:i/>
          <w:sz w:val="19"/>
        </w:rPr>
        <w:t>Chief Global Affairs Officer</w:t>
      </w:r>
      <w:r>
        <w:rPr>
          <w:rFonts w:ascii="Arial" w:hAnsi="Arial"/>
          <w:b w:val="0"/>
          <w:i w:val="0"/>
          <w:sz w:val="19"/>
        </w:rPr>
        <w:t xml:space="preserve"> benannt; und fünf demokratische Senatorinnen und Senatoren (</w:t>
      </w:r>
      <w:r>
        <w:rPr>
          <w:rFonts w:ascii="Arial" w:hAnsi="Arial"/>
          <w:b w:val="0"/>
          <w:i/>
          <w:sz w:val="19"/>
        </w:rPr>
        <w:t>Gillibrand</w:t>
      </w:r>
      <w:r>
        <w:rPr>
          <w:rFonts w:ascii="Arial" w:hAnsi="Arial"/>
          <w:b w:val="0"/>
          <w:i w:val="0"/>
          <w:sz w:val="19"/>
        </w:rPr>
        <w:t xml:space="preserve">,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hätten am 4. August 2026 einen Brief an die Administration gerichtet und öffentliche Klarheit über die Rechtsgrundlage, die Maßstäbe und die Abwägung zwischen Sicherheits- und Wettbewerbsinteressen bei der </w:t>
      </w:r>
      <w:r>
        <w:rPr>
          <w:rFonts w:ascii="Arial" w:hAnsi="Arial"/>
          <w:b w:val="0"/>
          <w:i/>
          <w:sz w:val="19"/>
        </w:rPr>
        <w:t>Fable-5-/Mythos-5</w:t>
      </w:r>
      <w:r>
        <w:rPr>
          <w:rFonts w:ascii="Arial" w:hAnsi="Arial"/>
          <w:b w:val="0"/>
          <w:i w:val="0"/>
          <w:sz w:val="19"/>
        </w:rPr>
        <w:t xml:space="preserve">-Weisung und der </w:t>
      </w:r>
      <w:r>
        <w:rPr>
          <w:rFonts w:ascii="Arial" w:hAnsi="Arial"/>
          <w:b w:val="0"/>
          <w:i/>
          <w:sz w:val="19"/>
        </w:rPr>
        <w:t>GPT-5.6-Sol</w:t>
      </w:r>
      <w:r>
        <w:rPr>
          <w:rFonts w:ascii="Arial" w:hAnsi="Arial"/>
          <w:b w:val="0"/>
          <w:i w:val="0"/>
          <w:sz w:val="19"/>
        </w:rPr>
        <w:t xml:space="preserve">-Zugangsbeschränkung gefordert (Konjunktivpflicht nach § 4.2 Claude.md eingehalten) — Aufnahme in § 4.5 als Nachtrag zum 4. August 2026 mit Rückwirkung auf § 4.3 und § 8.3 sowie Neueintrag in § 11.5. Mit Version 57.0 (Schnitt am 6. August 2026 — Lauf 001 vom 6. August 2026) treten zwei belegbare Neuzugänge hinzu: Aus Cluster I ist </w:t>
      </w:r>
      <w:r>
        <w:rPr>
          <w:rFonts w:ascii="Arial" w:hAnsi="Arial"/>
          <w:b w:val="0"/>
          <w:i/>
          <w:sz w:val="19"/>
        </w:rPr>
        <w:t>Alibaba</w:t>
      </w:r>
      <w:r>
        <w:rPr>
          <w:rFonts w:ascii="Arial" w:hAnsi="Arial"/>
          <w:b w:val="0"/>
          <w:i w:val="0"/>
          <w:sz w:val="19"/>
        </w:rPr>
        <w:t xml:space="preserve"> am 3. August 2026 mit der Freigabe des Flaggschiffmodells </w:t>
      </w:r>
      <w:r>
        <w:rPr>
          <w:rFonts w:ascii="Arial" w:hAnsi="Arial"/>
          <w:b w:val="0"/>
          <w:i/>
          <w:sz w:val="19"/>
        </w:rPr>
        <w:t>Qwen3.8-Max</w:t>
      </w:r>
      <w:r>
        <w:rPr>
          <w:rFonts w:ascii="Arial" w:hAnsi="Arial"/>
          <w:b w:val="0"/>
          <w:i w:val="0"/>
          <w:sz w:val="19"/>
        </w:rPr>
        <w:t xml:space="preserve"> (2,4 Billionen Gesamtparameter in </w:t>
      </w:r>
      <w:r>
        <w:rPr>
          <w:rFonts w:ascii="Arial" w:hAnsi="Arial"/>
          <w:b w:val="0"/>
          <w:i/>
          <w:sz w:val="19"/>
        </w:rPr>
        <w:t>Sparse-Mixture-of-Experts</w:t>
      </w:r>
      <w:r>
        <w:rPr>
          <w:rFonts w:ascii="Arial" w:hAnsi="Arial"/>
          <w:b w:val="0"/>
          <w:i w:val="0"/>
          <w:sz w:val="19"/>
        </w:rPr>
        <w:t xml:space="preserve">-Architektur mit rund 95 Milliarden aktiven Parametern, 1-Million-Token-Kontextfenster, multimodale Ein- und Ausgabefähigkeit; nach Anbieter-Benchmarks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im Frontend-Coding-Segment; Open-Weight-Freigabe für die Woche ab dem 10. August 2026 angekündigt) die erste chinesische Frontier-Konvergenz auf die aktuellste Modellklasse dokumentiert (Aufnahme in § 8.2 mit Rückwirkung auf § 4.5 und § 8.3, Neueintrag in § 11.5). Aus Cluster D/B präzisiert die Folgeberichterstattung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w:t>
      </w:r>
      <w:r>
        <w:rPr>
          <w:rFonts w:ascii="Arial" w:hAnsi="Arial"/>
          <w:b w:val="0"/>
          <w:i/>
          <w:sz w:val="19"/>
        </w:rPr>
        <w:t>Yahoo News</w:t>
      </w:r>
      <w:r>
        <w:rPr>
          <w:rFonts w:ascii="Arial" w:hAnsi="Arial"/>
          <w:b w:val="0"/>
          <w:i w:val="0"/>
          <w:sz w:val="19"/>
        </w:rPr>
        <w:t xml:space="preserve"> vom 4./5. August 2026 die am 4. August 2026 vorgelegte Framework-Fassung des im </w:t>
      </w:r>
      <w:r>
        <w:rPr>
          <w:rFonts w:ascii="Arial" w:hAnsi="Arial"/>
          <w:b w:val="0"/>
          <w:i/>
          <w:sz w:val="19"/>
        </w:rPr>
        <w:t>Executive Order 14409</w:t>
      </w:r>
      <w:r>
        <w:rPr>
          <w:rFonts w:ascii="Arial" w:hAnsi="Arial"/>
          <w:b w:val="0"/>
          <w:i w:val="0"/>
          <w:sz w:val="19"/>
        </w:rPr>
        <w:t xml:space="preserve"> verankerten US-Vor-Freigabe-Regimes: Nach dieser Berichterstattung sei der geladene Anbieterkreis breiter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als in der Vorankündigung dokumentiert, das Prüfregime gelte exklusiv für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Open-Weight</w:t>
      </w:r>
      <w:r>
        <w:rPr>
          <w:rFonts w:ascii="Arial" w:hAnsi="Arial"/>
          <w:b w:val="0"/>
          <w:i w:val="0"/>
          <w:sz w:val="19"/>
        </w:rPr>
        <w:t xml:space="preserve">-Modelle (u. a.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seien explizit ausgeschlossen, das Framework selbst werde auf Weisung des Weißen Hauses nicht öffentlich freigegeben (Benchmarking-Verfahren und Schwellenwerte klassifiziert; Framework unklassifiziert, aber unveröffentlicht), die operative Administration liege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(Konjunktivpflicht nach § 4.2 Claude.md eingehalten). Aufnahme in § 4.5 als Nachtrag zum 5. August 2026 mit Rückwirkung auf § 4.3 (Kontrastfolie: transparent-normierte EU-Angebotsseite) und § 8.2/§ 8.3 (offene Frontier-Modellklasse als geregelt außerhalb des US-Vor-Freigabe-Regimes und damit als Stabilitätsgewinn für die inländische Veredelungsstrategie) sowie Neueintrag in § 11.5. Mit Lauf 001 vom 7. August 2026 (Version 57.0 → 58.0) sind zwei Datenpunkte aus dem 7-Tage-Fenster nachgetragen: (a) die am 3. August 2026 vom südkoreanischen </w:t>
      </w:r>
      <w:r>
        <w:rPr>
          <w:rFonts w:ascii="Arial" w:hAnsi="Arial"/>
          <w:b w:val="0"/>
          <w:i/>
          <w:sz w:val="19"/>
        </w:rPr>
        <w:t>Ministry of Economy and Finance</w:t>
      </w:r>
      <w:r>
        <w:rPr>
          <w:rFonts w:ascii="Arial" w:hAnsi="Arial"/>
          <w:b w:val="0"/>
          <w:i w:val="0"/>
          <w:sz w:val="19"/>
        </w:rPr>
        <w:t xml:space="preserve"> vorgeschlagene erstmals produktionsvolumen­basierte </w:t>
      </w:r>
      <w:r>
        <w:rPr>
          <w:rFonts w:ascii="Arial" w:hAnsi="Arial"/>
          <w:b w:val="0"/>
          <w:i/>
          <w:sz w:val="19"/>
        </w:rPr>
        <w:t>Domestic Production Tax Credit</w:t>
      </w:r>
      <w:r>
        <w:rPr>
          <w:rFonts w:ascii="Arial" w:hAnsi="Arial"/>
          <w:b w:val="0"/>
          <w:i w:val="0"/>
          <w:sz w:val="19"/>
        </w:rPr>
        <w:t xml:space="preserve"> für sechs strategische Industrien (Solar, Wind, Sekundärbatterien, Halbleiter, kritische Materialien und </w:t>
      </w:r>
      <w:r>
        <w:rPr>
          <w:rFonts w:ascii="Arial" w:hAnsi="Arial"/>
          <w:b w:val="0"/>
          <w:i/>
          <w:sz w:val="19"/>
        </w:rPr>
        <w:t>AI robot components</w:t>
      </w:r>
      <w:r>
        <w:rPr>
          <w:rFonts w:ascii="Arial" w:hAnsi="Arial"/>
          <w:b w:val="0"/>
          <w:i w:val="0"/>
          <w:sz w:val="19"/>
        </w:rPr>
        <w:t xml:space="preserve">), Laufzeit 1. Januar 2027 bis 31. Dezember 2036, regionale Multiplikatoren 1,0–1,5 und Obergrenze 50 % der qualifizierten Produktionskosten — Aufnahme in § 6.1 als Aktualisierung mit Rückwirkung auf § 5.1 und § 8.2 (internationale Referenz für die </w:t>
      </w:r>
      <w:r>
        <w:rPr>
          <w:rFonts w:ascii="Arial" w:hAnsi="Arial"/>
          <w:b w:val="0"/>
          <w:i/>
          <w:sz w:val="19"/>
        </w:rPr>
        <w:t>Veredelungsstrategie</w:t>
      </w:r>
      <w:r>
        <w:rPr>
          <w:rFonts w:ascii="Arial" w:hAnsi="Arial"/>
          <w:b w:val="0"/>
          <w:i w:val="0"/>
          <w:sz w:val="19"/>
        </w:rPr>
        <w:t xml:space="preserve"> an der nachgelagerten Fertigungsschicht); (b) die </w:t>
      </w:r>
      <w:r>
        <w:rPr>
          <w:rFonts w:ascii="Arial" w:hAnsi="Arial"/>
          <w:b w:val="0"/>
          <w:i/>
          <w:sz w:val="19"/>
        </w:rPr>
        <w:t>Meta</w:t>
      </w:r>
      <w:r>
        <w:rPr>
          <w:rFonts w:ascii="Arial" w:hAnsi="Arial"/>
          <w:b w:val="0"/>
          <w:i w:val="0"/>
          <w:sz w:val="19"/>
        </w:rPr>
        <w:t xml:space="preserve">-Freigabe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am 5. August 2026 —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mit Rückwirkung auf § 8.3 (Verlagerung der Wettbewerbsdynamik von der API-Preisebene auf die Deployment- und Agent-Ebene). Mit Lauf 001 vom 8. August 2026 (Version 58.0 → 59.0) treten zwei belegbare Neuzugänge aus dem 48-Stunden-Fenster hinzu: Aus Cluster I dokumentieren die parallelen </w:t>
      </w:r>
      <w:r>
        <w:rPr>
          <w:rFonts w:ascii="Arial" w:hAnsi="Arial"/>
          <w:b w:val="0"/>
          <w:i/>
          <w:sz w:val="19"/>
        </w:rPr>
        <w:t>Alphabet</w:t>
      </w:r>
      <w:r>
        <w:rPr>
          <w:rFonts w:ascii="Arial" w:hAnsi="Arial"/>
          <w:b w:val="0"/>
          <w:i w:val="0"/>
          <w:sz w:val="19"/>
        </w:rPr>
        <w:t xml:space="preserve">-Führungswechsel vom 5. August 2026 einen strukturellen Formatwechsel an der Spitze von </w:t>
      </w:r>
      <w:r>
        <w:rPr>
          <w:rFonts w:ascii="Arial" w:hAnsi="Arial"/>
          <w:b w:val="0"/>
          <w:i/>
          <w:sz w:val="19"/>
        </w:rPr>
        <w:t>Google DeepMind</w:t>
      </w:r>
      <w:r>
        <w:rPr>
          <w:rFonts w:ascii="Arial" w:hAnsi="Arial"/>
          <w:b w:val="0"/>
          <w:i w:val="0"/>
          <w:sz w:val="19"/>
        </w:rPr>
        <w:t xml:space="preserve"> —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(neuer </w:t>
      </w:r>
      <w:r>
        <w:rPr>
          <w:rFonts w:ascii="Arial" w:hAnsi="Arial"/>
          <w:b w:val="0"/>
          <w:i/>
          <w:sz w:val="19"/>
        </w:rPr>
        <w:t>SVP of Google DeepMind</w:t>
      </w:r>
      <w:r>
        <w:rPr>
          <w:rFonts w:ascii="Arial" w:hAnsi="Arial"/>
          <w:b w:val="0"/>
          <w:i w:val="0"/>
          <w:sz w:val="19"/>
        </w:rPr>
        <w:t xml:space="preserve">, Berichtslinie direkt an Sundar Pichai) ab und übernimmt selbst die Rollen </w:t>
      </w:r>
      <w:r>
        <w:rPr>
          <w:rFonts w:ascii="Arial" w:hAnsi="Arial"/>
          <w:b w:val="0"/>
          <w:i/>
          <w:sz w:val="19"/>
        </w:rPr>
        <w:t>Chairman of Google DeepMind</w:t>
      </w:r>
      <w:r>
        <w:rPr>
          <w:rFonts w:ascii="Arial" w:hAnsi="Arial"/>
          <w:b w:val="0"/>
          <w:i w:val="0"/>
          <w:sz w:val="19"/>
        </w:rPr>
        <w:t xml:space="preserve"> und </w:t>
      </w:r>
      <w:r>
        <w:rPr>
          <w:rFonts w:ascii="Arial" w:hAnsi="Arial"/>
          <w:b w:val="0"/>
          <w:i/>
          <w:sz w:val="19"/>
        </w:rPr>
        <w:t>Chief Scientist</w:t>
      </w:r>
      <w:r>
        <w:rPr>
          <w:rFonts w:ascii="Arial" w:hAnsi="Arial"/>
          <w:b w:val="0"/>
          <w:i w:val="0"/>
          <w:sz w:val="19"/>
        </w:rPr>
        <w:t xml:space="preserve"> von </w:t>
      </w:r>
      <w:r>
        <w:rPr>
          <w:rFonts w:ascii="Arial" w:hAnsi="Arial"/>
          <w:b w:val="0"/>
          <w:i/>
          <w:sz w:val="19"/>
        </w:rPr>
        <w:t>Alphabet</w:t>
      </w:r>
      <w:r>
        <w:rPr>
          <w:rFonts w:ascii="Arial" w:hAnsi="Arial"/>
          <w:b w:val="0"/>
          <w:i w:val="0"/>
          <w:sz w:val="19"/>
        </w:rPr>
        <w:t xml:space="preserve"> (Fortführung </w:t>
      </w:r>
      <w:r>
        <w:rPr>
          <w:rFonts w:ascii="Arial" w:hAnsi="Arial"/>
          <w:b w:val="0"/>
          <w:i/>
          <w:sz w:val="19"/>
        </w:rPr>
        <w:t>Isomorphic Labs</w:t>
      </w:r>
      <w:r>
        <w:rPr>
          <w:rFonts w:ascii="Arial" w:hAnsi="Arial"/>
          <w:b w:val="0"/>
          <w:i w:val="0"/>
          <w:sz w:val="19"/>
        </w:rPr>
        <w:t xml:space="preserve">);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mit einem rekursiv-selbstverbessernden KI-Stack für die Beschleunigung wissenschaftlicher Grundlagenforschung (Konjunktivpflicht nach § 4.2 Claude.md, da die Roadmap anbietergestützt referiert wird) — Aufnahme in § 8.2 als Fortschreibung der im Juli 2026 aufgenommenen humanen Talent-Bestands­dimension der Frontier-Renten (Shazeer → OpenAI, Jumper/Adler/Pritzel → Anthropic) mit Rückwirkung auf § 4.5 (bestandsorientierte Umverteilungslogik der Sanders- und OpenAI-Fond-Vorschläge trifft auf strukturell mobilere Marktkapitalisierungs­grundlage) und § 8.3 (Wertschöpfungs- statt Marktkapitalisierungs­anknüpfung als robusterer Zugriffspfad); Neueintrag in § 11.5. Aus Cluster J verdichtet die </w:t>
      </w:r>
      <w:r>
        <w:rPr>
          <w:rFonts w:ascii="Arial" w:hAnsi="Arial"/>
          <w:b w:val="0"/>
          <w:i/>
          <w:sz w:val="19"/>
        </w:rPr>
        <w:t>Unitree-Robotics</w:t>
      </w:r>
      <w:r>
        <w:rPr>
          <w:rFonts w:ascii="Arial" w:hAnsi="Arial"/>
          <w:b w:val="0"/>
          <w:i w:val="0"/>
          <w:sz w:val="19"/>
        </w:rPr>
        <w:t xml:space="preserve">-IPO-Bepreisung vom 6./7. August 2026 am </w:t>
      </w:r>
      <w:r>
        <w:rPr>
          <w:rFonts w:ascii="Arial" w:hAnsi="Arial"/>
          <w:b w:val="0"/>
          <w:i/>
          <w:sz w:val="19"/>
        </w:rPr>
        <w:t>Shanghai STAR Market</w:t>
      </w:r>
      <w:r>
        <w:rPr>
          <w:rFonts w:ascii="Arial" w:hAnsi="Arial"/>
          <w:b w:val="0"/>
          <w:i w:val="0"/>
          <w:sz w:val="19"/>
        </w:rPr>
        <w:t xml:space="preserve"> zu 150,80 Yuan je Aktie (rund 61 Milliarden Yuan / rund 9,04 Milliarden US-Dollar Bewertung; Emissionserlös rund 6,1 Milliarden Yuan; Zeichnung ab 10. August 2026; </w:t>
      </w:r>
      <w:r>
        <w:rPr>
          <w:rFonts w:ascii="Arial" w:hAnsi="Arial"/>
          <w:b w:val="0"/>
          <w:i/>
          <w:sz w:val="19"/>
        </w:rPr>
        <w:t>DeepSeek AI</w:t>
      </w:r>
      <w:r>
        <w:rPr>
          <w:rFonts w:ascii="Arial" w:hAnsi="Arial"/>
          <w:b w:val="0"/>
          <w:i w:val="0"/>
          <w:sz w:val="19"/>
        </w:rPr>
        <w:t xml:space="preserve"> als strategischer Investor mit 20,8 Millionen US-Dollar) einen strukturellen Referenzpunkt zur </w:t>
      </w:r>
      <w:r>
        <w:rPr>
          <w:rFonts w:ascii="Arial" w:hAnsi="Arial"/>
          <w:b w:val="0"/>
          <w:i/>
          <w:sz w:val="19"/>
        </w:rPr>
        <w:t>Tesla-Optimus</w:t>
      </w:r>
      <w:r>
        <w:rPr>
          <w:rFonts w:ascii="Arial" w:hAnsi="Arial"/>
          <w:b w:val="0"/>
          <w:i w:val="0"/>
          <w:sz w:val="19"/>
        </w:rPr>
        <w:t xml:space="preserve">-Fremont-Erstlinie (§ 8.2, Q2-2026-Earnings-Call 22. Juli 2026): Erstmals eine physisch-robotische Kapitalmarktschicht auf der chinesischen Seite der humanoiden Fertigung, erster mainland-gelisteter chinesischer Humanoid-Robotik-Hersteller, mit Konzernumsatz 2025 rund 1,7 Milliarden Yuan und humanoiden Robotern als erstmals größtem Segment (867,8 Millionen Yuan) — Aufnahme in § 8.2 als chinesischer Referenzpunkt zur physisch-robotischen Wertschöpfungs­schicht der Rohstoff-Analogie mit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Bemessungsgrundlage im Physisch-KI-Segment) und § 8.3 (Verhärtung der deutschen Verarbeiter-Rolle im humanoiden Robotik-Sektor); Neueintrag in § 11.5. Version 62.0 (Schnitt 11. August 2026 — Lauf 001 vom 11. August 2026) ergänzt zwei belegbare Neuzugänge im 48-Stunden-Fenster: (a) die am 10. August 2026 vorgestellte strategische Partnerschaft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und </w:t>
      </w:r>
      <w:r>
        <w:rPr>
          <w:rFonts w:ascii="Arial" w:hAnsi="Arial"/>
          <w:b w:val="0"/>
          <w:i/>
          <w:sz w:val="19"/>
        </w:rPr>
        <w:t>GIC</w:t>
      </w:r>
      <w:r>
        <w:rPr>
          <w:rFonts w:ascii="Arial" w:hAnsi="Arial"/>
          <w:b w:val="0"/>
          <w:i w:val="0"/>
          <w:sz w:val="19"/>
        </w:rPr>
        <w:t xml:space="preserve"> mit der Gründung des Infrastruktur-Vehikels </w:t>
      </w:r>
      <w:r>
        <w:rPr>
          <w:rFonts w:ascii="Arial" w:hAnsi="Arial"/>
          <w:b w:val="0"/>
          <w:i/>
          <w:sz w:val="19"/>
        </w:rPr>
        <w:t>Theseus Infrastructure</w:t>
      </w:r>
      <w:r>
        <w:rPr>
          <w:rFonts w:ascii="Arial" w:hAnsi="Arial"/>
          <w:b w:val="0"/>
          <w:i w:val="0"/>
          <w:sz w:val="19"/>
        </w:rPr>
        <w:t xml:space="preserve"> für dedizierte KI-Rechenzentren (US-amerikanischer Erstfokus;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w:t>
      </w:r>
      <w:r>
        <w:rPr>
          <w:rFonts w:ascii="Arial" w:hAnsi="Arial"/>
          <w:b w:val="0"/>
          <w:i/>
          <w:sz w:val="19"/>
        </w:rPr>
        <w:t>Macquarie</w:t>
      </w:r>
      <w:r>
        <w:rPr>
          <w:rFonts w:ascii="Arial" w:hAnsi="Arial"/>
          <w:b w:val="0"/>
          <w:i w:val="0"/>
          <w:sz w:val="19"/>
        </w:rPr>
        <w:t>/</w:t>
      </w:r>
      <w:r>
        <w:rPr>
          <w:rFonts w:ascii="Arial" w:hAnsi="Arial"/>
          <w:b w:val="0"/>
          <w:i/>
          <w:sz w:val="19"/>
        </w:rPr>
        <w:t>GIC</w:t>
      </w:r>
      <w:r>
        <w:rPr>
          <w:rFonts w:ascii="Arial" w:hAnsi="Arial"/>
          <w:b w:val="0"/>
          <w:i w:val="0"/>
          <w:sz w:val="19"/>
        </w:rPr>
        <w:t xml:space="preserve"> als Eigenkapital-Mehrheitsträger; </w:t>
      </w:r>
      <w:r>
        <w:rPr>
          <w:rFonts w:ascii="Arial" w:hAnsi="Arial"/>
          <w:b w:val="0"/>
          <w:i/>
          <w:sz w:val="19"/>
        </w:rPr>
        <w:t>Anthropic</w:t>
      </w:r>
      <w:r>
        <w:rPr>
          <w:rFonts w:ascii="Arial" w:hAnsi="Arial"/>
          <w:b w:val="0"/>
          <w:i w:val="0"/>
          <w:sz w:val="19"/>
        </w:rPr>
        <w:t xml:space="preserve"> verpflichtet sich zur Abdeckung von Aufschlägen auf die Verbraucher-Stromtarife der Host-Regionen; Angaben zu Standorten, Investitionsvolumen, Gigawatt-Kapazität und Zeitplan zum Ankündigungsdatum offen) — Aufnahme in § 8.2 als privatwirtschaftliches Multi-Investor-Vehikel-Modell der KI-Compute-Finanzierungs­schicht mit Rückwirkung auf § 4.5 (bereits realisierte kapitalmarkt­institutionelle Bestandsanknüpfung neben legislativen SWF-Vorschlägen), § 5.4 (privatwirtschaftliche Consumer-Utility-Rate-Schutzklausel als Externalitäten-Kompensation) und § 8.3, Neueintrag in § 11.5 (Konjunktivpflicht nach § 4.2 Claude.md); (b) die am 10. August 2026 eröffnete Retail-Zeichnungsphase der </w:t>
      </w:r>
      <w:r>
        <w:rPr>
          <w:rFonts w:ascii="Arial" w:hAnsi="Arial"/>
          <w:b w:val="0"/>
          <w:i/>
          <w:sz w:val="19"/>
        </w:rPr>
        <w:t>Unitree-Robotics</w:t>
      </w:r>
      <w:r>
        <w:rPr>
          <w:rFonts w:ascii="Arial" w:hAnsi="Arial"/>
          <w:b w:val="0"/>
          <w:i w:val="0"/>
          <w:sz w:val="19"/>
        </w:rPr>
        <w:t>-Shanghai-STAR-Emission mit rund 5.526-fach überzeichnetem Retail-Anteil und rund 9,8 Millionen Einzel-Zeichnungs­aufträgen (Anbieter-/Emittenten-Angaben) — Fortschreibung des bereits mit Version 58.0 / 59.0 in § 8.2 dokumentierten Unitree-Kapitalmarktvorgangs mit Rückwirkung auf § 4.5 (verkürzte Beobachtungsphase für bestandsorientierte Umverteilungslogik im Retail-getriebenen Bewertungsumfeld) und § 8.3 (weitere Verschiebung der Referenzpunkte inländischer Anschlussstellen einer wertschöpfungs­orientierten KI-Nutzungsabgabe in Richtung Anwendungs-Ebene), Neueintrag in § 11.5. Version 64.0 (Schnitt 13. August 2026 — Lauf 001 vom 13. August 2026: Compute-Finanzierungs­schicht um Nvidia-Lancium- und Blackstone-/Apollo-Anthropic-</w:t>
      </w:r>
      <w:r>
        <w:rPr>
          <w:rFonts w:ascii="Arial" w:hAnsi="Arial"/>
          <w:b w:val="0"/>
          <w:i/>
          <w:sz w:val="19"/>
        </w:rPr>
        <w:t>Chip-Lease-SPV</w:t>
      </w:r>
      <w:r>
        <w:rPr>
          <w:rFonts w:ascii="Arial" w:hAnsi="Arial"/>
          <w:b w:val="0"/>
          <w:i w:val="0"/>
          <w:sz w:val="19"/>
        </w:rPr>
        <w:t xml:space="preserve">-Konstruktionen ergänzt, Apple-vs-OpenAI-Injunction/Motion-to-Dismiss-Nachtrag, Salesforce-Layoff-Runde) und Version 63.0 (Schnitt 12. August 2026 — Lauf 001 vom 12. August 2026) ergänzt zwei privatwirtschaftliche Datenpunkte an derselben KI-Compute-Finanzierungs­schicht und einen Nachtrag zur </w:t>
      </w:r>
      <w:r>
        <w:rPr>
          <w:rFonts w:ascii="Arial" w:hAnsi="Arial"/>
          <w:b w:val="0"/>
          <w:i/>
          <w:sz w:val="19"/>
        </w:rPr>
        <w:t>Unitree</w:t>
      </w:r>
      <w:r>
        <w:rPr>
          <w:rFonts w:ascii="Arial" w:hAnsi="Arial"/>
          <w:b w:val="0"/>
          <w:i w:val="0"/>
          <w:sz w:val="19"/>
        </w:rPr>
        <w:t xml:space="preserve">-Retail-Zeichnung: (a) die am 10. August 2026 angekündigte </w:t>
      </w:r>
      <w:r>
        <w:rPr>
          <w:rFonts w:ascii="Arial" w:hAnsi="Arial"/>
          <w:b w:val="0"/>
          <w:i/>
          <w:sz w:val="19"/>
        </w:rPr>
        <w:t>Nvidia</w:t>
      </w:r>
      <w:r>
        <w:rPr>
          <w:rFonts w:ascii="Arial" w:hAnsi="Arial"/>
          <w:b w:val="0"/>
          <w:i w:val="0"/>
          <w:sz w:val="19"/>
        </w:rPr>
        <w:t xml:space="preserve">-Partnerschaft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w:t>
      </w:r>
      <w:r>
        <w:rPr>
          <w:rFonts w:ascii="Arial" w:hAnsi="Arial"/>
          <w:b w:val="0"/>
          <w:i/>
          <w:sz w:val="19"/>
        </w:rPr>
        <w:t>unabhängiger AI-Compute-Infrastructure-Financing-Platforms</w:t>
      </w:r>
      <w:r>
        <w:rPr>
          <w:rFonts w:ascii="Arial" w:hAnsi="Arial"/>
          <w:b w:val="0"/>
          <w:i w:val="0"/>
          <w:sz w:val="19"/>
        </w:rPr>
        <w:t xml:space="preserve"> für die Mobilisierung von </w:t>
      </w:r>
      <w:r>
        <w:rPr>
          <w:rFonts w:ascii="Arial" w:hAnsi="Arial"/>
          <w:b w:val="0"/>
          <w:i/>
          <w:sz w:val="19"/>
        </w:rPr>
        <w:t>über 500 Milliarden US-Dollar Drittkapital</w:t>
      </w:r>
      <w:r>
        <w:rPr>
          <w:rFonts w:ascii="Arial" w:hAnsi="Arial"/>
          <w:b w:val="0"/>
          <w:i w:val="0"/>
          <w:sz w:val="19"/>
        </w:rPr>
        <w:t xml:space="preserve"> auf Basis von </w:t>
      </w:r>
      <w:r>
        <w:rPr>
          <w:rFonts w:ascii="Arial" w:hAnsi="Arial"/>
          <w:b w:val="0"/>
          <w:i/>
          <w:sz w:val="19"/>
        </w:rPr>
        <w:t>Nvidia</w:t>
      </w:r>
      <w:r>
        <w:rPr>
          <w:rFonts w:ascii="Arial" w:hAnsi="Arial"/>
          <w:b w:val="0"/>
          <w:i w:val="0"/>
          <w:sz w:val="19"/>
        </w:rPr>
        <w:t xml:space="preserve">-Hardware (Memoranda of Understanding, unabhängige Vehikel jenseits der </w:t>
      </w:r>
      <w:r>
        <w:rPr>
          <w:rFonts w:ascii="Arial" w:hAnsi="Arial"/>
          <w:b w:val="0"/>
          <w:i/>
          <w:sz w:val="19"/>
        </w:rPr>
        <w:t>Nvidia</w:t>
      </w:r>
      <w:r>
        <w:rPr>
          <w:rFonts w:ascii="Arial" w:hAnsi="Arial"/>
          <w:b w:val="0"/>
          <w:i w:val="0"/>
          <w:sz w:val="19"/>
        </w:rPr>
        <w:t xml:space="preserve">-Bilanz; </w:t>
      </w:r>
      <w:r>
        <w:rPr>
          <w:rFonts w:ascii="Arial" w:hAnsi="Arial"/>
          <w:b w:val="0"/>
          <w:i/>
          <w:sz w:val="19"/>
        </w:rPr>
        <w:t>Jensen Huang</w:t>
      </w:r>
      <w:r>
        <w:rPr>
          <w:rFonts w:ascii="Arial" w:hAnsi="Arial"/>
          <w:b w:val="0"/>
          <w:i w:val="0"/>
          <w:sz w:val="19"/>
        </w:rPr>
        <w:t xml:space="preserve"> rahmt KI-Compute-Infrastruktur öffentlich als </w:t>
      </w:r>
      <w:r>
        <w:rPr>
          <w:rFonts w:ascii="Arial" w:hAnsi="Arial"/>
          <w:b w:val="0"/>
          <w:i/>
          <w:sz w:val="19"/>
        </w:rPr>
        <w:t>investable asset class</w:t>
      </w:r>
      <w:r>
        <w:rPr>
          <w:rFonts w:ascii="Arial" w:hAnsi="Arial"/>
          <w:b w:val="0"/>
          <w:i w:val="0"/>
          <w:sz w:val="19"/>
        </w:rPr>
        <w:t xml:space="preserve">) — Aufnahme in § 8.2 als zweite privatwirtschaftliche Multi-Plattform-Konstruktion binnen 24 Stunden nach </w:t>
      </w:r>
      <w:r>
        <w:rPr>
          <w:rFonts w:ascii="Arial" w:hAnsi="Arial"/>
          <w:b w:val="0"/>
          <w:i/>
          <w:sz w:val="19"/>
        </w:rPr>
        <w:t>Theseus</w:t>
      </w:r>
      <w:r>
        <w:rPr>
          <w:rFonts w:ascii="Arial" w:hAnsi="Arial"/>
          <w:b w:val="0"/>
          <w:i w:val="0"/>
          <w:sz w:val="19"/>
        </w:rPr>
        <w:t xml:space="preserve">, Neueintrag in § 11.5; (b) der am 11. August 2026 geschlossene zwanzigjährige </w:t>
      </w:r>
      <w:r>
        <w:rPr>
          <w:rFonts w:ascii="Arial" w:hAnsi="Arial"/>
          <w:b w:val="0"/>
          <w:i/>
          <w:sz w:val="19"/>
        </w:rPr>
        <w:t>Anthropic</w:t>
      </w:r>
      <w:r>
        <w:rPr>
          <w:rFonts w:ascii="Arial" w:hAnsi="Arial"/>
          <w:b w:val="0"/>
          <w:i w:val="0"/>
          <w:sz w:val="19"/>
        </w:rPr>
        <w:t>/</w:t>
      </w:r>
      <w:r>
        <w:rPr>
          <w:rFonts w:ascii="Arial" w:hAnsi="Arial"/>
          <w:b w:val="0"/>
          <w:i/>
          <w:sz w:val="19"/>
        </w:rPr>
        <w:t>Riot-Platforms</w:t>
      </w:r>
      <w:r>
        <w:rPr>
          <w:rFonts w:ascii="Arial" w:hAnsi="Arial"/>
          <w:b w:val="0"/>
          <w:i w:val="0"/>
          <w:sz w:val="19"/>
        </w:rPr>
        <w:t>-</w:t>
      </w:r>
      <w:r>
        <w:rPr>
          <w:rFonts w:ascii="Arial" w:hAnsi="Arial"/>
          <w:b w:val="0"/>
          <w:i/>
          <w:sz w:val="19"/>
        </w:rPr>
        <w:t>Compute-Nutzungsvertrag</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(Basisvolumen rund 9,1 Milliarden US-Dollar, mit zwei Fünfjahres-Verlängerungsoptionen aufkumulierbar auf 16,1 Milliarden US-Dollar; Ausbaustufe 96 Megawatt bis Ende 2027, Vollausbau bis Juni 2028; </w:t>
      </w:r>
      <w:r>
        <w:rPr>
          <w:rFonts w:ascii="Arial" w:hAnsi="Arial"/>
          <w:b w:val="0"/>
          <w:i/>
          <w:sz w:val="19"/>
        </w:rPr>
        <w:t>Morgan Stanley</w:t>
      </w:r>
      <w:r>
        <w:rPr>
          <w:rFonts w:ascii="Arial" w:hAnsi="Arial"/>
          <w:b w:val="0"/>
          <w:i w:val="0"/>
          <w:sz w:val="19"/>
        </w:rPr>
        <w:t xml:space="preserve">-Finanzierung 573 Millionen US-Dollar) als Umwidmung einer umgewidmeten Bitcoin-Mining-Anlage zur langfristigen KI-Compute-Anlage — Aufnahme in § 8.2 als drittes strukturell verschiedenes, aber logisch verwandtes Muster der KI-Compute-Finanzierungs­schicht, Neueintrag in § 11.5; (c) Nachtrag zum bestehenden </w:t>
      </w:r>
      <w:r>
        <w:rPr>
          <w:rFonts w:ascii="Arial" w:hAnsi="Arial"/>
          <w:b w:val="0"/>
          <w:i/>
          <w:sz w:val="19"/>
        </w:rPr>
        <w:t>Unitree</w:t>
      </w:r>
      <w:r>
        <w:rPr>
          <w:rFonts w:ascii="Arial" w:hAnsi="Arial"/>
          <w:b w:val="0"/>
          <w:i w:val="0"/>
          <w:sz w:val="19"/>
        </w:rPr>
        <w:t xml:space="preserve">-Retail-Zeichnungsvorgang: Bis zum Ende der Zeichnungsphase am 11. August 2026 sei der öffentliche Retail-Anteil auf über das rund 8.000-Fache des zur Zuteilung stehenden Volumens gestiegen (nach </w:t>
      </w:r>
      <w:r>
        <w:rPr>
          <w:rFonts w:ascii="Arial" w:hAnsi="Arial"/>
          <w:b w:val="0"/>
          <w:i/>
          <w:sz w:val="19"/>
        </w:rPr>
        <w:t>Yahoo Finance</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Zuteilungsquote rund 0,018 Prozent, Gesamtemissionsvolumen rund 900 Millionen US-Dollar; Konjunktivpflicht nach § 4.2 Claude.md, Angaben anbieter-/emittentenseitig). Der Lauf am 21. August 2026 (Version 70.0 → 71.0) ergänzt eine explizite Kohorten-Dimension der KI-Wirkung in § 3.5: (a) der </w:t>
      </w:r>
      <w:r>
        <w:rPr>
          <w:rFonts w:ascii="Arial" w:hAnsi="Arial"/>
          <w:b w:val="0"/>
          <w:i/>
          <w:sz w:val="19"/>
        </w:rPr>
        <w:t>Goldman-Sachs</w:t>
      </w:r>
      <w:r>
        <w:rPr>
          <w:rFonts w:ascii="Arial" w:hAnsi="Arial"/>
          <w:b w:val="0"/>
          <w:i w:val="0"/>
          <w:sz w:val="19"/>
        </w:rPr>
        <w:t>-</w:t>
      </w:r>
      <w:r>
        <w:rPr>
          <w:rFonts w:ascii="Arial" w:hAnsi="Arial"/>
          <w:b w:val="0"/>
          <w:i/>
          <w:sz w:val="19"/>
        </w:rPr>
        <w:t>Global-Economics-Comment „Is AI Impacting Global Labor Markets?"</w:t>
      </w:r>
      <w:r>
        <w:rPr>
          <w:rFonts w:ascii="Arial" w:hAnsi="Arial"/>
          <w:b w:val="0"/>
          <w:i w:val="0"/>
          <w:sz w:val="19"/>
        </w:rPr>
        <w:t xml:space="preserve"> vom 19. August 2026 (Briggs/Hatzius et al.) über mehr als 800 Berufe in Industrieländern (Beschäftigungslücke Berufseinsteiger mehr als dreifach gegenüber breitem Arbeitsmarkt; Call-Center-Untertrend USA rund 39 %, Kanada rund 33 %, Deutschland rund 27 %) — Neueintrag in § 11.1; (b) der </w:t>
      </w:r>
      <w:r>
        <w:rPr>
          <w:rFonts w:ascii="Arial" w:hAnsi="Arial"/>
          <w:b w:val="0"/>
          <w:i/>
          <w:sz w:val="19"/>
        </w:rPr>
        <w:t>Bank-of-Korea</w:t>
      </w:r>
      <w:r>
        <w:rPr>
          <w:rFonts w:ascii="Arial" w:hAnsi="Arial"/>
          <w:b w:val="0"/>
          <w:i w:val="0"/>
          <w:sz w:val="19"/>
        </w:rPr>
        <w:t>-Forschungsbeitrag vom 18. August 2026 (Oh Sam-il) zur Kohorte 15–29: rund 268.000 von 285.000 Netto-Jugendbeschäftigungsverlusten in KI-exponierten Sektoren (rund 94 %) bei zugleich rund 173.000 Netto-Zugewinn in KI-nahen Branchen für die Über-50-Jährigen — Neueintrag in § 11.1 mit Rückwirkung auf § 6.1, § 8.3 (Teilhabefrage) und § 8.4 (Systemstabilität).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71.0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