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23.0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Eine Tagesfortschreibung der Tracker zum 26. Juni 2026 zeigt eine weitere Beschleunigung: </w:t>
      </w:r>
      <w:r>
        <w:rPr>
          <w:rFonts w:ascii="Arial" w:hAnsi="Arial"/>
          <w:b w:val="0"/>
          <w:i/>
          <w:sz w:val="19"/>
        </w:rPr>
        <w:t>TrueUp</w:t>
      </w:r>
      <w:r>
        <w:rPr>
          <w:rFonts w:ascii="Arial" w:hAnsi="Arial"/>
          <w:b w:val="0"/>
          <w:i w:val="0"/>
          <w:sz w:val="19"/>
        </w:rPr>
        <w:t xml:space="preserve"> weist nun rund 157.800 bis 159.700 betroffene Personen aus etwa 420 Layoff-Meldungen für 2026 aus (im Mittel rund 890 Stellen pro Tag) und projiziert ein Gesamtjahresvolumen von rund 370.000 Tech-Stellenstreichungen — das Doppelte des Vorjahresniveaus; eine alternative Tracker-Aggregation (eWeek/SkillSyncer) summiert zum selben Stichtag 185.894 betroffene Beschäftigte aus 267 Ereignissen (rund 1.050 Stellen pro Tag), wobei 56 % aller Events Künstliche Intelligenz, Automatisierung oder maschinelles Lernen explizit als treibendes Motiv nennen — entsprechend 156.270 Beschäftigten in 150 Unternehmen. Der Anstieg gegenüber dem letzten dokumentierten Tagesstand vom 8. Mai 2026 (127.411 / 283 / 1.003 pro Tag) verteilt sich auf eine kontinuierliche Folge von Einzelmeldungen — darunter die Konkretisierung des </w:t>
      </w:r>
      <w:r>
        <w:rPr>
          <w:rFonts w:ascii="Arial" w:hAnsi="Arial"/>
          <w:b w:val="0"/>
          <w:i/>
          <w:sz w:val="19"/>
        </w:rPr>
        <w:t>Cognizant</w:t>
      </w:r>
      <w:r>
        <w:rPr>
          <w:rFonts w:ascii="Arial" w:hAnsi="Arial"/>
          <w:b w:val="0"/>
          <w:i w:val="0"/>
          <w:sz w:val="19"/>
        </w:rPr>
        <w:t xml:space="preserve">-Programms </w:t>
      </w:r>
      <w:r>
        <w:rPr>
          <w:rFonts w:ascii="Arial" w:hAnsi="Arial"/>
          <w:b w:val="0"/>
          <w:i/>
          <w:sz w:val="19"/>
        </w:rPr>
        <w:t>Project Leap</w:t>
      </w:r>
      <w:r>
        <w:rPr>
          <w:rFonts w:ascii="Arial" w:hAnsi="Arial"/>
          <w:b w:val="0"/>
          <w:i w:val="0"/>
          <w:sz w:val="19"/>
        </w:rPr>
        <w:t xml:space="preserve"> (eingangs auf rund 4.000 Stellen bestätigt; mittlerweile in der indischen Berichterstattung mit einer Spannweite von 7.000 bis 15.000 globalen Streichungen geführt, davon der Großteil bei den rund 256.900 indischen Beschäftigten von insgesamt 357.600 weltweit) sowie auf zusätzliche AI-bezogene Wellen bei Robinhood, Walmart, Lucid, Nike und Groupon im Mai/Juni 2026. Parallel hat der </w:t>
      </w:r>
      <w:r>
        <w:rPr>
          <w:rFonts w:ascii="Arial" w:hAnsi="Arial"/>
          <w:b w:val="0"/>
          <w:i/>
          <w:sz w:val="19"/>
        </w:rPr>
        <w:t>Microsoft</w:t>
      </w:r>
      <w:r>
        <w:rPr>
          <w:rFonts w:ascii="Arial" w:hAnsi="Arial"/>
          <w:b w:val="0"/>
          <w:i w:val="0"/>
          <w:sz w:val="19"/>
        </w:rPr>
        <w:t xml:space="preserve">-VRSAR-Pfad seinen am 7. Mai 2026 publizierten Zeitplan eingehalten: Annahmefrist 8. Juni 2026, VRSAR-Unterzeichnung 9. bis 22. Juni 2026; die </w:t>
      </w:r>
      <w:r>
        <w:rPr>
          <w:rFonts w:ascii="Arial" w:hAnsi="Arial"/>
          <w:b w:val="0"/>
          <w:i/>
          <w:sz w:val="19"/>
        </w:rPr>
        <w:t>Separation Date</w:t>
      </w:r>
      <w:r>
        <w:rPr>
          <w:rFonts w:ascii="Arial" w:hAnsi="Arial"/>
          <w:b w:val="0"/>
          <w:i w:val="0"/>
          <w:sz w:val="19"/>
        </w:rPr>
        <w:t xml:space="preserve"> fällt regulär auf den 2. Juli 2026.</w:t>
      </w:r>
    </w:p>
    <w:p>
      <w:pPr>
        <w:jc w:val="both"/>
      </w:pPr>
      <w:r>
        <w:rPr>
          <w:rFonts w:ascii="Arial" w:hAnsi="Arial"/>
          <w:b w:val="0"/>
          <w:i w:val="0"/>
          <w:sz w:val="19"/>
        </w:rPr>
        <w:t xml:space="preserve">Auf der Adoptionsseite hat das </w:t>
      </w:r>
      <w:r>
        <w:rPr>
          <w:rFonts w:ascii="Arial" w:hAnsi="Arial"/>
          <w:b w:val="0"/>
          <w:i/>
          <w:sz w:val="19"/>
        </w:rPr>
        <w:t>Institut für Arbeitsmarkt- und Berufsforschung</w:t>
      </w:r>
      <w:r>
        <w:rPr>
          <w:rFonts w:ascii="Arial" w:hAnsi="Arial"/>
          <w:b w:val="0"/>
          <w:i w:val="0"/>
          <w:sz w:val="19"/>
        </w:rPr>
        <w:t xml:space="preserve"> (IAB) im Juni 2026 mit dem </w:t>
      </w:r>
      <w:r>
        <w:rPr>
          <w:rFonts w:ascii="Arial" w:hAnsi="Arial"/>
          <w:b w:val="0"/>
          <w:i/>
          <w:sz w:val="19"/>
        </w:rPr>
        <w:t>IAB-Kurzbericht 08/2026</w:t>
      </w:r>
      <w:r>
        <w:rPr>
          <w:rFonts w:ascii="Arial" w:hAnsi="Arial"/>
          <w:b w:val="0"/>
          <w:i w:val="0"/>
          <w:sz w:val="19"/>
        </w:rPr>
        <w:t xml:space="preserve"> (Friedrich und Kagerl, </w:t>
      </w:r>
      <w:r>
        <w:rPr>
          <w:rFonts w:ascii="Arial" w:hAnsi="Arial"/>
          <w:b w:val="0"/>
          <w:i/>
          <w:sz w:val="19"/>
        </w:rPr>
        <w:t>„Künstliche Intelligenz in deutschen Betrieben: Jeder vierte Betrieb nutzt mittlerweile generative KI"</w:t>
      </w:r>
      <w:r>
        <w:rPr>
          <w:rFonts w:ascii="Arial" w:hAnsi="Arial"/>
          <w:b w:val="0"/>
          <w:i w:val="0"/>
          <w:sz w:val="19"/>
        </w:rPr>
        <w:t xml:space="preserve">) erstmals eine belastbare Betriebsperspektive für Deutschland vorgelegt: Der Anteil der Betriebe, die generative KI nutzen, ist binnen zwei Jahren von rund 5 % (2023) auf rund 25 % (2025) gestiegen — eine annähernd fünffache Steigerung — weitere 9 % der Betriebe planen einen Einsatz. Die Adoptionsspreizung ist deutlich: In Betrieben mit 200 und mehr Beschäftigten liegt der Nutzungsanteil bei 48 %, bei Betrieben mit weniger als zehn Beschäftigten bei 21 %. Im Sektor Information und Kommunikation berichten 59 % der Betriebe von generativer KI-Nutzung. Diese Werte ordnen die in § 3.5 referierten </w:t>
      </w:r>
      <w:r>
        <w:rPr>
          <w:rFonts w:ascii="Arial" w:hAnsi="Arial"/>
          <w:b w:val="0"/>
          <w:i/>
          <w:sz w:val="19"/>
        </w:rPr>
        <w:t>Anthropic-Economic-Index</w:t>
      </w:r>
      <w:r>
        <w:rPr>
          <w:rFonts w:ascii="Arial" w:hAnsi="Arial"/>
          <w:b w:val="0"/>
          <w:i w:val="0"/>
          <w:sz w:val="19"/>
        </w:rPr>
        <w:t>-Befunde (Adoptionsbreite, theoretische vs. beobachtete Exposition) für den deutschen Betriebssektor erstmals empirisch ein und stützen die in § 8 entwickelte Linie, wonach die fiskalische Anknüpfung mittelfristig auf eine breit angelegte und nicht auf eine punktuelle Verdrängungsmessung zu setzen ist. 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Acemoglu, Gitmez &amp; Shadmehr (Juni 2026):</w:t>
      </w:r>
      <w:r>
        <w:rPr>
          <w:rFonts w:ascii="Arial" w:hAnsi="Arial"/>
          <w:b w:val="0"/>
          <w:i w:val="0"/>
          <w:sz w:val="19"/>
        </w:rPr>
        <w:t xml:space="preserve"> Daron Acemoglu, A. Arda Gitmez und Mehdi Shadmehr eröffnen mit </w:t>
      </w:r>
      <w:r>
        <w:rPr>
          <w:rFonts w:ascii="Arial" w:hAnsi="Arial"/>
          <w:b w:val="0"/>
          <w:i/>
          <w:sz w:val="19"/>
        </w:rPr>
        <w:t>„Automation and Repression"</w:t>
      </w:r>
      <w:r>
        <w:rPr>
          <w:rFonts w:ascii="Arial" w:hAnsi="Arial"/>
          <w:b w:val="0"/>
          <w:i w:val="0"/>
          <w:sz w:val="19"/>
        </w:rPr>
        <w:t xml:space="preserve"> (NBER Working Paper 35336, Juni 2026) eine neue politische-ökonomische Argumentationslinie. Sie modellieren ein Umfeld, in dem Beschäftigte gegen wachsende Ungleichheit aus dezentralen Automatisierungsentscheidungen revoltieren können; ein kapitalistischer Staat wählt daraufhin tendenziell </w:t>
      </w:r>
      <w:r>
        <w:rPr>
          <w:rFonts w:ascii="Arial" w:hAnsi="Arial"/>
          <w:b w:val="0"/>
          <w:i/>
          <w:sz w:val="19"/>
        </w:rPr>
        <w:t>Repression</w:t>
      </w:r>
      <w:r>
        <w:rPr>
          <w:rFonts w:ascii="Arial" w:hAnsi="Arial"/>
          <w:b w:val="0"/>
          <w:i w:val="0"/>
          <w:sz w:val="19"/>
        </w:rPr>
        <w:t xml:space="preserve"> statt </w:t>
      </w:r>
      <w:r>
        <w:rPr>
          <w:rFonts w:ascii="Arial" w:hAnsi="Arial"/>
          <w:b w:val="0"/>
          <w:i/>
          <w:sz w:val="19"/>
        </w:rPr>
        <w:t>Regulation</w:t>
      </w:r>
      <w:r>
        <w:rPr>
          <w:rFonts w:ascii="Arial" w:hAnsi="Arial"/>
          <w:b w:val="0"/>
          <w:i w:val="0"/>
          <w:sz w:val="19"/>
        </w:rPr>
        <w:t xml:space="preserve"> oder </w:t>
      </w:r>
      <w:r>
        <w:rPr>
          <w:rFonts w:ascii="Arial" w:hAnsi="Arial"/>
          <w:b w:val="0"/>
          <w:i/>
          <w:sz w:val="19"/>
        </w:rPr>
        <w:t>Umverteilung</w:t>
      </w:r>
      <w:r>
        <w:rPr>
          <w:rFonts w:ascii="Arial" w:hAnsi="Arial"/>
          <w:b w:val="0"/>
          <w:i w:val="0"/>
          <w:sz w:val="19"/>
        </w:rPr>
        <w:t xml:space="preserve">, um zusätzliche Automatisierungsspielräume zu sichern. Die Autoren leiten eine </w:t>
      </w:r>
      <w:r>
        <w:rPr>
          <w:rFonts w:ascii="Arial" w:hAnsi="Arial"/>
          <w:b w:val="0"/>
          <w:i/>
          <w:sz w:val="19"/>
        </w:rPr>
        <w:t>Komplementarität zwischen Automatisierung und Repression</w:t>
      </w:r>
      <w:r>
        <w:rPr>
          <w:rFonts w:ascii="Arial" w:hAnsi="Arial"/>
          <w:b w:val="0"/>
          <w:i w:val="0"/>
          <w:sz w:val="19"/>
        </w:rPr>
        <w:t xml:space="preserve"> her: Kapitalakkumulation treibt beide Größen simultan; Demokratien können sich über diesen Mechanismus in autoritäre Konfigurationen verschieben. Für die hier geführte Steuerdebatte ist das Modell relevant, weil es das in § 8.4 entwickelte Stabilitäts­argument modelltheoretisch unterfüttert: Eine fehlende fiskal- und sozialpolitische Federung verschiebt das Gleichgewicht nicht in einen produktiven Zwischen­zustand, sondern erhöht die politische Kostenrendite repressiver Strategien. Die Arbeit ergänzt damit die in §§ 3.1 bis 3.3 referierte Optimalsteuer-Linie um eine ordnungs­politische Dimension, in der Steuerinstrumente nicht nur als Wohlfahrts- sondern auch als Stabilitäts­regulatoren gelesen werden.</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Der von Anthropic am 10. Juni 2026 publizierte Folgebericht </w:t>
      </w:r>
      <w:r>
        <w:rPr>
          <w:rFonts w:ascii="Arial" w:hAnsi="Arial"/>
          <w:b w:val="0"/>
          <w:i/>
          <w:sz w:val="19"/>
        </w:rPr>
        <w:t>„Anthropic Economic Index — Cadences"</w:t>
      </w:r>
      <w:r>
        <w:rPr>
          <w:rFonts w:ascii="Arial" w:hAnsi="Arial"/>
          <w:b w:val="0"/>
          <w:i w:val="0"/>
          <w:sz w:val="19"/>
        </w:rPr>
        <w:t xml:space="preserve"> führt die Index-Reihe um zwei zusätzliche Befunde fort: Erstens binden Aufgaben, die höher entlohnten Berufsgruppen zugeordnet sind, im Mittel bis zu 2,07-mal so viele Token wie Aufgaben aus niedrig entlohnten Berufen — die Intensität der KI-Nutzung skaliert also messbar mit dem Wertschöpfungsgehalt der ausgelagerten Tätigkeit. Zweitens münden 93 % aller protokollierten Konversationen in ein konkretes Ergebnis (Code, Dokument, Erklärung), was die in § 3.3 angesprochene Augmentations-/Substitutions-Trennung empirisch unterfüttert. Eine parallel publizierte Auswertung des im April 2026 gestarteten </w:t>
      </w:r>
      <w:r>
        <w:rPr>
          <w:rFonts w:ascii="Arial" w:hAnsi="Arial"/>
          <w:b w:val="0"/>
          <w:i/>
          <w:sz w:val="19"/>
        </w:rPr>
        <w:t>Anthropic Economic Index Survey</w:t>
      </w:r>
      <w:r>
        <w:rPr>
          <w:rFonts w:ascii="Arial" w:hAnsi="Arial"/>
          <w:b w:val="0"/>
          <w:i w:val="0"/>
          <w:sz w:val="19"/>
        </w:rPr>
        <w:t xml:space="preserve"> mit rund 9.700 Antworten verknüpft Selbstberichte mit Nutzungsdaten aus dem Zeitfenster Mitte Mai bis Anfang Juni 2026 (datenschutzwahrende Verknüpfung) und findet höhere Arbeitszufriedenheit, höhere Lohn- und Job-Sicherheits-Erwartungen für die nächsten zwölf Monate bei genau jenen Befragten, die stark delegieren — gespiegelt jedoch durch die in § 3.5 weiter oben referierte </w:t>
      </w:r>
      <w:r>
        <w:rPr>
          <w:rFonts w:ascii="Arial" w:hAnsi="Arial"/>
          <w:b w:val="0"/>
          <w:i/>
          <w:sz w:val="19"/>
        </w:rPr>
        <w:t>Produktivitäts-Angst-Paradoxie</w:t>
      </w:r>
      <w:r>
        <w:rPr>
          <w:rFonts w:ascii="Arial" w:hAnsi="Arial"/>
          <w:b w:val="0"/>
          <w:i w:val="0"/>
          <w:sz w:val="19"/>
        </w:rPr>
        <w:t xml:space="preserve"> in der 81k-Befragung vom April 2026, was den Befund auf eine </w:t>
      </w:r>
      <w:r>
        <w:rPr>
          <w:rFonts w:ascii="Arial" w:hAnsi="Arial"/>
          <w:b w:val="0"/>
          <w:i/>
          <w:sz w:val="19"/>
        </w:rPr>
        <w:t>Selektion durch Adoption</w:t>
      </w:r>
      <w:r>
        <w:rPr>
          <w:rFonts w:ascii="Arial" w:hAnsi="Arial"/>
          <w:b w:val="0"/>
          <w:i w:val="0"/>
          <w:sz w:val="19"/>
        </w:rPr>
        <w:t xml:space="preserve"> (wer profitiert, delegiert weiter) verweist.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Nach mehrmonatigem Stillstand haben die Ko-Gesetzgeber am 7. Mai 2026 eine </w:t>
      </w:r>
      <w:r>
        <w:rPr>
          <w:rFonts w:ascii="Arial" w:hAnsi="Arial"/>
          <w:b w:val="0"/>
          <w:i/>
          <w:sz w:val="19"/>
        </w:rPr>
        <w:t>provisorische Trilog-Einigung</w:t>
      </w:r>
      <w:r>
        <w:rPr>
          <w:rFonts w:ascii="Arial" w:hAnsi="Arial"/>
          <w:b w:val="0"/>
          <w:i w:val="0"/>
          <w:sz w:val="19"/>
        </w:rPr>
        <w:t xml:space="preserve"> zum </w:t>
      </w:r>
      <w:r>
        <w:rPr>
          <w:rFonts w:ascii="Arial" w:hAnsi="Arial"/>
          <w:b w:val="0"/>
          <w:i/>
          <w:sz w:val="19"/>
        </w:rPr>
        <w:t>Digital Omnibus on AI</w:t>
      </w:r>
      <w:r>
        <w:rPr>
          <w:rFonts w:ascii="Arial" w:hAnsi="Arial"/>
          <w:b w:val="0"/>
          <w:i w:val="0"/>
          <w:sz w:val="19"/>
        </w:rPr>
        <w:t xml:space="preserve"> erzielt; das Europäische Parlament hat am 16. Juni 2026 in der Plenartagung die in den Trilog-Verhandlungen erreichte Fassung förmlich bestätigt. Damit verbleibt für das vollständige Inkrafttreten allein die förmliche Annahme im Rat und die Veröffentlichung im </w:t>
      </w:r>
      <w:r>
        <w:rPr>
          <w:rFonts w:ascii="Arial" w:hAnsi="Arial"/>
          <w:b w:val="0"/>
          <w:i/>
          <w:sz w:val="19"/>
        </w:rPr>
        <w:t>Amtsblatt der Europäischen Union</w:t>
      </w:r>
      <w:r>
        <w:rPr>
          <w:rFonts w:ascii="Arial" w:hAnsi="Arial"/>
          <w:b w:val="0"/>
          <w:i w:val="0"/>
          <w:sz w:val="19"/>
        </w:rPr>
        <w:t>, die nach übereinstimmenden Beobachtern (A&amp;O Shearman, Bird &amp; Bird, IAPP) bis Ende Juli 2026 vor Ablauf des Stichtags 2. August 2026 erfolgen dürfte. Die zypriotische Ratspräsidentschaft hat den Abschluss des Dossiers vor Ablauf ihrer Amtszeit am 30. Juni 2026 als prioritäres Ziel benannt. Inhaltlich bleiben die in der Plenarposition vom 23. März 2026 angelegten Achsen erhalten — Verschiebung der Hochrisiko-Pflichten nach Anhang III auf den 2. Dezember 2027 und nach Anhang I auf den 2. August 2028, gestreckte Kennzeichnungspflicht für KI-generierte Inhalte (Art. 50) bis zum 2. November 2026, unveränderte GPAI-Durchsetzungsbefugnisse zum 2. August 2026 — sodass die in § 4.3 weiter oben skizzierte zeitliche Architektur als bestätigt gelten kann.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Die Aussicht auf Annahme des Entwurfs in einem republikanisch geführten Kongress gilt als gering; als Signalgebung ist er jedoch der bislang konkreteste politische Vorstoß auf US-Bundesebene.</w:t>
      </w:r>
    </w:p>
    <w:p>
      <w:pPr>
        <w:jc w:val="both"/>
      </w:pPr>
      <w:r>
        <w:rPr>
          <w:rFonts w:ascii="Arial" w:hAnsi="Arial"/>
          <w:b/>
          <w:i w:val="0"/>
          <w:sz w:val="19"/>
        </w:rPr>
        <w:t>Sanders *American AI Sovereign Wealth Fund Act* (18. Juni 2026):</w:t>
      </w:r>
      <w:r>
        <w:rPr>
          <w:rFonts w:ascii="Arial" w:hAnsi="Arial"/>
          <w:b w:val="0"/>
          <w:i w:val="0"/>
          <w:sz w:val="19"/>
        </w:rPr>
        <w:t xml:space="preserve"> Mit dem am 18. Juni 2026 in den Senat eingebrachten </w:t>
      </w:r>
      <w:r>
        <w:rPr>
          <w:rFonts w:ascii="Arial" w:hAnsi="Arial"/>
          <w:b w:val="0"/>
          <w:i/>
          <w:sz w:val="19"/>
        </w:rPr>
        <w:t>American AI Sovereign Wealth Fund Act</w:t>
      </w:r>
      <w:r>
        <w:rPr>
          <w:rFonts w:ascii="Arial" w:hAnsi="Arial"/>
          <w:b w:val="0"/>
          <w:i w:val="0"/>
          <w:sz w:val="19"/>
        </w:rPr>
        <w:t xml:space="preserve"> legt Sanders einen vollständig ausgearbeiteten Vorschlag für eine staatliche Beteiligungsstruktur an der KI-Wertschöpfung vor. Er sieht eine einmalige Abgabe in Höhe von 50 % der Eigenkapital­anteile (statt in bar in Aktien) auf alle US-Unternehmen mit einem KI-Jahresumsatz von mindestens 200 Millionen US-Dollar vor — ausdrücklich umfasst sind nicht nur Modellanbieter (etwa OpenAI, Anthropic, xAI), sondern auch Rechenzentrumsbetreiber, KI-Compute-Infrastruktur, KI-Dienste sowie fortgeschrittene Robotik. Aus den eingezogenen Anteilen entstünde ein staatlicher </w:t>
      </w:r>
      <w:r>
        <w:rPr>
          <w:rFonts w:ascii="Arial" w:hAnsi="Arial"/>
          <w:b w:val="0"/>
          <w:i/>
          <w:sz w:val="19"/>
        </w:rPr>
        <w:t>Sovereign Wealth Fund</w:t>
      </w:r>
      <w:r>
        <w:rPr>
          <w:rFonts w:ascii="Arial" w:hAnsi="Arial"/>
          <w:b w:val="0"/>
          <w:i w:val="0"/>
          <w:sz w:val="19"/>
        </w:rPr>
        <w:t xml:space="preserve"> mit einem geschätzten Volumen von rund 7 Billionen US-Dollar, der eine jährliche Dividende von 5 % an alle Amerikaner ausschütten würde — bei aktuellen Bewertungen rund 1.000 US-Dollar pro Person und Jahr. Die Verwaltung soll eine </w:t>
      </w:r>
      <w:r>
        <w:rPr>
          <w:rFonts w:ascii="Arial" w:hAnsi="Arial"/>
          <w:b w:val="0"/>
          <w:i/>
          <w:sz w:val="19"/>
        </w:rPr>
        <w:t>Independent Commission for Democratic AI</w:t>
      </w:r>
      <w:r>
        <w:rPr>
          <w:rFonts w:ascii="Arial" w:hAnsi="Arial"/>
          <w:b w:val="0"/>
          <w:i w:val="0"/>
          <w:sz w:val="19"/>
        </w:rPr>
        <w:t xml:space="preserve"> mit sieben präsidial nominierten und vom Senat bestätigten Kommissarinnen und Kommissaren übernehmen; der Fonds soll seine Stimmrechte aktiv ausüben, um Entscheidungen mit Schaden für die Allgemeinheit zu blockieren und gemeinwohlorientierte Politiken zu fördern. Sanders begründet den Vorschlag in einem Begleit-Op-Ed </w:t>
      </w:r>
      <w:r>
        <w:rPr>
          <w:rFonts w:ascii="Arial" w:hAnsi="Arial"/>
          <w:b w:val="0"/>
          <w:i/>
          <w:sz w:val="19"/>
        </w:rPr>
        <w:t>„The Public Should Own Half of the Big A.I. Companies"</w:t>
      </w:r>
      <w:r>
        <w:rPr>
          <w:rFonts w:ascii="Arial" w:hAnsi="Arial"/>
          <w:b w:val="0"/>
          <w:i w:val="0"/>
          <w:sz w:val="19"/>
        </w:rPr>
        <w:t xml:space="preserve"> mit dem Argument, KI sei „auf dem kollektiven Wissen der Menschheit" gebaut und ihre Renditen müssten daher der Allgemeinheit zukommen; als Referenzmodelle nennt er den norwegischen Staatsfonds und den </w:t>
      </w:r>
      <w:r>
        <w:rPr>
          <w:rFonts w:ascii="Arial" w:hAnsi="Arial"/>
          <w:b w:val="0"/>
          <w:i/>
          <w:sz w:val="19"/>
        </w:rPr>
        <w:t>Alaska Permanent Fund</w:t>
      </w:r>
      <w:r>
        <w:rPr>
          <w:rFonts w:ascii="Arial" w:hAnsi="Arial"/>
          <w:b w:val="0"/>
          <w:i w:val="0"/>
          <w:sz w:val="19"/>
        </w:rPr>
        <w:t xml:space="preserve">. Senatorin Elizabeth Warren hat parallel eine Verbrauchsteuer auf den Energieeinsatz von Rechenzentren vorgeschlagen; weitere Stimmen aus dem demokratischen Lager fordern eine </w:t>
      </w:r>
      <w:r>
        <w:rPr>
          <w:rFonts w:ascii="Arial" w:hAnsi="Arial"/>
          <w:b w:val="0"/>
          <w:i/>
          <w:sz w:val="19"/>
        </w:rPr>
        <w:t>AI Token Tax</w:t>
      </w:r>
      <w:r>
        <w:rPr>
          <w:rFonts w:ascii="Arial" w:hAnsi="Arial"/>
          <w:b w:val="0"/>
          <w:i w:val="0"/>
          <w:sz w:val="19"/>
        </w:rPr>
        <w:t xml:space="preserve"> mit ähnlicher Wirkung. Die politischen Aussichten auf eine Verabschiedung im 119. Kongress sind gering — kritische Kommentare aus dem libertären (</w:t>
      </w:r>
      <w:r>
        <w:rPr>
          <w:rFonts w:ascii="Arial" w:hAnsi="Arial"/>
          <w:b w:val="0"/>
          <w:i/>
          <w:sz w:val="19"/>
        </w:rPr>
        <w:t>Reason</w:t>
      </w:r>
      <w:r>
        <w:rPr>
          <w:rFonts w:ascii="Arial" w:hAnsi="Arial"/>
          <w:b w:val="0"/>
          <w:i w:val="0"/>
          <w:sz w:val="19"/>
        </w:rPr>
        <w:t>) und konservativen (</w:t>
      </w:r>
      <w:r>
        <w:rPr>
          <w:rFonts w:ascii="Arial" w:hAnsi="Arial"/>
          <w:b w:val="0"/>
          <w:i/>
          <w:sz w:val="19"/>
        </w:rPr>
        <w:t>American Enterprise Institute</w:t>
      </w:r>
      <w:r>
        <w:rPr>
          <w:rFonts w:ascii="Arial" w:hAnsi="Arial"/>
          <w:b w:val="0"/>
          <w:i w:val="0"/>
          <w:sz w:val="19"/>
        </w:rPr>
        <w:t>) Spektrum sprechen von einem nicht praktikablen Eingriff; einzelne Berichte (</w:t>
      </w:r>
      <w:r>
        <w:rPr>
          <w:rFonts w:ascii="Arial" w:hAnsi="Arial"/>
          <w:b w:val="0"/>
          <w:i/>
          <w:sz w:val="19"/>
        </w:rPr>
        <w:t>Fortune</w:t>
      </w:r>
      <w:r>
        <w:rPr>
          <w:rFonts w:ascii="Arial" w:hAnsi="Arial"/>
          <w:b w:val="0"/>
          <w:i w:val="0"/>
          <w:sz w:val="19"/>
        </w:rPr>
        <w:t xml:space="preserve"> vom 3. Juni 2026, </w:t>
      </w:r>
      <w:r>
        <w:rPr>
          <w:rFonts w:ascii="Arial" w:hAnsi="Arial"/>
          <w:b w:val="0"/>
          <w:i/>
          <w:sz w:val="19"/>
        </w:rPr>
        <w:t>Tom's Hardware</w:t>
      </w:r>
      <w:r>
        <w:rPr>
          <w:rFonts w:ascii="Arial" w:hAnsi="Arial"/>
          <w:b w:val="0"/>
          <w:i w:val="0"/>
          <w:sz w:val="19"/>
        </w:rPr>
        <w:t xml:space="preserve">) verweisen jedoch auf vereinzelte zustimmende Stimmen aus dem Umfeld der Trump-Administration zu einer öffentlichen Beteiligung am KI-Wachstum. Für die hier geführte Steuerdebatte ist der Entwurf in dreifacher Hinsicht bemerkenswert: Erstens überführt er die in der Optimalsteuer-Literatur und im OpenAI-Strategiepapier diskutierten </w:t>
      </w:r>
      <w:r>
        <w:rPr>
          <w:rFonts w:ascii="Arial" w:hAnsi="Arial"/>
          <w:b w:val="0"/>
          <w:i/>
          <w:sz w:val="19"/>
        </w:rPr>
        <w:t>Staatsfonds-</w:t>
      </w:r>
      <w:r>
        <w:rPr>
          <w:rFonts w:ascii="Arial" w:hAnsi="Arial"/>
          <w:b w:val="0"/>
          <w:i w:val="0"/>
          <w:sz w:val="19"/>
        </w:rPr>
        <w:t xml:space="preserve"> und </w:t>
      </w:r>
      <w:r>
        <w:rPr>
          <w:rFonts w:ascii="Arial" w:hAnsi="Arial"/>
          <w:b w:val="0"/>
          <w:i/>
          <w:sz w:val="19"/>
        </w:rPr>
        <w:t>Equity-Beteiligungs-Ideen</w:t>
      </w:r>
      <w:r>
        <w:rPr>
          <w:rFonts w:ascii="Arial" w:hAnsi="Arial"/>
          <w:b w:val="0"/>
          <w:i w:val="0"/>
          <w:sz w:val="19"/>
        </w:rPr>
        <w:t xml:space="preserve"> (§ 5.4, § 8.3) erstmals in einen ausformulierten Gesetzestext mit konkretem Schwellenwert (200 Millionen US-Dollar KI-Umsatz) und konkreter Beteiligungsquote (50 %). Zweitens adressiert er die in § 9.1 als zentrale Schwierigkeit identifizierte Abgrenzung — KI vs. Nicht-KI-Geschäft —, indem er Konzerne mit gemischtem Geschäft zu einer Aufspaltung mit isolierter 50%-Beteiligung am KI-Teil verpflichtet. Drittens stellt er — im Gegensatz zu Sanders' Robotersteuer-Vorschlag aus Oktober 2025 — nicht auf laufende Verdrängungs­besteuerung, sondern auf </w:t>
      </w:r>
      <w:r>
        <w:rPr>
          <w:rFonts w:ascii="Arial" w:hAnsi="Arial"/>
          <w:b w:val="0"/>
          <w:i/>
          <w:sz w:val="19"/>
        </w:rPr>
        <w:t>einmalige Equity-Abschöpfung</w:t>
      </w:r>
      <w:r>
        <w:rPr>
          <w:rFonts w:ascii="Arial" w:hAnsi="Arial"/>
          <w:b w:val="0"/>
          <w:i w:val="0"/>
          <w:sz w:val="19"/>
        </w:rPr>
        <w:t xml:space="preserve"> zum Zeitpunkt des Marktwerts der KI-Unternehmen ab; das verschiebt das politische Argument von einer „Strafsteuer auf Automatisierung" zu einer „Bürgerbeteiligung an der nächsten Wertschöpfungsschicht" — und ist damit konzeptionell näher an der in Kapitel 8 entwickelten Teilhabe-Logik der Deutschland-These als an einer klassischen Robotersteuer. Die rechtliche Belastbarkeit (Vereinbarkeit mit Art. V Amendment / </w:t>
      </w:r>
      <w:r>
        <w:rPr>
          <w:rFonts w:ascii="Arial" w:hAnsi="Arial"/>
          <w:b w:val="0"/>
          <w:i/>
          <w:sz w:val="19"/>
        </w:rPr>
        <w:t>Takings Clause</w:t>
      </w:r>
      <w:r>
        <w:rPr>
          <w:rFonts w:ascii="Arial" w:hAnsi="Arial"/>
          <w:b w:val="0"/>
          <w:i w:val="0"/>
          <w:sz w:val="19"/>
        </w:rPr>
        <w:t>, Wettbewerbsfähigkeitsfolgen bei Sitzverlagerungen) wird in den Folge-Wochen vermutlich Schwerpunkt der juristischen Diskussion sein.</w:t>
      </w:r>
    </w:p>
    <w:p>
      <w:pPr>
        <w:jc w:val="both"/>
      </w:pPr>
      <w:r>
        <w:rPr>
          <w:rFonts w:ascii="Arial" w:hAnsi="Arial"/>
          <w:b/>
          <w:i w:val="0"/>
          <w:sz w:val="19"/>
        </w:rPr>
        <w:t>Anthropic *Economic Policy Framework* und *Policy on the AI Exponential* (10. Juni 2026):</w:t>
      </w:r>
      <w:r>
        <w:rPr>
          <w:rFonts w:ascii="Arial" w:hAnsi="Arial"/>
          <w:b w:val="0"/>
          <w:i w:val="0"/>
          <w:sz w:val="19"/>
        </w:rPr>
        <w:t xml:space="preserve"> Knapp eine Woche vor dem Sanders-Vorstoß hat Anthropic am 10. Juni 2026 ein dreiteiliges Paket veröffentlicht: einen Aufsatz von CEO Dario Amodei (</w:t>
      </w:r>
      <w:r>
        <w:rPr>
          <w:rFonts w:ascii="Arial" w:hAnsi="Arial"/>
          <w:b w:val="0"/>
          <w:i/>
          <w:sz w:val="19"/>
        </w:rPr>
        <w:t>„Policy on the AI Exponential"</w:t>
      </w:r>
      <w:r>
        <w:rPr>
          <w:rFonts w:ascii="Arial" w:hAnsi="Arial"/>
          <w:b w:val="0"/>
          <w:i w:val="0"/>
          <w:sz w:val="19"/>
        </w:rPr>
        <w:t xml:space="preserve">) sowie ein </w:t>
      </w:r>
      <w:r>
        <w:rPr>
          <w:rFonts w:ascii="Arial" w:hAnsi="Arial"/>
          <w:b w:val="0"/>
          <w:i/>
          <w:sz w:val="19"/>
        </w:rPr>
        <w:t>Advanced AI Framework</w:t>
      </w:r>
      <w:r>
        <w:rPr>
          <w:rFonts w:ascii="Arial" w:hAnsi="Arial"/>
          <w:b w:val="0"/>
          <w:i w:val="0"/>
          <w:sz w:val="19"/>
        </w:rPr>
        <w:t xml:space="preserve"> und ein </w:t>
      </w:r>
      <w:r>
        <w:rPr>
          <w:rFonts w:ascii="Arial" w:hAnsi="Arial"/>
          <w:b w:val="0"/>
          <w:i/>
          <w:sz w:val="19"/>
        </w:rPr>
        <w:t>Economic Policy Framework</w:t>
      </w:r>
      <w:r>
        <w:rPr>
          <w:rFonts w:ascii="Arial" w:hAnsi="Arial"/>
          <w:b w:val="0"/>
          <w:i w:val="0"/>
          <w:sz w:val="19"/>
        </w:rPr>
        <w:t xml:space="preserve">. Der Amodei-Aufsatz spannt fünf Politikfelder auf — Sicherheits­regulierung, Makroökonomie und Steuern, Beschleunigung wissenschaftlicher Forschung, Bürgerrechte und Geopolitik — und schlägt für die Sicherheits­regulierung ein Verfahren analog zur US-Luftfahrtbehörde (FAA) vor: KI-Modelle sollen vor Markteinführung technisch geprüft und auditiert werden, mit der Möglichkeit eines Markt­blocks bei unzureichender Sicherheitskonformität. Für die Steuerdebatte zentral ist das </w:t>
      </w:r>
      <w:r>
        <w:rPr>
          <w:rFonts w:ascii="Arial" w:hAnsi="Arial"/>
          <w:b w:val="0"/>
          <w:i/>
          <w:sz w:val="19"/>
        </w:rPr>
        <w:t>Economic Policy Framework</w:t>
      </w:r>
      <w:r>
        <w:rPr>
          <w:rFonts w:ascii="Arial" w:hAnsi="Arial"/>
          <w:b w:val="0"/>
          <w:i w:val="0"/>
          <w:sz w:val="19"/>
        </w:rPr>
        <w:t xml:space="preserve">: Es entwickelt einen </w:t>
      </w:r>
      <w:r>
        <w:rPr>
          <w:rFonts w:ascii="Arial" w:hAnsi="Arial"/>
          <w:b w:val="0"/>
          <w:i/>
          <w:sz w:val="19"/>
        </w:rPr>
        <w:t>gestuften Rahmen</w:t>
      </w:r>
      <w:r>
        <w:rPr>
          <w:rFonts w:ascii="Arial" w:hAnsi="Arial"/>
          <w:b w:val="0"/>
          <w:i w:val="0"/>
          <w:sz w:val="19"/>
        </w:rPr>
        <w:t xml:space="preserve"> für drei Szenarien KI-induzierter Arbeitslosigkeit (5 %, 10 %, „unprecedented"), in dem die fiskalpolitische Antwort jeweils mit dem Niveau der Verdrängung mitwächst — von Umschulungs- und Übergangsprogrammen bis hin zu permanenten Stütz­strukturen wie </w:t>
      </w:r>
      <w:r>
        <w:rPr>
          <w:rFonts w:ascii="Arial" w:hAnsi="Arial"/>
          <w:b w:val="0"/>
          <w:i/>
          <w:sz w:val="19"/>
        </w:rPr>
        <w:t>bedingungslosem Grundeinkommen</w:t>
      </w:r>
      <w:r>
        <w:rPr>
          <w:rFonts w:ascii="Arial" w:hAnsi="Arial"/>
          <w:b w:val="0"/>
          <w:i w:val="0"/>
          <w:sz w:val="19"/>
        </w:rPr>
        <w:t xml:space="preserve">, </w:t>
      </w:r>
      <w:r>
        <w:rPr>
          <w:rFonts w:ascii="Arial" w:hAnsi="Arial"/>
          <w:b w:val="0"/>
          <w:i/>
          <w:sz w:val="19"/>
        </w:rPr>
        <w:t>staatlichen Beteiligungsfonds</w:t>
      </w:r>
      <w:r>
        <w:rPr>
          <w:rFonts w:ascii="Arial" w:hAnsi="Arial"/>
          <w:b w:val="0"/>
          <w:i w:val="0"/>
          <w:sz w:val="19"/>
        </w:rPr>
        <w:t xml:space="preserve"> und </w:t>
      </w:r>
      <w:r>
        <w:rPr>
          <w:rFonts w:ascii="Arial" w:hAnsi="Arial"/>
          <w:b w:val="0"/>
          <w:i/>
          <w:sz w:val="19"/>
        </w:rPr>
        <w:t>Equity-Sharing-Modellen</w:t>
      </w:r>
      <w:r>
        <w:rPr>
          <w:rFonts w:ascii="Arial" w:hAnsi="Arial"/>
          <w:b w:val="0"/>
          <w:i w:val="0"/>
          <w:sz w:val="19"/>
        </w:rPr>
        <w:t xml:space="preserve">. Anthropic flankiert das Framework mit einem Finanzierungspaket von insgesamt 350 Millionen US-Dollar: 200 Millionen US-Dollar fließen in einen </w:t>
      </w:r>
      <w:r>
        <w:rPr>
          <w:rFonts w:ascii="Arial" w:hAnsi="Arial"/>
          <w:b w:val="0"/>
          <w:i/>
          <w:sz w:val="19"/>
        </w:rPr>
        <w:t>Economic Futures Research Fund</w:t>
      </w:r>
      <w:r>
        <w:rPr>
          <w:rFonts w:ascii="Arial" w:hAnsi="Arial"/>
          <w:b w:val="0"/>
          <w:i w:val="0"/>
          <w:sz w:val="19"/>
        </w:rPr>
        <w:t xml:space="preserve"> zur empirischen Erforschung KI-induzierter Verdrängung und zur Begleitung von Politik-Pilotprogrammen; weitere 150 Millionen US-Dollar finanzieren ein nationales Stipendienprogramm für jüngere Berufstätige. Anthropic kündigt eine Verankerung der Agenda beim G7-Gipfel und dem geplanten AI Summit in Genf an und verpflichtet sich zur direkten Einbindung von Beschäftigten, Gewerkschaften und Kleinunternehmern. Für die hier geführte Debatte ist das Anthropic-Paket relevant, weil es erstmals einen Frontier-Anbieter formal auf eine </w:t>
      </w:r>
      <w:r>
        <w:rPr>
          <w:rFonts w:ascii="Arial" w:hAnsi="Arial"/>
          <w:b w:val="0"/>
          <w:i/>
          <w:sz w:val="19"/>
        </w:rPr>
        <w:t>szenario-gestufte fiskalpolitische Reaktionsleiter</w:t>
      </w:r>
      <w:r>
        <w:rPr>
          <w:rFonts w:ascii="Arial" w:hAnsi="Arial"/>
          <w:b w:val="0"/>
          <w:i w:val="0"/>
          <w:sz w:val="19"/>
        </w:rPr>
        <w:t xml:space="preserve"> festlegt — und damit den OpenAI-Vorschlag vom April 2026 (Lohn-zu-Kapital-Verlagerung, Staatsfonds, 32-Stunden-Woche) um eine </w:t>
      </w:r>
      <w:r>
        <w:rPr>
          <w:rFonts w:ascii="Arial" w:hAnsi="Arial"/>
          <w:b w:val="0"/>
          <w:i/>
          <w:sz w:val="19"/>
        </w:rPr>
        <w:t>konditionale Eskalationslogik</w:t>
      </w:r>
      <w:r>
        <w:rPr>
          <w:rFonts w:ascii="Arial" w:hAnsi="Arial"/>
          <w:b w:val="0"/>
          <w:i w:val="0"/>
          <w:sz w:val="19"/>
        </w:rPr>
        <w:t xml:space="preserve"> erweitert, deren oberste Stufe (UBI plus Sovereign Wealth Fund) inhaltlich nahe an der Sanders-Initiative vom 18. Juni 2026 liegt. Die Differenz zwischen Sanders und Amodei verläuft damit weniger im Endpunkt (Beteiligung der Allgemeinheit an KI-Wertschöpfung) als in der Auslöse­bedingung: Sanders setzt unmittelbar bei der Marktstellung an, Anthropic erst bei nachgewiesener massiver Verdrängung. Für den deutschen Kontext (Kapitel 8) ergibt sich daraus eine in beide Richtungen anschluss­fähige Referenzlinie: Der in § 8.3 skizzierte Teilhabefonds-Gedanke wird durch Anthropics Eskalationslogik unterfüttert, während Sanders' </w:t>
      </w:r>
      <w:r>
        <w:rPr>
          <w:rFonts w:ascii="Arial" w:hAnsi="Arial"/>
          <w:b w:val="0"/>
          <w:i/>
          <w:sz w:val="19"/>
        </w:rPr>
        <w:t>200-Millionen-Schwelle</w:t>
      </w:r>
      <w:r>
        <w:rPr>
          <w:rFonts w:ascii="Arial" w:hAnsi="Arial"/>
          <w:b w:val="0"/>
          <w:i w:val="0"/>
          <w:sz w:val="19"/>
        </w:rPr>
        <w:t xml:space="preserve"> einen praktikablen Anknüpfungspunkt für die in § 5.1 diskutierte Bemessungsgrundlage einer wertschöpfungsbasierten Abgabe markiert.</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den Entwurf am 2. Juni 2026 als </w:t>
      </w:r>
      <w:r>
        <w:rPr>
          <w:rFonts w:ascii="Arial" w:hAnsi="Arial"/>
          <w:b w:val="0"/>
          <w:i/>
          <w:sz w:val="19"/>
        </w:rPr>
        <w:t>Public Act 26-15</w:t>
      </w:r>
      <w:r>
        <w:rPr>
          <w:rFonts w:ascii="Arial" w:hAnsi="Arial"/>
          <w:b w:val="0"/>
          <w:i w:val="0"/>
          <w:sz w:val="19"/>
        </w:rPr>
        <w:t xml:space="preserve"> unterzeichnet und damit den </w:t>
      </w:r>
      <w:r>
        <w:rPr>
          <w:rFonts w:ascii="Arial" w:hAnsi="Arial"/>
          <w:b w:val="0"/>
          <w:i/>
          <w:sz w:val="19"/>
        </w:rPr>
        <w:t>Connecticut Artificial Intelligence Responsibility and Transparency Act</w:t>
      </w:r>
      <w:r>
        <w:rPr>
          <w:rFonts w:ascii="Arial" w:hAnsi="Arial"/>
          <w:b w:val="0"/>
          <w:i w:val="0"/>
          <w:sz w:val="19"/>
        </w:rPr>
        <w:t xml:space="preserve"> (in der nachfolgenden Kanzlei- und Berater-Literatur als </w:t>
      </w:r>
      <w:r>
        <w:rPr>
          <w:rFonts w:ascii="Arial" w:hAnsi="Arial"/>
          <w:b w:val="0"/>
          <w:i/>
          <w:sz w:val="19"/>
        </w:rPr>
        <w:t>CART Act</w:t>
      </w:r>
      <w:r>
        <w:rPr>
          <w:rFonts w:ascii="Arial" w:hAnsi="Arial"/>
          <w:b w:val="0"/>
          <w:i w:val="0"/>
          <w:sz w:val="19"/>
        </w:rPr>
        <w:t xml:space="preserve"> gefasst) zum geltenden Recht erklärt.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ist im weiteren Verlauf des Mai/Juni 2026 vorgesehen.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Acemoglu, D., Gitmez, A. A., &amp; Shadmehr, M. (Juni 2026). </w:t>
      </w:r>
      <w:r>
        <w:rPr>
          <w:rFonts w:ascii="Arial" w:hAnsi="Arial"/>
          <w:b w:val="0"/>
          <w:i/>
          <w:sz w:val="19"/>
        </w:rPr>
        <w:t>Automation and Repression.</w:t>
      </w:r>
      <w:r>
        <w:rPr>
          <w:rFonts w:ascii="Arial" w:hAnsi="Arial"/>
          <w:b w:val="0"/>
          <w:i w:val="0"/>
          <w:sz w:val="19"/>
        </w:rPr>
        <w:t xml:space="preserve"> NBER Working Paper 35336. Modell der Komplementarität zwischen Automatisierung und politischer Repression; kapitalistischer Staat wählt Repression statt Regulation oder Umverteilung, um zusätzliche Automatisierungsspielräume zu sichern; Demokratie–Autoritarismus-Übergang als endogener Pfad. https://www.nber.org/papers/w35336</w:t>
      </w:r>
    </w:p>
    <w:p>
      <w:pPr>
        <w:jc w:val="both"/>
      </w:pPr>
      <w:r>
        <w:rPr>
          <w:rFonts w:ascii="Arial" w:hAnsi="Arial"/>
          <w:b w:val="0"/>
          <w:i w:val="0"/>
          <w:sz w:val="19"/>
        </w:rPr>
        <w:t xml:space="preserve">Anthropic. (10. Juni 2026). </w:t>
      </w:r>
      <w:r>
        <w:rPr>
          <w:rFonts w:ascii="Arial" w:hAnsi="Arial"/>
          <w:b w:val="0"/>
          <w:i/>
          <w:sz w:val="19"/>
        </w:rPr>
        <w:t>Anthropic Economic Index Report — Cadences.</w:t>
      </w:r>
      <w:r>
        <w:rPr>
          <w:rFonts w:ascii="Arial" w:hAnsi="Arial"/>
          <w:b w:val="0"/>
          <w:i w:val="0"/>
          <w:sz w:val="19"/>
        </w:rPr>
        <w:t xml:space="preserve"> Sechster Bericht. Tasks aus höher entlohnten Berufsgruppen binden bis zu 2,07-mal so viele Token wie aus niedrig entlohnten Berufen; 93 % aller Konversationen münden in ein konkretes Ergebnis; ergänzende Auswertung des im April 2026 gestarteten </w:t>
      </w:r>
      <w:r>
        <w:rPr>
          <w:rFonts w:ascii="Arial" w:hAnsi="Arial"/>
          <w:b w:val="0"/>
          <w:i/>
          <w:sz w:val="19"/>
        </w:rPr>
        <w:t>Anthropic Economic Index Survey</w:t>
      </w:r>
      <w:r>
        <w:rPr>
          <w:rFonts w:ascii="Arial" w:hAnsi="Arial"/>
          <w:b w:val="0"/>
          <w:i w:val="0"/>
          <w:sz w:val="19"/>
        </w:rPr>
        <w:t xml:space="preserve"> (rund 9.700 Antworten, Verknüpfung mit Nutzungsdaten Mitte Mai bis Anfang Juni 2026); höhere Arbeits­zufriedenheit und höhere Erwartung an Lohn- und Job-Sicherheit bei stark delegierenden Befragten. https://www.anthropic.com/research/economic-index-june-2026-report</w:t>
      </w:r>
    </w:p>
    <w:p>
      <w:pPr>
        <w:jc w:val="both"/>
      </w:pPr>
      <w:r>
        <w:rPr>
          <w:rFonts w:ascii="Arial" w:hAnsi="Arial"/>
          <w:b w:val="0"/>
          <w:i w:val="0"/>
          <w:sz w:val="19"/>
        </w:rPr>
        <w:t xml:space="preserve">Anthropic. (10. Juni 2026). </w:t>
      </w:r>
      <w:r>
        <w:rPr>
          <w:rFonts w:ascii="Arial" w:hAnsi="Arial"/>
          <w:b w:val="0"/>
          <w:i/>
          <w:sz w:val="19"/>
        </w:rPr>
        <w:t>Economic Policy Framework.</w:t>
      </w:r>
      <w:r>
        <w:rPr>
          <w:rFonts w:ascii="Arial" w:hAnsi="Arial"/>
          <w:b w:val="0"/>
          <w:i w:val="0"/>
          <w:sz w:val="19"/>
        </w:rPr>
        <w:t xml:space="preserve"> Politik-Rahmen mit gestufter fiskalischer Reaktion auf KI-induzierte Arbeitslosigkeitsszenarien (5 %, 10 %, „unprecedented") bis hin zu UBI, Staatsfonds und Equity-Sharing-Modellen; flankiert durch 350 Mio. US-Dollar Finanzierungs­paket (200 Mio. </w:t>
      </w:r>
      <w:r>
        <w:rPr>
          <w:rFonts w:ascii="Arial" w:hAnsi="Arial"/>
          <w:b w:val="0"/>
          <w:i/>
          <w:sz w:val="19"/>
        </w:rPr>
        <w:t>Economic Futures Research Fund</w:t>
      </w:r>
      <w:r>
        <w:rPr>
          <w:rFonts w:ascii="Arial" w:hAnsi="Arial"/>
          <w:b w:val="0"/>
          <w:i w:val="0"/>
          <w:sz w:val="19"/>
        </w:rPr>
        <w:t>, 150 Mio. nationales Stipendienprogramm). https://www-cdn.anthropic.com/files/4zrzovbb/website/9ea607a5dd67c168093829b701f3a0a6d21156d5.pdf</w:t>
      </w:r>
    </w:p>
    <w:p>
      <w:pPr>
        <w:jc w:val="both"/>
      </w:pPr>
      <w:r>
        <w:rPr>
          <w:rFonts w:ascii="Arial" w:hAnsi="Arial"/>
          <w:b w:val="0"/>
          <w:i w:val="0"/>
          <w:sz w:val="19"/>
        </w:rPr>
        <w:t xml:space="preserve">Amodei, D. (10. Juni 2026). </w:t>
      </w:r>
      <w:r>
        <w:rPr>
          <w:rFonts w:ascii="Arial" w:hAnsi="Arial"/>
          <w:b w:val="0"/>
          <w:i/>
          <w:sz w:val="19"/>
        </w:rPr>
        <w:t>Policy on the AI Exponential.</w:t>
      </w:r>
      <w:r>
        <w:rPr>
          <w:rFonts w:ascii="Arial" w:hAnsi="Arial"/>
          <w:b w:val="0"/>
          <w:i w:val="0"/>
          <w:sz w:val="19"/>
        </w:rPr>
        <w:t xml:space="preserve"> Begleitender Aufsatz; fünf Politikfelder (Sicherheits­regulierung, Makroökonomie und Steuern, wissenschaftliche Beschleunigung, Bürgerrechte, Geopolitik); FAA-analoge Sicherheits­regulierung mit Markt-Block-Option. https://www.anthropic.com/policy-on-the-ai-exponential</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 xml:space="preserve">US Senate, 119th Congress. (18. Juni 2026). </w:t>
      </w:r>
      <w:r>
        <w:rPr>
          <w:rFonts w:ascii="Arial" w:hAnsi="Arial"/>
          <w:b w:val="0"/>
          <w:i/>
          <w:sz w:val="19"/>
        </w:rPr>
        <w:t>American AI Sovereign Wealth Fund Act</w:t>
      </w:r>
      <w:r>
        <w:rPr>
          <w:rFonts w:ascii="Arial" w:hAnsi="Arial"/>
          <w:b w:val="0"/>
          <w:i w:val="0"/>
          <w:sz w:val="19"/>
        </w:rPr>
        <w:t xml:space="preserve"> (Einbringer: Bernie Sanders). Einmalige Equity-Abgabe in Höhe von 50 % auf US-Unternehmen mit KI-Jahresumsatz ≥ 200 Mio. USD (Modellanbieter, Rechenzentren, KI-Compute-Infrastruktur, KI-Dienste, fortgeschrittene Robotik); geschätztes Fondsvolumen rund 7 Bio. USD; 5 % jährliche Dividende an alle Amerikaner; </w:t>
      </w:r>
      <w:r>
        <w:rPr>
          <w:rFonts w:ascii="Arial" w:hAnsi="Arial"/>
          <w:b w:val="0"/>
          <w:i/>
          <w:sz w:val="19"/>
        </w:rPr>
        <w:t>Independent Commission for Democratic AI</w:t>
      </w:r>
      <w:r>
        <w:rPr>
          <w:rFonts w:ascii="Arial" w:hAnsi="Arial"/>
          <w:b w:val="0"/>
          <w:i w:val="0"/>
          <w:sz w:val="19"/>
        </w:rPr>
        <w:t xml:space="preserve"> mit sieben Kommissarinnen und Kommissaren; aufspaltungsbedingte 50%-Beteiligung am KI-Teil bei gemischten Konzernen. https://www.sanders.senate.gov/press-releases/news-sanders-introduces-legislation-to-create-7-trillion-ai-sovereign-wealth-fund/ | Begleit-Hintergrundpapier: https://www.sanders.senate.gov/wp-content/uploads/AmericanAISovereignWealthFundActSummary.pdf</w:t>
      </w:r>
    </w:p>
    <w:p>
      <w:pPr>
        <w:jc w:val="both"/>
      </w:pPr>
      <w:r>
        <w:rPr>
          <w:rFonts w:ascii="Arial" w:hAnsi="Arial"/>
          <w:b w:val="0"/>
          <w:i w:val="0"/>
          <w:sz w:val="19"/>
        </w:rPr>
        <w:t xml:space="preserve">Sanders, B. (Juni 2026). </w:t>
      </w:r>
      <w:r>
        <w:rPr>
          <w:rFonts w:ascii="Arial" w:hAnsi="Arial"/>
          <w:b w:val="0"/>
          <w:i/>
          <w:sz w:val="19"/>
        </w:rPr>
        <w:t>The Public Should Own Half of the Big A.I. Companies.</w:t>
      </w:r>
      <w:r>
        <w:rPr>
          <w:rFonts w:ascii="Arial" w:hAnsi="Arial"/>
          <w:b w:val="0"/>
          <w:i w:val="0"/>
          <w:sz w:val="19"/>
        </w:rPr>
        <w:t xml:space="preserve"> Begleit-Op-Ed zum </w:t>
      </w:r>
      <w:r>
        <w:rPr>
          <w:rFonts w:ascii="Arial" w:hAnsi="Arial"/>
          <w:b w:val="0"/>
          <w:i/>
          <w:sz w:val="19"/>
        </w:rPr>
        <w:t>American AI Sovereign Wealth Fund Act</w:t>
      </w:r>
      <w:r>
        <w:rPr>
          <w:rFonts w:ascii="Arial" w:hAnsi="Arial"/>
          <w:b w:val="0"/>
          <w:i w:val="0"/>
          <w:sz w:val="19"/>
        </w:rPr>
        <w:t>; Referenzmodelle norwegischer Staatsfonds und Alaska Permanent Fund. https://www.sanders.senate.gov/op-eds/the-public-should-own-half-of-the-big-a-i-companies/</w:t>
      </w:r>
    </w:p>
    <w:p>
      <w:pPr>
        <w:jc w:val="both"/>
      </w:pPr>
      <w:r>
        <w:rPr>
          <w:rFonts w:ascii="Arial" w:hAnsi="Arial"/>
          <w:b w:val="0"/>
          <w:i w:val="0"/>
          <w:sz w:val="19"/>
        </w:rPr>
        <w:t xml:space="preserve">Connecticut General Assembly / Office of the Governor. (2. Juni 2026). </w:t>
      </w:r>
      <w:r>
        <w:rPr>
          <w:rFonts w:ascii="Arial" w:hAnsi="Arial"/>
          <w:b w:val="0"/>
          <w:i/>
          <w:sz w:val="19"/>
        </w:rPr>
        <w:t>Public Act 26-15 — Connecticut Artificial Intelligence Responsibility and Transparency Act (CART Act).</w:t>
      </w:r>
      <w:r>
        <w:rPr>
          <w:rFonts w:ascii="Arial" w:hAnsi="Arial"/>
          <w:b w:val="0"/>
          <w:i w:val="0"/>
          <w:sz w:val="19"/>
        </w:rPr>
        <w:t xml:space="preserve"> Unterzeichnung durch Gouverneur Ned Lamont; gestaffeltes Inkrafttreten ab 1. Oktober 2026 (Automated Employment Decision Technology, „AI is not a defense", Frontier-Whistleblower, WARN-AI-Disclosure), 1. Januar 2027 (anonyme interne Meldewege Frontier-Entwickler) und 1. Oktober 2027 (Deployer-Vorab-Information bei substantieller KI-Nutzung in Beschäftigungsentscheidungen). Kanzlei- und Berater­analysen: Ropes &amp; Gray, Holland &amp; Knight, DLA Piper, Freshfields, </w:t>
      </w:r>
      <w:r>
        <w:rPr>
          <w:rFonts w:ascii="Arial" w:hAnsi="Arial"/>
          <w:b w:val="0"/>
          <w:i/>
          <w:sz w:val="19"/>
        </w:rPr>
        <w:t>Compliance Hub Wiki</w:t>
      </w:r>
      <w:r>
        <w:rPr>
          <w:rFonts w:ascii="Arial" w:hAnsi="Arial"/>
          <w:b w:val="0"/>
          <w:i w:val="0"/>
          <w:sz w:val="19"/>
        </w:rPr>
        <w:t>. https://www.ropesgray.com/en/insights/alerts/2026/06/connecticut-enacts-sweeping-ai-law-covering-employment-healthcare-and-online-safety | https://www.hklaw.com/en/insights/publications/2026/06/connecticut-enacts-comprehensive-ai-legislation | https://www.dlapiper.com/en-us/insights/publications/2026/05/unpacking-connecticuts-new-ai-law | https://fpf.org/blog/sb-5-in-five-what-to-know-about-connecticuts-new-ai-law/</w:t>
      </w:r>
    </w:p>
    <w:p>
      <w:pPr>
        <w:jc w:val="both"/>
      </w:pPr>
      <w:r>
        <w:rPr>
          <w:rFonts w:ascii="Arial" w:hAnsi="Arial"/>
          <w:b w:val="0"/>
          <w:i w:val="0"/>
          <w:sz w:val="19"/>
        </w:rPr>
        <w:t xml:space="preserve">Europäisches Parlament / Rat der EU. (7. Mai 2026 / 16. Juni 2026). </w:t>
      </w:r>
      <w:r>
        <w:rPr>
          <w:rFonts w:ascii="Arial" w:hAnsi="Arial"/>
          <w:b w:val="0"/>
          <w:i/>
          <w:sz w:val="19"/>
        </w:rPr>
        <w:t>Digital Omnibus on AI — Provisorische Trilog-Einigung 7. Mai 2026; förmliche Bestätigung der Trilog-Fassung im EP-Plenum am 16. Juni 2026.</w:t>
      </w:r>
      <w:r>
        <w:rPr>
          <w:rFonts w:ascii="Arial" w:hAnsi="Arial"/>
          <w:b w:val="0"/>
          <w:i w:val="0"/>
          <w:sz w:val="19"/>
        </w:rPr>
        <w:t xml:space="preserve"> Verbleibende formale Annahme im Rat und Veröffentlichung im Amtsblatt der Europäischen Union vor dem Stichtag 2. August 2026 erwartet. Berichterstattung: A&amp;O Shearman, Bird &amp; Bird, IAPP, </w:t>
      </w:r>
      <w:r>
        <w:rPr>
          <w:rFonts w:ascii="Arial" w:hAnsi="Arial"/>
          <w:b w:val="0"/>
          <w:i/>
          <w:sz w:val="19"/>
        </w:rPr>
        <w:t>Table.Briefings</w:t>
      </w:r>
      <w:r>
        <w:rPr>
          <w:rFonts w:ascii="Arial" w:hAnsi="Arial"/>
          <w:b w:val="0"/>
          <w:i w:val="0"/>
          <w:sz w:val="19"/>
        </w:rPr>
        <w:t>. https://www.aoshearman.com/en/insights/ao-shearman-on-data/digital-omnibus-on-ai-the-trilogue-deal-is-done-what-made-it-what-didnt-and-what-changed | https://www.twobirds.com/en/insights/2026/digital-omnibus-on-ai-trilogue-stalls-ahead-of-the-ai-act-deadline | https://table.media/en/europe/news/ai-omnibus-parliament-approves-trilogue-outcome</w:t>
      </w:r>
    </w:p>
    <w:p>
      <w:pPr>
        <w:jc w:val="both"/>
      </w:pPr>
      <w:r>
        <w:rPr>
          <w:rFonts w:ascii="Arial" w:hAnsi="Arial"/>
          <w:b w:val="0"/>
          <w:i w:val="0"/>
          <w:sz w:val="19"/>
        </w:rPr>
        <w:t xml:space="preserve">IAB. (Juni 2026). </w:t>
      </w:r>
      <w:r>
        <w:rPr>
          <w:rFonts w:ascii="Arial" w:hAnsi="Arial"/>
          <w:b w:val="0"/>
          <w:i/>
          <w:sz w:val="19"/>
        </w:rPr>
        <w:t>Künstliche Intelligenz in deutschen Betrieben: Jeder vierte Betrieb nutzt mittlerweile generative KI</w:t>
      </w:r>
      <w:r>
        <w:rPr>
          <w:rFonts w:ascii="Arial" w:hAnsi="Arial"/>
          <w:b w:val="0"/>
          <w:i w:val="0"/>
          <w:sz w:val="19"/>
        </w:rPr>
        <w:t xml:space="preserve"> (IAB-Kurzbericht 08/2026). Autorinnen und Autoren: Friedrich, M. &amp; Kagerl, C. Anteil der Betriebe mit generativer KI-Nutzung: 25 % (2025) gegenüber 5 % (2023); zusätzliche 9 % planen Einsatz; Adoption nach Betriebsgröße: 48 % (≥ 200 Beschäftigte), 21 % (&lt; 10); Sektor Information und Kommunikation 59 %. https://iab.de/presseinfo/jeder-vierte-betrieb-in-deutschland-nutzt-generative-ki/</w:t>
      </w:r>
    </w:p>
    <w:p>
      <w:pPr>
        <w:jc w:val="both"/>
      </w:pPr>
      <w:r>
        <w:rPr>
          <w:rFonts w:ascii="Arial" w:hAnsi="Arial"/>
          <w:b w:val="0"/>
          <w:i w:val="0"/>
          <w:sz w:val="19"/>
        </w:rPr>
        <w:t>Springer Gabler Verlag. Gabler Wirtschaftslexikon, Stichwort: Robotersteuer.</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TrueUp / SkillSyncer / eWeek / TechSpot / TechCrunch. (Stand 22./26. Juni 2026). </w:t>
      </w:r>
      <w:r>
        <w:rPr>
          <w:rFonts w:ascii="Arial" w:hAnsi="Arial"/>
          <w:b w:val="0"/>
          <w:i/>
          <w:sz w:val="19"/>
        </w:rPr>
        <w:t>Layoffs Tracker — Juni 2026: TrueUp 157.807 betroffene Personen aus rund 420 Layoff-Meldungen (892 pro Tag); 2026-Gesamtjahresprojektion rund 370.000 Tech-Stellen; SkillSyncer/eWeek-Aggregat 185.894 betroffene Personen aus 267 Ereignissen (rund 1.050 pro Tag); 56 % aller Events nennen KI, Automatisierung oder maschinelles Lernen explizit — entsprechend 156.270 Beschäftigten in 150 Unternehmen; Tech allein +66 % gegenüber Vorjahres­vergleichszeitraum.</w:t>
      </w:r>
      <w:r>
        <w:rPr>
          <w:rFonts w:ascii="Arial" w:hAnsi="Arial"/>
          <w:b w:val="0"/>
          <w:i w:val="0"/>
          <w:sz w:val="19"/>
        </w:rPr>
        <w:t xml:space="preserve"> https://www.trueup.io/layoffs | https://skillsyncer.com/layoffs-tracker | https://www.eweek.com/news/tech-layoffs-ai-investment-2026/ | https://www.techspot.com/news/112493-tech-layoffs-pass-100000-2026-tracker-points-ai.html | https://techcrunch.com/2026/06/22/the-running-list-major-tech-layoffs-in-2026-where-employers-cited-ai/</w:t>
      </w:r>
    </w:p>
    <w:p>
      <w:pPr>
        <w:jc w:val="both"/>
      </w:pPr>
      <w:r>
        <w:rPr>
          <w:rFonts w:ascii="Arial" w:hAnsi="Arial"/>
          <w:b w:val="0"/>
          <w:i w:val="0"/>
          <w:sz w:val="19"/>
        </w:rPr>
        <w:t xml:space="preserve">Mumbaiker / DQIndia / People Matters / Deccan Herald. (Mai–Juni 2026). </w:t>
      </w:r>
      <w:r>
        <w:rPr>
          <w:rFonts w:ascii="Arial" w:hAnsi="Arial"/>
          <w:b w:val="0"/>
          <w:i/>
          <w:sz w:val="19"/>
        </w:rPr>
        <w:t>Cognizant Project Leap — Bestätigung von rund 4.000 unmittelbaren Streichungen und Spannweite 7.000 bis 15.000 globaler Stellen; 72 % der weltweit 357.600 Beschäftigten in Indien (256.900); Konzentration auf Mid-Level-Rollen; parallele Frischabsolventen-Einstellung von rund 20.000.</w:t>
      </w:r>
      <w:r>
        <w:rPr>
          <w:rFonts w:ascii="Arial" w:hAnsi="Arial"/>
          <w:b w:val="0"/>
          <w:i w:val="0"/>
          <w:sz w:val="19"/>
        </w:rPr>
        <w:t xml:space="preserve"> https://www.mumbaiker.com/latest-news/cognizant-project-leap-layoffs-why-15000-indian-it-jobs-are-at-risk-and-what-it-means-for-the-industry/ | https://www.dqindia.com/news/cognizant-layoff-news-it-company-may-cut-up-to-15000-jobs-under-project-leap-11812518 | https://www.peoplematters.in/news/strategic-hr/cognizant-may-cut-12000-to-15000-jobs-globally-under-project-leap-49579</w:t>
      </w:r>
    </w:p>
    <w:p>
      <w:pPr>
        <w:jc w:val="both"/>
      </w:pPr>
      <w:r>
        <w:rPr>
          <w:rFonts w:ascii="Arial" w:hAnsi="Arial"/>
          <w:b w:val="0"/>
          <w:i w:val="0"/>
          <w:sz w:val="19"/>
        </w:rPr>
        <w:t xml:space="preserve">Axios / NPR / Fortune / Common Dreams / Tom's Hardware / Fox Business. (3.–18. Juni 2026). </w:t>
      </w:r>
      <w:r>
        <w:rPr>
          <w:rFonts w:ascii="Arial" w:hAnsi="Arial"/>
          <w:b w:val="0"/>
          <w:i/>
          <w:sz w:val="19"/>
        </w:rPr>
        <w:t>Bernie Sanders unveils AI tax plan / Sen. Sanders wants Americans to have a say — and stake — in the future of AI / Bernie Sanders wants Americans to own a piece of AI. The Trump White House seems to agree / Sanders Sovereign Wealth Fund Plan Would Give US Public „Direct Ownership Stake" in AI Giants / Bernie Sanders pushes for 50 percent public ownership of American AI companies.</w:t>
      </w:r>
      <w:r>
        <w:rPr>
          <w:rFonts w:ascii="Arial" w:hAnsi="Arial"/>
          <w:b w:val="0"/>
          <w:i w:val="0"/>
          <w:sz w:val="19"/>
        </w:rPr>
        <w:t xml:space="preserve"> Berichterstattung zur Einbringung des </w:t>
      </w:r>
      <w:r>
        <w:rPr>
          <w:rFonts w:ascii="Arial" w:hAnsi="Arial"/>
          <w:b w:val="0"/>
          <w:i/>
          <w:sz w:val="19"/>
        </w:rPr>
        <w:t>American AI Sovereign Wealth Fund Act</w:t>
      </w:r>
      <w:r>
        <w:rPr>
          <w:rFonts w:ascii="Arial" w:hAnsi="Arial"/>
          <w:b w:val="0"/>
          <w:i w:val="0"/>
          <w:sz w:val="19"/>
        </w:rPr>
        <w:t xml:space="preserve"> und zur Diskussionslage. https://www.axios.com/2026/06/18/bernie-sanders-ai-openai-anthropic | https://www.npr.org/2026/06/18/nx-s1-5861862/sen-sanders-wants-americans-to-have-a-say-and-stake-in-the-future-of-ai | https://fortune.com/2026/06/03/bernie-sanders-ai-ownership-sovereign-wealth-fund-electrification/ | https://www.commondreams.org/news/bernies-sanders-ai-sovereign-wealth-fund | https://www.tomshardware.com/tech-industry/big-tech/bernie-sanders-pushes-for-50-percent-public-ownership-of-american-ai-companies-proposes-ai-sovereign-wealth-fund-that-would-hold-direct-ownership-stakes-in-largest-ai-firms</w:t>
      </w:r>
    </w:p>
    <w:p>
      <w:pPr>
        <w:jc w:val="both"/>
      </w:pPr>
      <w:r>
        <w:rPr>
          <w:rFonts w:ascii="Arial" w:hAnsi="Arial"/>
          <w:b w:val="0"/>
          <w:i w:val="0"/>
          <w:sz w:val="19"/>
        </w:rPr>
        <w:t xml:space="preserve">ABC News / USNews / Crypto Briefing / Built In / </w:t>
      </w:r>
      <w:r>
        <w:rPr>
          <w:rFonts w:ascii="Arial" w:hAnsi="Arial"/>
          <w:b w:val="0"/>
          <w:i/>
          <w:sz w:val="19"/>
        </w:rPr>
        <w:t>AI Weekly</w:t>
      </w:r>
      <w:r>
        <w:rPr>
          <w:rFonts w:ascii="Arial" w:hAnsi="Arial"/>
          <w:b w:val="0"/>
          <w:i w:val="0"/>
          <w:sz w:val="19"/>
        </w:rPr>
        <w:t xml:space="preserve">. (10. Juni 2026). </w:t>
      </w:r>
      <w:r>
        <w:rPr>
          <w:rFonts w:ascii="Arial" w:hAnsi="Arial"/>
          <w:b w:val="0"/>
          <w:i/>
          <w:sz w:val="19"/>
        </w:rPr>
        <w:t>Anthropic pledges $200 million to research AI's economic impact as CEO suggests job loss solutions / Anthropic unveils $200M AI labor research fund and $150M fellowship program / Anthropic's Economic Index Shows the AI Skills Gap Is Growing.</w:t>
      </w:r>
      <w:r>
        <w:rPr>
          <w:rFonts w:ascii="Arial" w:hAnsi="Arial"/>
          <w:b w:val="0"/>
          <w:i w:val="0"/>
          <w:sz w:val="19"/>
        </w:rPr>
        <w:t xml:space="preserve"> Berichterstattung zum </w:t>
      </w:r>
      <w:r>
        <w:rPr>
          <w:rFonts w:ascii="Arial" w:hAnsi="Arial"/>
          <w:b w:val="0"/>
          <w:i/>
          <w:sz w:val="19"/>
        </w:rPr>
        <w:t>Economic Policy Framework</w:t>
      </w:r>
      <w:r>
        <w:rPr>
          <w:rFonts w:ascii="Arial" w:hAnsi="Arial"/>
          <w:b w:val="0"/>
          <w:i w:val="0"/>
          <w:sz w:val="19"/>
        </w:rPr>
        <w:t xml:space="preserve">, zum Amodei-Aufsatz </w:t>
      </w:r>
      <w:r>
        <w:rPr>
          <w:rFonts w:ascii="Arial" w:hAnsi="Arial"/>
          <w:b w:val="0"/>
          <w:i/>
          <w:sz w:val="19"/>
        </w:rPr>
        <w:t>Policy on the AI Exponential</w:t>
      </w:r>
      <w:r>
        <w:rPr>
          <w:rFonts w:ascii="Arial" w:hAnsi="Arial"/>
          <w:b w:val="0"/>
          <w:i w:val="0"/>
          <w:sz w:val="19"/>
        </w:rPr>
        <w:t xml:space="preserve"> und zum </w:t>
      </w:r>
      <w:r>
        <w:rPr>
          <w:rFonts w:ascii="Arial" w:hAnsi="Arial"/>
          <w:b w:val="0"/>
          <w:i/>
          <w:sz w:val="19"/>
        </w:rPr>
        <w:t>Economic Futures Research Fund</w:t>
      </w:r>
      <w:r>
        <w:rPr>
          <w:rFonts w:ascii="Arial" w:hAnsi="Arial"/>
          <w:b w:val="0"/>
          <w:i w:val="0"/>
          <w:sz w:val="19"/>
        </w:rPr>
        <w:t>. https://abcnews.com/Politics/wireStory/anthropic-pledges-200-million-research-ais-economic-impact-133763972 | https://www.usnews.com/news/business/articles/2026-06-10/anthropic-pledges-200-million-to-research-ais-economic-impact-as-ceo-suggests-job-loss-solutions | https://cryptobriefing.com/anthropic-ai-labor-research-fund-fellowship/ | https://builtin.com/articles/anthropic-economic-index-2026-ai-jobs-report | https://aiweekly.co/node/2863</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i w:val="0"/>
          <w:sz w:val="19"/>
        </w:rPr>
        <w:t>Hinweis zur Aktualität:</w:t>
      </w:r>
      <w:r>
        <w:rPr>
          <w:rFonts w:ascii="Arial" w:hAnsi="Arial"/>
          <w:b w:val="0"/>
          <w:i w:val="0"/>
          <w:sz w:val="19"/>
        </w:rPr>
        <w:t xml:space="preserve"> Dieses Arbeitspapier gibt den Stand Ende Juni 2026 (Schnitt am 27. Juni 2026 — Lauf 002 vom 27. Juni 2026)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sowie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des am 2. Juni 2026 von Gouverneur Ned Lamont als </w:t>
      </w:r>
      <w:r>
        <w:rPr>
          <w:rFonts w:ascii="Arial" w:hAnsi="Arial"/>
          <w:b w:val="0"/>
          <w:i/>
          <w:sz w:val="19"/>
        </w:rPr>
        <w:t>Public Act 26-15</w:t>
      </w:r>
      <w:r>
        <w:rPr>
          <w:rFonts w:ascii="Arial" w:hAnsi="Arial"/>
          <w:b w:val="0"/>
          <w:i w:val="0"/>
          <w:sz w:val="19"/>
        </w:rPr>
        <w:t xml:space="preserve"> unterzeichneten </w:t>
      </w:r>
      <w:r>
        <w:rPr>
          <w:rFonts w:ascii="Arial" w:hAnsi="Arial"/>
          <w:b w:val="0"/>
          <w:i/>
          <w:sz w:val="19"/>
        </w:rPr>
        <w:t>Connecticut Artificial Intelligence Responsibility and Transparency Act</w:t>
      </w:r>
      <w:r>
        <w:rPr>
          <w:rFonts w:ascii="Arial" w:hAnsi="Arial"/>
          <w:b w:val="0"/>
          <w:i w:val="0"/>
          <w:sz w:val="19"/>
        </w:rPr>
        <w:t xml:space="preserve"> (in der Berater-Literatur als </w:t>
      </w:r>
      <w:r>
        <w:rPr>
          <w:rFonts w:ascii="Arial" w:hAnsi="Arial"/>
          <w:b w:val="0"/>
          <w:i/>
          <w:sz w:val="19"/>
        </w:rPr>
        <w:t>CART Act</w:t>
      </w:r>
      <w:r>
        <w:rPr>
          <w:rFonts w:ascii="Arial" w:hAnsi="Arial"/>
          <w:b w:val="0"/>
          <w:i w:val="0"/>
          <w:sz w:val="19"/>
        </w:rPr>
        <w:t xml:space="preserve"> gefasst, gestaffeltes Inkrafttreten ab 1. Oktober 2026), der am 7. Mai 2026 provisorisch im Trilog vereinbarten und am 16. Juni 2026 vom Europäischen Parlament im Plenum bestätigten Fassung des </w:t>
      </w:r>
      <w:r>
        <w:rPr>
          <w:rFonts w:ascii="Arial" w:hAnsi="Arial"/>
          <w:b w:val="0"/>
          <w:i/>
          <w:sz w:val="19"/>
        </w:rPr>
        <w:t>Digital Omnibus on AI</w:t>
      </w:r>
      <w:r>
        <w:rPr>
          <w:rFonts w:ascii="Arial" w:hAnsi="Arial"/>
          <w:b w:val="0"/>
          <w:i w:val="0"/>
          <w:sz w:val="19"/>
        </w:rPr>
        <w:t xml:space="preserve"> (formale Annahme im Rat und Veröffentlichung im Amtsblatt vor dem 2. August 2026 erwartet), des am 10. Juni 2026 von Anthropic veröffentlichten dreiteiligen Pakets </w:t>
      </w:r>
      <w:r>
        <w:rPr>
          <w:rFonts w:ascii="Arial" w:hAnsi="Arial"/>
          <w:b w:val="0"/>
          <w:i/>
          <w:sz w:val="19"/>
        </w:rPr>
        <w:t>Policy on the AI Exponential</w:t>
      </w:r>
      <w:r>
        <w:rPr>
          <w:rFonts w:ascii="Arial" w:hAnsi="Arial"/>
          <w:b w:val="0"/>
          <w:i w:val="0"/>
          <w:sz w:val="19"/>
        </w:rPr>
        <w:t xml:space="preserve"> (Amodei-Aufsatz), </w:t>
      </w:r>
      <w:r>
        <w:rPr>
          <w:rFonts w:ascii="Arial" w:hAnsi="Arial"/>
          <w:b w:val="0"/>
          <w:i/>
          <w:sz w:val="19"/>
        </w:rPr>
        <w:t>Advanced AI Framework</w:t>
      </w:r>
      <w:r>
        <w:rPr>
          <w:rFonts w:ascii="Arial" w:hAnsi="Arial"/>
          <w:b w:val="0"/>
          <w:i w:val="0"/>
          <w:sz w:val="19"/>
        </w:rPr>
        <w:t xml:space="preserve"> und </w:t>
      </w:r>
      <w:r>
        <w:rPr>
          <w:rFonts w:ascii="Arial" w:hAnsi="Arial"/>
          <w:b w:val="0"/>
          <w:i/>
          <w:sz w:val="19"/>
        </w:rPr>
        <w:t>Economic Policy Framework</w:t>
      </w:r>
      <w:r>
        <w:rPr>
          <w:rFonts w:ascii="Arial" w:hAnsi="Arial"/>
          <w:b w:val="0"/>
          <w:i w:val="0"/>
          <w:sz w:val="19"/>
        </w:rPr>
        <w:t xml:space="preserve"> mit einem flankierenden Finanzierungsvolumen von 350 Mio. US-Dollar (200 Mio. </w:t>
      </w:r>
      <w:r>
        <w:rPr>
          <w:rFonts w:ascii="Arial" w:hAnsi="Arial"/>
          <w:b w:val="0"/>
          <w:i/>
          <w:sz w:val="19"/>
        </w:rPr>
        <w:t>Economic Futures Research Fund</w:t>
      </w:r>
      <w:r>
        <w:rPr>
          <w:rFonts w:ascii="Arial" w:hAnsi="Arial"/>
          <w:b w:val="0"/>
          <w:i w:val="0"/>
          <w:sz w:val="19"/>
        </w:rPr>
        <w:t xml:space="preserve">, 150 Mio. National Fellowship Program) und einer gestuften fiskalpolitischen Reaktionsleiter für 5 %, 10 % und „unprecedented" KI-induzierte Arbeitslosigkeit bis hin zu UBI, Sovereign Wealth Fund und Equity-Sharing, des am 18. Juni 2026 von Senator Bernie Sanders eingebrachten </w:t>
      </w:r>
      <w:r>
        <w:rPr>
          <w:rFonts w:ascii="Arial" w:hAnsi="Arial"/>
          <w:b w:val="0"/>
          <w:i/>
          <w:sz w:val="19"/>
        </w:rPr>
        <w:t>American AI Sovereign Wealth Fund Act</w:t>
      </w:r>
      <w:r>
        <w:rPr>
          <w:rFonts w:ascii="Arial" w:hAnsi="Arial"/>
          <w:b w:val="0"/>
          <w:i w:val="0"/>
          <w:sz w:val="19"/>
        </w:rPr>
        <w:t xml:space="preserve"> (50 % Equity-Einmalsteuer auf US-Unternehmen mit KI-Jahresumsatz ≥ 200 Mio. USD; Fondsvolumen rund 7 Bio. USD; 5 % jährliche Bürger­dividende — rund 1.000 USD pro Person und Jahr; Aufspaltungspflicht für gemischte Konzerne), des im Juni 2026 vom IAB als </w:t>
      </w:r>
      <w:r>
        <w:rPr>
          <w:rFonts w:ascii="Arial" w:hAnsi="Arial"/>
          <w:b w:val="0"/>
          <w:i/>
          <w:sz w:val="19"/>
        </w:rPr>
        <w:t>Kurzbericht 08/2026</w:t>
      </w:r>
      <w:r>
        <w:rPr>
          <w:rFonts w:ascii="Arial" w:hAnsi="Arial"/>
          <w:b w:val="0"/>
          <w:i w:val="0"/>
          <w:sz w:val="19"/>
        </w:rPr>
        <w:t xml:space="preserve"> (Friedrich &amp; Kagerl) publizierten Adoptions­befunds zu generativer KI in deutschen Betrieben (25 % Nutzungsanteil 2025 gegenüber 5 % 2023; 48 % bei Betrieben ≥ 200 Beschäftigte; 59 % im Sektor Information und Kommunikation), des am 10. Juni 2026 publizierten </w:t>
      </w:r>
      <w:r>
        <w:rPr>
          <w:rFonts w:ascii="Arial" w:hAnsi="Arial"/>
          <w:b w:val="0"/>
          <w:i/>
          <w:sz w:val="19"/>
        </w:rPr>
        <w:t>Anthropic Economic Index</w:t>
      </w:r>
      <w:r>
        <w:rPr>
          <w:rFonts w:ascii="Arial" w:hAnsi="Arial"/>
          <w:b w:val="0"/>
          <w:i w:val="0"/>
          <w:sz w:val="19"/>
        </w:rPr>
        <w:t xml:space="preserve">-Folgeberichts </w:t>
      </w:r>
      <w:r>
        <w:rPr>
          <w:rFonts w:ascii="Arial" w:hAnsi="Arial"/>
          <w:b w:val="0"/>
          <w:i/>
          <w:sz w:val="19"/>
        </w:rPr>
        <w:t>„Cadences"</w:t>
      </w:r>
      <w:r>
        <w:rPr>
          <w:rFonts w:ascii="Arial" w:hAnsi="Arial"/>
          <w:b w:val="0"/>
          <w:i w:val="0"/>
          <w:sz w:val="19"/>
        </w:rPr>
        <w:t xml:space="preserve"> (höher entlohnte Berufsgruppen binden bis zu 2,07-mal so viele Token wie niedrig entlohnte; 93 % der Konversationen mit konkretem Ergebnis; </w:t>
      </w:r>
      <w:r>
        <w:rPr>
          <w:rFonts w:ascii="Arial" w:hAnsi="Arial"/>
          <w:b w:val="0"/>
          <w:i/>
          <w:sz w:val="19"/>
        </w:rPr>
        <w:t>Anthropic Economic Index Survey</w:t>
      </w:r>
      <w:r>
        <w:rPr>
          <w:rFonts w:ascii="Arial" w:hAnsi="Arial"/>
          <w:b w:val="0"/>
          <w:i w:val="0"/>
          <w:sz w:val="19"/>
        </w:rPr>
        <w:t xml:space="preserve"> mit rund 9.700 Antworten, Verknüpfung Mai–Juni 2026), der im Juni 2026 veröffentlichten Tagesfortschreibung der Tech-Layoff-Tracker (TrueUp 157.807 Personen aus rund 420 Layoff-Meldungen, 892 pro Tag, 2026-Gesamtjahresprojektion rund 370.000; alternative SkillSyncer/eWeek-Aggregation 185.894 Personen aus 267 Ereignissen, 1.050 pro Tag; 56 % aller Events mit explizitem KI-/Automatisierungs-/ML-Bezug — 156.270 Beschäftigte in 150 Unternehmen) sowie des im Juni 2026 als NBER Working Paper 35336 erschienenen Modells </w:t>
      </w:r>
      <w:r>
        <w:rPr>
          <w:rFonts w:ascii="Arial" w:hAnsi="Arial"/>
          <w:b w:val="0"/>
          <w:i/>
          <w:sz w:val="19"/>
        </w:rPr>
        <w:t>„Automation and Repression"</w:t>
      </w:r>
      <w:r>
        <w:rPr>
          <w:rFonts w:ascii="Arial" w:hAnsi="Arial"/>
          <w:b w:val="0"/>
          <w:i w:val="0"/>
          <w:sz w:val="19"/>
        </w:rPr>
        <w:t xml:space="preserve"> von Acemoglu, Gitmez und Shadmehr (Komplementarität von Automatisierung und politischer Repression; Demokratie-Autoritarismus-Übergang als endogener Pfad).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23.0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