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erwartet das IAB in seiner Prognose für 2025/2026 einen leichten Rückgang der Erwerbstätigkeit um etwa 20.000 Personen und in dreizehn der sechzehn Bundesländer einen weiteren Anstieg der Arbeitslosigkeit. Parallel dazu dokumentiert eine Branchenauswertung für das erste Quartal 2026 rund 78.500 Stellenstreichungen in der weltweiten Tech-Industrie, davon etwa 48 % explizit als KI- oder Automatisierungsmaßnahmen begründet; zugleich stiegen KI-bezogene Stellenausschreibungen im selben Zeitraum deutlich an, was auf einen strukturellen Umbau der Beschäftigungszusammensetzung hindeutet.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Der Bericht ist der bislang konkreteste politische Vorstoß auf US-Bundesebene.</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weil es großzügig klinge, aber keine konkreten Selbstverpflichtungen des Absenders enthalte —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 April 2026 u. a. wegen versuchten Mordes und versuchter Brandstiftung angeklagt und ohne Kaution in Haft genommen. In der Nacht zum 12. April 2026 kam es zu einem weiteren Vorfall an Altmans Haus, bei dem ein Schuss aus einem vorbeifahrenden Fahrzeug fiel; zwei Personen wurden kurz darauf festgenommen. Der Anschlag ist als Einzeltat kein Beleg für eine breite Bewegung, er illustriert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(März 2026).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Presseinformation und Kurzbericht. https://iab.de/presseinfo/iab-prognose-fuer-2025-2026-arbeitsmarkt-profitiert-von-fiskalpaketen-wird-aber-durch-den-demografischen-wandel-gebremst/</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und der laufenden EU-Regulierungsarbeit zum AI Act.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6.0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