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eine Folgeaktualisierung der TrueUp-Tracker-Methodik zum 30. Mai 2026 weist 134.603 betroffene Personen aus 212 Layoff-Ereignissen aus (rund 897 Stellen pro Tag), wobei die Bewegung im zweiten Mai-Drittel maßgeblich durch die am 20. Mai 2026 vollzogene Notification von rund 8.000 Meta-Beschäftigten (rund 10 % der globalen Belegschaft; Streichung weiterer 6.000 offener Stellen, sodass die effektive Headcount-Reduktion bei rund 14.000 Positionen liegt; rund 7.000 Beschäftigte werden parallel in neu gebildete KI-Teams wie </w:t>
      </w:r>
      <w:r>
        <w:rPr>
          <w:rFonts w:ascii="Arial" w:hAnsi="Arial"/>
          <w:b w:val="0"/>
          <w:i/>
          <w:sz w:val="19"/>
        </w:rPr>
        <w:t>Applied AI Engineering</w:t>
      </w:r>
      <w:r>
        <w:rPr>
          <w:rFonts w:ascii="Arial" w:hAnsi="Arial"/>
          <w:b w:val="0"/>
          <w:i w:val="0"/>
          <w:sz w:val="19"/>
        </w:rPr>
        <w:t xml:space="preserve"> und </w:t>
      </w:r>
      <w:r>
        <w:rPr>
          <w:rFonts w:ascii="Arial" w:hAnsi="Arial"/>
          <w:b w:val="0"/>
          <w:i/>
          <w:sz w:val="19"/>
        </w:rPr>
        <w:t>Agent Transformation Accelerator XFN</w:t>
      </w:r>
      <w:r>
        <w:rPr>
          <w:rFonts w:ascii="Arial" w:hAnsi="Arial"/>
          <w:b w:val="0"/>
          <w:i w:val="0"/>
          <w:sz w:val="19"/>
        </w:rPr>
        <w:t xml:space="preserve"> umgesetzt; Capex-Erwartung 2026 zwischen 125 und 145 Mrd. USD bei einem 2025-Umsatz von 201 Mrd. USD) sowie durch die am selben Tag angekündigte Streichung von rund 3.000 Stellen (17 % der Belegschaft) bei </w:t>
      </w:r>
      <w:r>
        <w:rPr>
          <w:rFonts w:ascii="Arial" w:hAnsi="Arial"/>
          <w:b w:val="0"/>
          <w:i/>
          <w:sz w:val="19"/>
        </w:rPr>
        <w:t>Intuit</w:t>
      </w:r>
      <w:r>
        <w:rPr>
          <w:rFonts w:ascii="Arial" w:hAnsi="Arial"/>
          <w:b w:val="0"/>
          <w:i w:val="0"/>
          <w:sz w:val="19"/>
        </w:rPr>
        <w:t xml:space="preserve"> (Restrukturierungsaufwand 300–340 Mio. USD; Vorstandschef Sasan Goodarzi erklärt im Konjunktiv, die Reduktion sei nicht durch KI-Ersetzung getrieben, sondern durch Abbau von Management-Ebenen und Konsolidierung nach der Integration von Credit Karma und TurboTax; parallel Mehrjahresverträge mit Anthropic und OpenAI für die Einbettung von KI in die TurboTax- und Tax-and-Finance-Plattformen) getragen ist — beide Ankündigungen verfestigen die Cluster-F-Linie auch jenseits der Hyperscaler-Welle. Die zusätzlichen Meldungen im Anschluss an den 8. Mai 2026 sind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In einer am 7. Mai 2026 erzielten vorläufigen politischen Trilog-Einigung (Pressemitteilung des Rates der EU vom 7. Mai 2026; Berichterstattung Bird &amp; Bird, Hogan Lovells, White &amp; Case, Latham &amp; Watkins, Tech Policy Press) konvergieren beide Institutionen — wie schon Anfang Mai abzusehen war — auf Stichtage 2. Dezember 2027 (Anhang III) und 2. August 2028 (Anhang I) für die Hochrisiko-Pflichten; flankierend wird die Übergangsfrist für die Kennzeichnungspflicht künstlich erzeugter Inhalte nach Art. 50 von sechs auf drei Monate verkürzt (Stichtag 2. Dezember 2026), und ein neuer Verbotstatbestand für KI-Systeme zur Generierung nicht-einvernehmlicher intimer oder kinderpornografischer Inhalte tritt ebenfalls am 2. Dezember 2026 in Kraft. Die förmliche Verabschiedung soll noch vor dem ursprünglichen Stichtag 2. August 2026 erfolgen; nach Veröffentlichung im Amtsblatt der EU tritt die Änderung drei Tage später in Kraft.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den Entwurf am 11. Mai 2026 unterzeichnet (Berichterstattung Davis Wright Tremaine, DLA Piper, Future of Privacy Forum, Inside Global Tech, Ogletree, Akin Gump, Mai 2026); damit ist Connecticut der erste US-Bundesstaat mit einer breit angelegten KI-Querschnitts­gesetzgebung, die zugleich eine </w:t>
      </w:r>
      <w:r>
        <w:rPr>
          <w:rFonts w:ascii="Arial" w:hAnsi="Arial"/>
          <w:b w:val="0"/>
          <w:i/>
          <w:sz w:val="19"/>
        </w:rPr>
        <w:t>AI-Layoff-Disclosure</w:t>
      </w:r>
      <w:r>
        <w:rPr>
          <w:rFonts w:ascii="Arial" w:hAnsi="Arial"/>
          <w:b w:val="0"/>
          <w:i w:val="0"/>
          <w:sz w:val="19"/>
        </w:rPr>
        <w:t xml:space="preserve"> enthält.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Diskurs-Verschiebung Ende Mai 2026 — Altman-Revision und Olah-Gegenposition:</w:t>
      </w:r>
      <w:r>
        <w:rPr>
          <w:rFonts w:ascii="Arial" w:hAnsi="Arial"/>
          <w:b w:val="0"/>
          <w:i w:val="0"/>
          <w:sz w:val="19"/>
        </w:rPr>
        <w:t xml:space="preserve"> Eine bemerkenswerte rhetorische Verschiebung markiert das Frontier-Lager der KI-Anbieter selbst. OpenAI-Vorstandschef Sam Altman erklärte in einem am 26. Mai 2026 öffentlich gewordenen Gespräch mit dem CEO der Commonwealth Bank of Australia, er sei mit seiner Erwartung an eine schnelle Verdrängung von Einstiegspositionen im White-Collar-Bereich („jobs apocalypse") rückblickend „ziemlich falsch" gelegen — der bislang sichtbare Effekt sei geringer als 2025 angenommen; das Zitat wurde von </w:t>
      </w:r>
      <w:r>
        <w:rPr>
          <w:rFonts w:ascii="Arial" w:hAnsi="Arial"/>
          <w:b w:val="0"/>
          <w:i/>
          <w:sz w:val="19"/>
        </w:rPr>
        <w:t>Fortune</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und der </w:t>
      </w:r>
      <w:r>
        <w:rPr>
          <w:rFonts w:ascii="Arial" w:hAnsi="Arial"/>
          <w:b w:val="0"/>
          <w:i/>
          <w:sz w:val="19"/>
        </w:rPr>
        <w:t>Axios</w:t>
      </w:r>
      <w:r>
        <w:rPr>
          <w:rFonts w:ascii="Arial" w:hAnsi="Arial"/>
          <w:b w:val="0"/>
          <w:i w:val="0"/>
          <w:sz w:val="19"/>
        </w:rPr>
        <w:t xml:space="preserve">-Analyse vom 27. Mai 2026 referiert und in den Zusammenhang mit den für 2026 in Vorbereitung befindlichen IPO-Schritten von OpenAI und Anthropic gestellt. Im Konjunktiv signalisiert die Aussage einen Rückbau der eigenen Verdrängungs-Prognose im Vorlauf zu Investorengesprächen, nicht eine Revision der zugrundeliegenden Steuerverlagerungsvorschläge aus dem OpenAI-Strategiepapier vom April 2026. Spiegelbildlich hat Anthropic-Mitgründer Chris Olah in einer Rede vor der Synodenhalle des Vatikans am 25. Mai 2026 (anlässlich der Vorstellung der KI-Enzyklika </w:t>
      </w:r>
      <w:r>
        <w:rPr>
          <w:rFonts w:ascii="Arial" w:hAnsi="Arial"/>
          <w:b w:val="0"/>
          <w:i/>
          <w:sz w:val="19"/>
        </w:rPr>
        <w:t>Magnifica Humanitas</w:t>
      </w:r>
      <w:r>
        <w:rPr>
          <w:rFonts w:ascii="Arial" w:hAnsi="Arial"/>
          <w:b w:val="0"/>
          <w:i w:val="0"/>
          <w:sz w:val="19"/>
        </w:rPr>
        <w:t xml:space="preserve"> von Papst Leo XIV.) im Konjunktiv die Möglichkeit benannt, KI könne menschliche Arbeit „im sehr großen Maßstab" verdrängen, was eine angemessene Versorgung der Verdrängten zu einer „moralischen Verpflichtung historischen Ausmaßes" mache. Diese Konstellation — der CEO des einen Marktführers entdramatisiert, der Mitgründer des anderen dramatisiert — strukturiert die KI-Steuerdebatte insofern neu, als die wirtschaftsethische Begründung einer Robotersteuer (Sanders, OpenAI-Strategiepapier vom April 2026, Hamilton-Project-Papier Acemoglu/Autor/Johnson aus § 3.1) nun erstmals von einem Frontier-Labor selbst öffentlich gestützt wird, während die fiskalische Dringlichkeit von OpenAI in der eigenen Außendarstellung relativiert wird. Für die Bewertung in Kapitel 10 ist die Verschiebung relevant, weil sie das in § 9.1 / § 10.1 dokumentierte Kausalitätsproblem („wie viel KI-Verdrängung lässt sich nachweisen?") in ein zusätzliches </w:t>
      </w:r>
      <w:r>
        <w:rPr>
          <w:rFonts w:ascii="Arial" w:hAnsi="Arial"/>
          <w:b w:val="0"/>
          <w:i/>
          <w:sz w:val="19"/>
        </w:rPr>
        <w:t>Erwartungs</w:t>
      </w:r>
      <w:r>
        <w:rPr>
          <w:rFonts w:ascii="Arial" w:hAnsi="Arial"/>
          <w:b w:val="0"/>
          <w:i w:val="0"/>
          <w:sz w:val="19"/>
        </w:rPr>
        <w:t>-Problem überführt: Wenn führende Anbieter selbst ihre Prognose revidieren, wird die Anknüpfung eines Steuertatbestands an „nachgewiesene KI-Verdrängung" (Typ 5 nach § 2.1) zusätzlich politisch schwer verteidigbar.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pPr>
        <w:spacing w:before="120" w:after="80"/>
      </w:pPr>
      <w:r>
        <w:rPr>
          <w:rFonts w:ascii="Arial" w:hAnsi="Arial"/>
          <w:b/>
          <w:i w:val="0"/>
          <w:color w:val="2E75B6"/>
          <w:sz w:val="24"/>
        </w:rPr>
        <w:t>6.5 VR China: Arbeitsrechtlicher Schutz vor KI-bedingter Kündigung (Hangzhou-Urteil April/Mai 2026)</w:t>
      </w:r>
    </w:p>
    <w:p>
      <w:pPr>
        <w:jc w:val="both"/>
      </w:pPr>
      <w:r>
        <w:rPr>
          <w:rFonts w:ascii="Arial" w:hAnsi="Arial"/>
          <w:b w:val="0"/>
          <w:i w:val="0"/>
          <w:sz w:val="19"/>
        </w:rPr>
        <w:t xml:space="preserve">Die Volksrepublik China hat zwar bislang keine spezifische Robotersteuer eingeführt, setzt aber arbeitsrechtlich einen für die Steuerdebatte zentralen Schwellwert. Am 30. April 2026 hat das Mittlere Volksgericht von Hangzhou eine instanzenübergreifende Entscheidung veröffentlicht (zusammen mit einer Reihe „typischer Beispiele zum Schutz der Rechte von KI-Unternehmen und Beschäftigten" vor dem Internationalen Tag der Arbeit am 1. Mai), wonach allein die Einführung von KI-Systemen keinen ausreichenden Kündigungsgrund nach Art. 41 des chinesischen </w:t>
      </w:r>
      <w:r>
        <w:rPr>
          <w:rFonts w:ascii="Arial" w:hAnsi="Arial"/>
          <w:b w:val="0"/>
          <w:i/>
          <w:sz w:val="19"/>
        </w:rPr>
        <w:t>Labour Contract Law</w:t>
      </w:r>
      <w:r>
        <w:rPr>
          <w:rFonts w:ascii="Arial" w:hAnsi="Arial"/>
          <w:b w:val="0"/>
          <w:i w:val="0"/>
          <w:sz w:val="19"/>
        </w:rPr>
        <w:t xml:space="preserve"> darstellt. Der Kläger, ein Qualitätssicherungs-Supervisor (Pseudonym Zhou; Eintritt November 2022, Monatsgehalt 25.000 Yuan; verantwortlich für die Validierung von Outputs großer Sprachmodelle), war abgemahnt und mit einer 40-prozentigen Lohnkürzung in eine niedrigere Funktion versetzt worden, nachdem ein KI-System seine Tätigkeit übernommen hatte; nach seiner Weigerung wurde der Arbeitsvertrag mit Verweis auf „organisatorische Umstrukturierung und reduzierten Personalbedarf durch KI" gekündigt. Sowohl Schiedsstelle als auch erstinstanzliches Gericht als auch das Mittlere Volksgericht haben die Kündigung für rechtswidrig erklärt: KI-bedingte Effizienzgewinne erfüllten den engen Tatbestand einer „wesentlichen Änderung der objektiven Umstände" nicht; dafür reichten typischerweise nur Konzern-Verlagerungen, Fusionen oder vergleichbare strukturelle Anlässe. Berichterstattung in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(3. Mai 2026), </w:t>
      </w:r>
      <w:r>
        <w:rPr>
          <w:rFonts w:ascii="Arial" w:hAnsi="Arial"/>
          <w:b w:val="0"/>
          <w:i/>
          <w:sz w:val="19"/>
        </w:rPr>
        <w:t>Caixin</w:t>
      </w:r>
      <w:r>
        <w:rPr>
          <w:rFonts w:ascii="Arial" w:hAnsi="Arial"/>
          <w:b w:val="0"/>
          <w:i w:val="0"/>
          <w:sz w:val="19"/>
        </w:rPr>
        <w:t xml:space="preserve">, </w:t>
      </w:r>
      <w:r>
        <w:rPr>
          <w:rFonts w:ascii="Arial" w:hAnsi="Arial"/>
          <w:b w:val="0"/>
          <w:i/>
          <w:sz w:val="19"/>
        </w:rPr>
        <w:t>South China Morning Post</w:t>
      </w:r>
      <w:r>
        <w:rPr>
          <w:rFonts w:ascii="Arial" w:hAnsi="Arial"/>
          <w:b w:val="0"/>
          <w:i w:val="0"/>
          <w:sz w:val="19"/>
        </w:rPr>
        <w:t xml:space="preserve"> sowie der staatlichen </w:t>
      </w:r>
      <w:r>
        <w:rPr>
          <w:rFonts w:ascii="Arial" w:hAnsi="Arial"/>
          <w:b w:val="0"/>
          <w:i/>
          <w:sz w:val="19"/>
        </w:rPr>
        <w:t>English.scio.gov.cn</w:t>
      </w:r>
      <w:r>
        <w:rPr>
          <w:rFonts w:ascii="Arial" w:hAnsi="Arial"/>
          <w:b w:val="0"/>
          <w:i w:val="0"/>
          <w:sz w:val="19"/>
        </w:rPr>
        <w:t xml:space="preserve"> (30. April 2026) wertet die Entscheidung als Signal an Konzern-Personalabteilungen, dass eine rein automatisierungsbegründete Massenentlassung in der VR China zunehmend justiziabel wird. Für die hier geführte Steuerdebatte ist der Hangzhou-Fall doppelt relevant: Erstens markiert er das funktionale Gegenstück zur Connecticut-</w:t>
      </w:r>
      <w:r>
        <w:rPr>
          <w:rFonts w:ascii="Arial" w:hAnsi="Arial"/>
          <w:b w:val="0"/>
          <w:i/>
          <w:sz w:val="19"/>
        </w:rPr>
        <w:t>SB-5</w:t>
      </w:r>
      <w:r>
        <w:rPr>
          <w:rFonts w:ascii="Arial" w:hAnsi="Arial"/>
          <w:b w:val="0"/>
          <w:i w:val="0"/>
          <w:sz w:val="19"/>
        </w:rPr>
        <w:t>-Disclosure (§ 4.5) — wo Connecticut die Informationsbasis für eine spätere fiskalische Anknüpfung schafft, errichtet China eine arbeitsrechtliche Vorabhürde, die KI-Substitution prozessual verteuert; zweitens stützt er das in § 9.1 dokumentierte Befund, dass die Anknüpfung einer Typ-5-Ersatzabgabe an „nachgewiesene KI-Verdrängung" rechtsstaatlich unterschiedlich operationalisiert werden kann — fiskalisch (USA-Sanders), informationsrechtlich (Connecticut) oder unmittelbar arbeitsrechtlich (VR China). Eine Übertragung auf den deutschen Rechtsrahmen ist nicht direkt möglich (in Deutschland greift bei betriebsbedingten Kündigungen § 1 KSchG mit Sozialauswahl und Verhältnismäßigkeitsprüfung); der Vorgang erweitert aber den Vergleichsraum für die in § 9.4 diskutierten Umgehungsstrategien um eine arbeitsrechtliche Anschauung außerhalb des westlichen Diskussionskorridors.</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NPR / Quartz / The Next Web / Storyboard18 / Fortune / Android Headlines. (20.–22. Mai 2026). </w:t>
      </w:r>
      <w:r>
        <w:rPr>
          <w:rFonts w:ascii="Arial" w:hAnsi="Arial"/>
          <w:b w:val="0"/>
          <w:i/>
          <w:sz w:val="19"/>
        </w:rPr>
        <w:t>Meta slashes 8,000 jobs as it pivots towards AI / Meta layoffs 2026: 8,000 jobs cut in AI restructuring / Meta cuts 8,000 jobs and cancels 6,000 open roles as $135B AI spending reshapes the company from the inside / Meta's AI overhaul triggers 8,000 layoffs as Zuckerberg promises no more company-wide cuts in 2026.</w:t>
      </w:r>
      <w:r>
        <w:rPr>
          <w:rFonts w:ascii="Arial" w:hAnsi="Arial"/>
          <w:b w:val="0"/>
          <w:i w:val="0"/>
          <w:sz w:val="19"/>
        </w:rPr>
        <w:t xml:space="preserve"> Notification von rund 8.000 Beschäftigten am 20. Mai 2026 (rund 10 % der globalen Belegschaft); zusätzliche Streichung von 6.000 offenen Stellen (effektive Headcount-Reduktion ~14.000); rund 7.000 Beschäftigte in neu gebildete KI-Teams (Applied AI Engineering, Agent Transformation Accelerator XFN, Central Analytics) umgesetzt; Capex-Erwartung 2026 zwischen 125 und 145 Mrd. USD bei 2025-Umsatz 201 Mrd. USD. https://www.npr.org/2026/05/20/nx-s1-5826917/meta-layoffs-ai-jobs | https://finance.yahoo.com/sectors/technology/articles/meta-layoffs-2026-8-000-114209703.html | https://thenextweb.com/news/meta-layoffs-8000-ai-restructuring-may-2026 | https://qz.com/meta-layoffs-8000-jobs-ai-restructuring-052026</w:t>
      </w:r>
    </w:p>
    <w:p>
      <w:pPr>
        <w:jc w:val="both"/>
      </w:pPr>
      <w:r>
        <w:rPr>
          <w:rFonts w:ascii="Arial" w:hAnsi="Arial"/>
          <w:b w:val="0"/>
          <w:i w:val="0"/>
          <w:sz w:val="19"/>
        </w:rPr>
        <w:t xml:space="preserve">TechCrunch / CNBC / Quartz / heygotrade. (20. Mai 2026). </w:t>
      </w:r>
      <w:r>
        <w:rPr>
          <w:rFonts w:ascii="Arial" w:hAnsi="Arial"/>
          <w:b w:val="0"/>
          <w:i/>
          <w:sz w:val="19"/>
        </w:rPr>
        <w:t>Intuit to lay off over 3,000 employees to refocus on AI / Intuit CEO says company's 17% workforce cut had „nothing to do with AI" / Meta Cuts 8,000 Jobs, Intuit Slashes 17% in AI Pivot.</w:t>
      </w:r>
      <w:r>
        <w:rPr>
          <w:rFonts w:ascii="Arial" w:hAnsi="Arial"/>
          <w:b w:val="0"/>
          <w:i w:val="0"/>
          <w:sz w:val="19"/>
        </w:rPr>
        <w:t xml:space="preserve"> Streichung von rund 3.000 Stellen (17 % der Belegschaft); Restrukturierungsaufwand 300–340 Mio. USD; Schließung der Standorte Reno und Woodland Hills; US-Beschäftigte mit letztem Arbeitstag 31. Juli 2026 (Abfindung 16 Wochen + 2 Wochen pro Beschäftigungsjahr); Vorstandschef Sasan Goodarzi erklärt im Konjunktiv, die Reduktion sei nicht KI-getrieben, sondern Abbau von Management-Ebenen und Konsolidierung nach Integration von Credit Karma und TurboTax; parallel Mehrjahresverträge mit Anthropic und OpenAI für die Einbettung von KI in TurboTax und die Tax-and-Finance-Plattformen. https://techcrunch.com/2026/05/20/intuit-to-lay-off-over-3000-employees-to-refocus-on-ai/ | https://www.cnbc.com/2026/05/20/intuit-ceo-says-companys-17percent-workforce-cut-had-nothing-to-do-with-ai.html | https://qz.com/intuit-layoffs-workforce-reduction-ai-restructuring-052026 | https://www.heygotrade.com/en/news/tech-layoffs-meta-intuit-ai-restructuring/</w:t>
      </w:r>
    </w:p>
    <w:p>
      <w:pPr>
        <w:jc w:val="both"/>
      </w:pPr>
      <w:r>
        <w:rPr>
          <w:rFonts w:ascii="Arial" w:hAnsi="Arial"/>
          <w:b w:val="0"/>
          <w:i w:val="0"/>
          <w:sz w:val="19"/>
        </w:rPr>
        <w:t xml:space="preserve">TrueUp / SkillSyncer / Tech Times. (Stand 30. Mai 2026). </w:t>
      </w:r>
      <w:r>
        <w:rPr>
          <w:rFonts w:ascii="Arial" w:hAnsi="Arial"/>
          <w:b w:val="0"/>
          <w:i/>
          <w:sz w:val="19"/>
        </w:rPr>
        <w:t>Tech Layoffs Tracker — Tagesfortschreibung 30. Mai 2026: 134.603 betroffene Personen aus 212 Layoff-Ereignissen (rund 897 Stellen pro Tag); Anstieg auf 142.000 nach Branchen-Auswertung Ende Mai 2026 (Challenger-Methodik); SkillSyncer-Tracker mit kumuliertem 2026-Stand.</w:t>
      </w:r>
      <w:r>
        <w:rPr>
          <w:rFonts w:ascii="Arial" w:hAnsi="Arial"/>
          <w:b w:val="0"/>
          <w:i w:val="0"/>
          <w:sz w:val="19"/>
        </w:rPr>
        <w:t xml:space="preserve"> https://www.trueup.io/layoffs | https://skillsyncer.com/layoffs-tracker | https://www.techtimes.com/articles/317392/20260529/tech-layoffs-reach-142000-2026-profitable-companies-cut-jobs-fund-700b-ai-infrastructure.htm | https://www.techtimes.com/articles/316802/20260518/tech-layoffs-surpass-113000-2026-no-federal-law-requiring-ai-disclosure.htm</w:t>
      </w:r>
    </w:p>
    <w:p>
      <w:pPr>
        <w:jc w:val="both"/>
      </w:pPr>
      <w:r>
        <w:rPr>
          <w:rFonts w:ascii="Arial" w:hAnsi="Arial"/>
          <w:b w:val="0"/>
          <w:i w:val="0"/>
          <w:sz w:val="19"/>
        </w:rPr>
        <w:t xml:space="preserve">Fortune / TIME / Euronews / Axios. (26./27. Mai 2026). </w:t>
      </w:r>
      <w:r>
        <w:rPr>
          <w:rFonts w:ascii="Arial" w:hAnsi="Arial"/>
          <w:b w:val="0"/>
          <w:i/>
          <w:sz w:val="19"/>
        </w:rPr>
        <w:t>Sam Altman and Dario Amodei are both walking back their AI jobs apocalypse prophecies as they eye blockbuster IPOs / Sam Altman Says AI „Jobs Apocalypse" He Once Predicted Probably Won't Happen / No AI „jobs apocalypse" so far, says OpenAI's Sam Altman / OpenAI and Anthropic dig in against each other on AI jobs apocalypse.</w:t>
      </w:r>
      <w:r>
        <w:rPr>
          <w:rFonts w:ascii="Arial" w:hAnsi="Arial"/>
          <w:b w:val="0"/>
          <w:i w:val="0"/>
          <w:sz w:val="19"/>
        </w:rPr>
        <w:t xml:space="preserve"> Altman im Gespräch mit dem CEO der Commonwealth Bank of Australia: „pretty wrong" bzgl. der Geschwindigkeit der Verdrängung von Einstiegspositionen; Kontext der für 2026 in Vorbereitung befindlichen IPO-Schritte von OpenAI und Anthropic. https://fortune.com/2026/05/26/sam-altman-dario-amodei-walking-back-ai-jobs-apocalypse-prophecies-ipo/ | https://time.com/article/2026/05/26/sam-altman-ai-job-losses-openAI-/ | https://www.euronews.com/next/2026/05/26/no-ai-jobs-apocalypse-so-far-says-openais-sam-altman | https://www.axios.com/2026/05/27/ai-hype-doom-openai-anthropic</w:t>
      </w:r>
    </w:p>
    <w:p>
      <w:pPr>
        <w:jc w:val="both"/>
      </w:pPr>
      <w:r>
        <w:rPr>
          <w:rFonts w:ascii="Arial" w:hAnsi="Arial"/>
          <w:b w:val="0"/>
          <w:i w:val="0"/>
          <w:sz w:val="19"/>
        </w:rPr>
        <w:t xml:space="preserve">Religion News Service / EWTN Vatican / Fortune / Catholic Register / Crypto Briefing. (22.–26. Mai 2026). </w:t>
      </w:r>
      <w:r>
        <w:rPr>
          <w:rFonts w:ascii="Arial" w:hAnsi="Arial"/>
          <w:b w:val="0"/>
          <w:i/>
          <w:sz w:val="19"/>
        </w:rPr>
        <w:t>Inside the unlikely Vatican-Anthropic relationship that's reshaping the AI ethics debate / Anthropic Co-Founder Warns on AI Ethics at Vatican / The Pope's „AI encyclical" says a lot. Yet critics say it misses AI's most pressing challenges / Anthropic's Christopher Olah urges global moral oversight of AI at Vatican presentation / Anthropic co-founder Chris Olah addresses Vatican on AI ethics, warns of labor displacement „at very large scale".</w:t>
      </w:r>
      <w:r>
        <w:rPr>
          <w:rFonts w:ascii="Arial" w:hAnsi="Arial"/>
          <w:b w:val="0"/>
          <w:i w:val="0"/>
          <w:sz w:val="19"/>
        </w:rPr>
        <w:t xml:space="preserve"> Vorstellung der KI-Enzyklika </w:t>
      </w:r>
      <w:r>
        <w:rPr>
          <w:rFonts w:ascii="Arial" w:hAnsi="Arial"/>
          <w:b w:val="0"/>
          <w:i/>
          <w:sz w:val="19"/>
        </w:rPr>
        <w:t>Magnifica Humanitas: On Safeguarding the Human Person in the Age of Artificial Intelligence</w:t>
      </w:r>
      <w:r>
        <w:rPr>
          <w:rFonts w:ascii="Arial" w:hAnsi="Arial"/>
          <w:b w:val="0"/>
          <w:i w:val="0"/>
          <w:sz w:val="19"/>
        </w:rPr>
        <w:t xml:space="preserve"> von Papst Leo XIV. am 25. Mai 2026 in der Synodenhalle des Vatikans mit Chris Olah als Mitvorstellendem; Olah im Konjunktiv: KI könne menschliche Arbeit „im sehr großen Maßstab" verdrängen, Versorgung der Verdrängten sei „moralische Verpflichtung historischen Ausmaßes". https://religionnews.com/2026/05/22/why-anthropic-is-helping-unveil-the-popes-new-encyclical-on-ai/ | https://ewtnvatican.com/articles/anthropic-ai-ethics-vatican-magnifica-humanitas | https://fortune.com/2026/05/26/pope-leo-ai-encyclical-ai-regulation-anthropic/ | https://www.catholicregister.org/item/3964-anthropics-christopher-olah-urges-global-moral-oversight-of-ai-at-vatican-presentation | https://cryptobriefing.com/anthropic-olah-vatican-ai-ethics/</w:t>
      </w:r>
    </w:p>
    <w:p>
      <w:pPr>
        <w:jc w:val="both"/>
      </w:pPr>
      <w:r>
        <w:rPr>
          <w:rFonts w:ascii="Arial" w:hAnsi="Arial"/>
          <w:b w:val="0"/>
          <w:i w:val="0"/>
          <w:sz w:val="19"/>
        </w:rPr>
        <w:t xml:space="preserve">Bloomberg / Fortune / NPR / Caixin Global / South China Morning Post / Tom's Hardware / English.scio.gov.cn / The Next Web / Fisher Phillips / AI Certs. (30. April – 3. Mai 2026). </w:t>
      </w:r>
      <w:r>
        <w:rPr>
          <w:rFonts w:ascii="Arial" w:hAnsi="Arial"/>
          <w:b w:val="0"/>
          <w:i/>
          <w:sz w:val="19"/>
        </w:rPr>
        <w:t>Chinese Court Bars Companies From Firing Workers Solely for AI Replacement / Chinese court rules firms can't lay off workers on AI grounds / A tech worker in China is laid off and replaced by AI. Is it legal? / Chinese Courts Rule Companies Cannot Fire Workers Simply to Replace Them With AI / AI cost-cutting not a legal excuse to fire workers / Chinese court rules companies can't fire workers just because AI is cheaper / Chinese court defends labor rights in new AI-replacement case / Chinese Court Rules Employer Can't Fire Worker Because AI Took His Job: Why All Global Employers Should Take Note / Hangzhou Ruling Advances AI Labor Rights In Corporate China.</w:t>
      </w:r>
      <w:r>
        <w:rPr>
          <w:rFonts w:ascii="Arial" w:hAnsi="Arial"/>
          <w:b w:val="0"/>
          <w:i w:val="0"/>
          <w:sz w:val="19"/>
        </w:rPr>
        <w:t xml:space="preserve"> Veröffentlichte Entscheidung des Mittleren Volksgerichts Hangzhou vom 30. April 2026 (Pseudonym-Fall Zhou; QA-Supervisor, Eintritt November 2022, Monatsgehalt 25.000 Yuan; nach Übernahme der Tätigkeit durch ein KI-System Abmahnung, Versetzung mit 40-prozentiger Lohnkürzung, Weigerung, Kündigung wegen „organisatorischer Umstrukturierung und reduzierten Personalbedarfs durch KI"); instanzenübergreifend für rechtswidrig erklärt; KI-bedingte Effizienzgewinne erfüllen den Tatbestand „wesentliche Änderung der objektiven Umstände" nach Art. 41 </w:t>
      </w:r>
      <w:r>
        <w:rPr>
          <w:rFonts w:ascii="Arial" w:hAnsi="Arial"/>
          <w:b w:val="0"/>
          <w:i/>
          <w:sz w:val="19"/>
        </w:rPr>
        <w:t>Labour Contract Law</w:t>
      </w:r>
      <w:r>
        <w:rPr>
          <w:rFonts w:ascii="Arial" w:hAnsi="Arial"/>
          <w:b w:val="0"/>
          <w:i w:val="0"/>
          <w:sz w:val="19"/>
        </w:rPr>
        <w:t xml:space="preserve"> nicht. https://www.bloomberg.com/news/articles/2026-05-02/chinese-court-rules-firms-can-t-lay-off-workers-on-ai-grounds | https://fortune.com/2026/05/03/chinese-court-layoffs-workers-ai-replacement-labor-market/ | https://www.npr.org/2026/05/01/nx-s1-5807131/tech-worker-china-ai | https://www.caixinglobal.com/2026-04-30/chinese-courts-rule-companies-cannot-fire-workers-simply-to-replace-them-with-ai-102439602.html | https://www.scmp.com/tech/tech-trends/article/3352327/ai-cost-cutting-not-legal-excuse-fire-workers-chinese-court-says | http://english.scio.gov.cn/m/chinavoices/2026-04/30/content_118471189.html | https://www.fisherphillips.com/en/insights/insights/chinese-court-rules-employer-cant-fire-worker-because-ai-took-his-job</w:t>
      </w:r>
    </w:p>
    <w:p>
      <w:pPr>
        <w:jc w:val="both"/>
      </w:pPr>
      <w:r>
        <w:rPr>
          <w:rFonts w:ascii="Arial" w:hAnsi="Arial"/>
          <w:b w:val="0"/>
          <w:i w:val="0"/>
          <w:sz w:val="19"/>
        </w:rPr>
        <w:t xml:space="preserve">Council of the EU / Bird &amp; Bird / Hogan Lovells / White &amp; Case / Latham &amp; Watkins / Tech Policy Press / Modulos / Mishcon de Reya. (7. Mai 2026 ff.). </w:t>
      </w:r>
      <w:r>
        <w:rPr>
          <w:rFonts w:ascii="Arial" w:hAnsi="Arial"/>
          <w:b w:val="0"/>
          <w:i/>
          <w:sz w:val="19"/>
        </w:rPr>
        <w:t>Artificial Intelligence: Council and Parliament agree to simplify and streamline rules / EU Digital Omnibus Deal: Simplification of AI Act and Postponed Deadlines / EU legislators agree to delay for high-risk AI rules / EU agrees Digital Omnibus deal to simplify AI rules / AI Act Update: EU Resolves to Change Rules and Extend Deadlines / EU AI Act Delayed: The Omnibus Deal Closed on 7 May 2026 / What the EU AI Omnibus Deal Changes for the AI Act and What Lies Ahead / Digital Omnibus on AI Provisional Agreement Reached at the May Trilogue / EU AI Act simplified? Unpacking the AI Omnibus Agreement of May 2026.</w:t>
      </w:r>
      <w:r>
        <w:rPr>
          <w:rFonts w:ascii="Arial" w:hAnsi="Arial"/>
          <w:b w:val="0"/>
          <w:i w:val="0"/>
          <w:sz w:val="19"/>
        </w:rPr>
        <w:t xml:space="preserve"> Vorläufige politische Trilog-Einigung vom 7. Mai 2026 zum </w:t>
      </w:r>
      <w:r>
        <w:rPr>
          <w:rFonts w:ascii="Arial" w:hAnsi="Arial"/>
          <w:b w:val="0"/>
          <w:i/>
          <w:sz w:val="19"/>
        </w:rPr>
        <w:t>Digital Omnibus on AI</w:t>
      </w:r>
      <w:r>
        <w:rPr>
          <w:rFonts w:ascii="Arial" w:hAnsi="Arial"/>
          <w:b w:val="0"/>
          <w:i w:val="0"/>
          <w:sz w:val="19"/>
        </w:rPr>
        <w:t>: Verschiebung der Hochrisiko-Pflichten auf 2. Dezember 2027 (Anhang III) und 2. August 2028 (Anhang I); Verkürzung der Übergangsfrist für die Kennzeichnungspflicht künstlich erzeugter Inhalte nach Art. 50 von sechs auf drei Monate (Stichtag 2. Dezember 2026); neuer Verbotstatbestand für KI-Systeme zur Generierung nicht-einvernehmlicher intimer oder kinderpornografischer Inhalte (Stichtag 2. Dezember 2026); förmliche Verabschiedung vor 2. August 2026 angestrebt. https://www.consilium.europa.eu/en/press/press-releases/2026/05/07/artificial-intelligence-council-and-parliament-agree-to-simplify-and-streamline-rules/ | https://www.twobirds.com/en/insights/2026/digital-omnibus-on-ai-provisional-agreement-reached-at-the-may-trilogue | https://www.hoganlovells.com/en/publications/eu-legislators-agree-to-delay-for-highrisk-ai-rules | https://www.whitecase.com/insight-alert/eu-agrees-digital-omnibus-deal-simplify-ai-rules | https://www.lw.com/en/insights/ai-act-update-eu-resolves-to-change-rules-and-extend-deadlines | https://www.techpolicy.press/what-the-eu-ai-omnibus-deal-changes-for-the-ai-act-and-what-lies-ahead/ | https://www.modulos.ai/blog/eu-ai-act-omnibus-deal/</w:t>
      </w:r>
    </w:p>
    <w:p>
      <w:pPr>
        <w:jc w:val="both"/>
      </w:pPr>
      <w:r>
        <w:rPr>
          <w:rFonts w:ascii="Arial" w:hAnsi="Arial"/>
          <w:b w:val="0"/>
          <w:i w:val="0"/>
          <w:sz w:val="19"/>
        </w:rPr>
        <w:t xml:space="preserve">Davis Wright Tremaine / DLA Piper / Future of Privacy Forum / Inside Global Tech / Ogletree Deakins / Akin Gump / Let's Data Science. (Mai 2026). </w:t>
      </w:r>
      <w:r>
        <w:rPr>
          <w:rFonts w:ascii="Arial" w:hAnsi="Arial"/>
          <w:b w:val="0"/>
          <w:i/>
          <w:sz w:val="19"/>
        </w:rPr>
        <w:t>Connecticut Adopts AI Transparency, Safety, and Consumer Protection Law / Unpacking SB5: Connecticut's new AI law / SB 5 in Five: What to Know About Connecticut's New AI Law / Connecticut Passes Comprehensive AI Law / New Connecticut Law Restricts Employer AI Use, Mandates Notice for AI-Caused RIFs / The Growing Patchwork of State AI Laws: What It Means for Employers / Connecticut Enacts SB 5 Regulating AI Systems.</w:t>
      </w:r>
      <w:r>
        <w:rPr>
          <w:rFonts w:ascii="Arial" w:hAnsi="Arial"/>
          <w:b w:val="0"/>
          <w:i w:val="0"/>
          <w:sz w:val="19"/>
        </w:rPr>
        <w:t xml:space="preserve"> Berichterstattung zur Unterzeichnung des </w:t>
      </w:r>
      <w:r>
        <w:rPr>
          <w:rFonts w:ascii="Arial" w:hAnsi="Arial"/>
          <w:b w:val="0"/>
          <w:i/>
          <w:sz w:val="19"/>
        </w:rPr>
        <w:t>SB 5 — Connecticut Artificial Intelligence Responsibility and Transparency Act</w:t>
      </w:r>
      <w:r>
        <w:rPr>
          <w:rFonts w:ascii="Arial" w:hAnsi="Arial"/>
          <w:b w:val="0"/>
          <w:i w:val="0"/>
          <w:sz w:val="19"/>
        </w:rPr>
        <w:t xml:space="preserve"> durch Gouverneur Ned Lamont am 11. Mai 2026 (39-Sektionen-Gesetz; Inkrafttreten der meisten Regelungen 1. Oktober 2026; </w:t>
      </w:r>
      <w:r>
        <w:rPr>
          <w:rFonts w:ascii="Arial" w:hAnsi="Arial"/>
          <w:b w:val="0"/>
          <w:i/>
          <w:sz w:val="19"/>
        </w:rPr>
        <w:t>AI-Layoff-Disclosure</w:t>
      </w:r>
      <w:r>
        <w:rPr>
          <w:rFonts w:ascii="Arial" w:hAnsi="Arial"/>
          <w:b w:val="0"/>
          <w:i w:val="0"/>
          <w:sz w:val="19"/>
        </w:rPr>
        <w:t>-Komponente erstmals US-bundesstaatlich kodifiziert). https://www.dwt.com/blogs/artificial-intelligence-law-advisor/2026/05/ct-ai-transparency-safety-consumer-protection-law | https://www.dlapiper.com/en-us/insights/publications/2026/05/unpacking-connecticuts-new-ai-law | https://fpf.org/blog/sb-5-in-five-what-to-know-about-connecticuts-new-ai-law/ | https://www.insideglobaltech.com/2026/05/14/connecticut-passes-comprehensive-ai-law/ | https://ogletree.com/insights-resources/blog-posts/new-connecticut-law-restricts-employer-ai-use-mandates-notice-for-ai-caused-rifs/ | https://www.akingump.com/en/insights/alerts/the-growing-patchwork-of-state-ai-laws-what-it-means-for-employers</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Ende Mai 2026 (Schnitt am 31. Mai 2026 — Lauf 002 vom 31. Mai 2026) wieder. Die Debatte entwickelt sich dynamisch, insbesondere im Zuge der am 7. Mai 2026 erzielten vorläufigen politischen Trilog-Einigung zum </w:t>
      </w:r>
      <w:r>
        <w:rPr>
          <w:rFonts w:ascii="Arial" w:hAnsi="Arial"/>
          <w:b w:val="0"/>
          <w:i/>
          <w:sz w:val="19"/>
        </w:rPr>
        <w:t>Digital Omnibus on AI</w:t>
      </w:r>
      <w:r>
        <w:rPr>
          <w:rFonts w:ascii="Arial" w:hAnsi="Arial"/>
          <w:b w:val="0"/>
          <w:i w:val="0"/>
          <w:sz w:val="19"/>
        </w:rPr>
        <w:t xml:space="preserve"> (Stichtage 2. Dezember 2027 für Anhang III und 2. August 2028 für Anhang I; Verkürzung der Übergangsfrist für die Kennzeichnungspflicht nach Art. 50 von sechs auf drei Monate mit Stichtag 2. Dezember 2026; neuer Verbotstatbestand für nicht-einvernehmliche intime Inhalte ab 2. Dezember 2026; förmliche Verabschiedung vor 2. August 2026 angestrebt), der am 11. Mai 2026 erfolgten Unterzeichnung des </w:t>
      </w:r>
      <w:r>
        <w:rPr>
          <w:rFonts w:ascii="Arial" w:hAnsi="Arial"/>
          <w:b w:val="0"/>
          <w:i/>
          <w:sz w:val="19"/>
        </w:rPr>
        <w:t>SB 5 — Connecticut Artificial Intelligence Responsibility and Transparency Act</w:t>
      </w:r>
      <w:r>
        <w:rPr>
          <w:rFonts w:ascii="Arial" w:hAnsi="Arial"/>
          <w:b w:val="0"/>
          <w:i w:val="0"/>
          <w:sz w:val="19"/>
        </w:rPr>
        <w:t xml:space="preserve"> durch Gouverneur Ned Lamont (erste breit angelegte KI-Querschnittsgesetzgebung eines US-Bundesstaates mit </w:t>
      </w:r>
      <w:r>
        <w:rPr>
          <w:rFonts w:ascii="Arial" w:hAnsi="Arial"/>
          <w:b w:val="0"/>
          <w:i/>
          <w:sz w:val="19"/>
        </w:rPr>
        <w:t>AI-Layoff-Disclosure</w:t>
      </w:r>
      <w:r>
        <w:rPr>
          <w:rFonts w:ascii="Arial" w:hAnsi="Arial"/>
          <w:b w:val="0"/>
          <w:i w:val="0"/>
          <w:sz w:val="19"/>
        </w:rPr>
        <w:t xml:space="preserve">), der am 30. April 2026 publizierten Entscheidung des Mittleren Volksgerichts Hangzhou (Pseudonym-Fall Zhou), wonach allein die Einführung von KI-Systemen keinen ausreichenden Kündigungsgrund nach Art. 41 des chinesischen </w:t>
      </w:r>
      <w:r>
        <w:rPr>
          <w:rFonts w:ascii="Arial" w:hAnsi="Arial"/>
          <w:b w:val="0"/>
          <w:i/>
          <w:sz w:val="19"/>
        </w:rPr>
        <w:t>Labour Contract Law</w:t>
      </w:r>
      <w:r>
        <w:rPr>
          <w:rFonts w:ascii="Arial" w:hAnsi="Arial"/>
          <w:b w:val="0"/>
          <w:i w:val="0"/>
          <w:sz w:val="19"/>
        </w:rPr>
        <w:t xml:space="preserve"> darstellt — eine arbeitsrechtliche Vorab-Hürde, die KI-Substitution prozessual verteuert (vgl. § 6.5), der diskursverschiebenden Aussage von OpenAI-Vorstandschef Sam Altman vom 26. Mai 2026 („I was pretty wrong" zur „jobs apocalypse"-Erwartung), die spiegelbildlich zur Rede von Anthropic-Mitgründer Chris Olah am 25. Mai 2026 vor der Synodenhalle des Vatikans anlässlich der KI-Enzyklika </w:t>
      </w:r>
      <w:r>
        <w:rPr>
          <w:rFonts w:ascii="Arial" w:hAnsi="Arial"/>
          <w:b w:val="0"/>
          <w:i/>
          <w:sz w:val="19"/>
        </w:rPr>
        <w:t>Magnifica Humanitas</w:t>
      </w:r>
      <w:r>
        <w:rPr>
          <w:rFonts w:ascii="Arial" w:hAnsi="Arial"/>
          <w:b w:val="0"/>
          <w:i w:val="0"/>
          <w:sz w:val="19"/>
        </w:rPr>
        <w:t xml:space="preserve"> steht (im Konjunktiv: KI könne menschliche Arbeit „im sehr großen Maßstab" verdrängen), der am 20. Mai 2026 vollzogenen Notification von rund 8.000 </w:t>
      </w:r>
      <w:r>
        <w:rPr>
          <w:rFonts w:ascii="Arial" w:hAnsi="Arial"/>
          <w:b w:val="0"/>
          <w:i/>
          <w:sz w:val="19"/>
        </w:rPr>
        <w:t>Meta</w:t>
      </w:r>
      <w:r>
        <w:rPr>
          <w:rFonts w:ascii="Arial" w:hAnsi="Arial"/>
          <w:b w:val="0"/>
          <w:i w:val="0"/>
          <w:sz w:val="19"/>
        </w:rPr>
        <w:t xml:space="preserve">-Beschäftigten (rund 10 % der globalen Belegschaft; weitere 6.000 offene Stellen gestrichen, effektive Headcount-Reduktion rund 14.000; parallele Umsetzung von rund 7.000 Beschäftigten in neu gebildete KI-Teams; Capex-Erwartung 2026 zwischen 125 und 145 Mrd. USD) und der zeitgleich angekündigten Streichung von rund 3.000 Stellen (17 % der Belegschaft) bei </w:t>
      </w:r>
      <w:r>
        <w:rPr>
          <w:rFonts w:ascii="Arial" w:hAnsi="Arial"/>
          <w:b w:val="0"/>
          <w:i/>
          <w:sz w:val="19"/>
        </w:rPr>
        <w:t>Intuit</w:t>
      </w:r>
      <w:r>
        <w:rPr>
          <w:rFonts w:ascii="Arial" w:hAnsi="Arial"/>
          <w:b w:val="0"/>
          <w:i w:val="0"/>
          <w:sz w:val="19"/>
        </w:rPr>
        <w:t xml:space="preserve"> (Restrukturierungsaufwand 300–340 Mio. USD; CEO Sasan Goodarzi erklärt im Konjunktiv, die Reduktion sei nicht KI-getrieben; parallel Mehrjahresverträge mit Anthropic und OpenAI für die Einbettung von KI in TurboTax und die Tax-and-Finance-Plattformen), der zum 30. Mai 2026 publizierten TrueUp-Tagesfortschreibung (134.603 betroffene Personen aus 212 Layoff-Ereignissen, rund 897 Stellen pro Tag), des OpenAI-Strategiepapiers vom 6. April 2026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