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Bis Anfang Juni 2026 setzen sich diese Linien sichtbar fort: TrueUp meldet zum 1. Juni 2026 einen kumulierten Stand von 148.092 Tech-Stellenstreichungen aus 354 Layoff-Meldungen seit Jahresbeginn (durchschnittlich rund 981 Personen pro Tag, etwa 46 % über dem Niveau des Jahres 2025); Tech-Times-/Yahoo-Finance-Auswertungen zur gleichen Zeit beziffern die Gesamtsumme der ersten fünf Monate auf rund 142.000 Tech-Stellen und konstatieren ein Jahres-Lauftempo, das auf einen Gesamtwert nahe 370.000 zusteuere — vergleichbar mit dem Nach-Pandemie-Spitzenwert von rund 430.000 (2023). Am 20. Mai 2026 hat </w:t>
      </w:r>
      <w:r>
        <w:rPr>
          <w:rFonts w:ascii="Arial" w:hAnsi="Arial"/>
          <w:b w:val="0"/>
          <w:i/>
          <w:sz w:val="19"/>
        </w:rPr>
        <w:t>Meta</w:t>
      </w:r>
      <w:r>
        <w:rPr>
          <w:rFonts w:ascii="Arial" w:hAnsi="Arial"/>
          <w:b w:val="0"/>
          <w:i w:val="0"/>
          <w:sz w:val="19"/>
        </w:rPr>
        <w:t xml:space="preserve"> die zuvor angekündigte Personalreduktion umgesetzt: Internes HR-Memo, rund 8.000 Streichungen entsprechend rund 10 % der Belegschaft sowie Streichung weiterer rund 6.000 unbesetzter Stellen (effektive Bestandsreduktion rund 14.000), parallel zur Anhebung der 2026er-AI-Capex-Guidance auf 125–145 Mrd. USD und einer Re-Organisation in AI-fokussierte „Pods". </w:t>
      </w:r>
      <w:r>
        <w:rPr>
          <w:rFonts w:ascii="Arial" w:hAnsi="Arial"/>
          <w:b w:val="0"/>
          <w:i/>
          <w:sz w:val="19"/>
        </w:rPr>
        <w:t>Oracle</w:t>
      </w:r>
      <w:r>
        <w:rPr>
          <w:rFonts w:ascii="Arial" w:hAnsi="Arial"/>
          <w:b w:val="0"/>
          <w:i w:val="0"/>
          <w:sz w:val="19"/>
        </w:rPr>
        <w:t xml:space="preserve"> hat seine im März 2026 angekündigte konzernweite Reduktion von schätzungsweise 20.000–30.000 Stellen — die größte Personalanpassung der Konzerngeschichte und der bislang umfangreichste KI-getriebene Einzelfall des Jahres — bis 1. bzw. 15. Juni 2026 in die letzte Phase überführt, mit der Wahl zwischen Unterzeichnung des Release-Schreibens und Verlust der Abfindung (vier Wochen Grundvergütung plus eine Woche je Dienstjahr, gekappt bei 26 Wochen; keine Beschleunigung unverfallbarer Stock-Tranchen); inhaltlich kombiniert Oracle Personalabbau mit einem AI-Infrastruktur-Programm von rund 156 Mrd. USD und einem überproportionalen Anteil der Streichungen in der aus der Cerner-Akquisition hervorgegangenen Division Oracle Health (geschätzt 8.000–10.000 Stellen). Die </w:t>
      </w:r>
      <w:r>
        <w:rPr>
          <w:rFonts w:ascii="Arial" w:hAnsi="Arial"/>
          <w:b w:val="0"/>
          <w:i/>
          <w:sz w:val="19"/>
        </w:rPr>
        <w:t>Microsoft</w:t>
      </w:r>
      <w:r>
        <w:rPr>
          <w:rFonts w:ascii="Arial" w:hAnsi="Arial"/>
          <w:b w:val="0"/>
          <w:i w:val="0"/>
          <w:sz w:val="19"/>
        </w:rPr>
        <w:t xml:space="preserve">-VRSAR-Annahmefrist endete am 8. Juni 2026 (23:59 PT); belastbare Übernahmequoten liegen Stand 4. Juni 2026 nicht öffentlich vor. Für die in § 4.5 referierte Sub-Cluster-Linie ist zugleich erstmals eine US-bundesstaatliche Disclosure-Pflicht in Kraftgeltung greifbar: Gouverneur Ned Lamont hat </w:t>
      </w:r>
      <w:r>
        <w:rPr>
          <w:rFonts w:ascii="Arial" w:hAnsi="Arial"/>
          <w:b w:val="0"/>
          <w:i/>
          <w:sz w:val="19"/>
        </w:rPr>
        <w:t>SB 5</w:t>
      </w:r>
      <w:r>
        <w:rPr>
          <w:rFonts w:ascii="Arial" w:hAnsi="Arial"/>
          <w:b w:val="0"/>
          <w:i w:val="0"/>
          <w:sz w:val="19"/>
        </w:rPr>
        <w:t xml:space="preserve"> am 29. Mai 2026 unterzeichnet — das Connecticut-Gesetz tritt in seinen wesentlichen arbeitsrechtlichen Teilen (Automated-Employment-Decision-Rahmen, „AI is not a defense", Frontier-Modell-Whistleblower-Schutz, WARN-AI/Technology-Change-Disclosure) am 1. Oktober 2026 in Kraft und liefert ab diesem Datum erstmals eine standardisierte administrative Aggregatquelle für KI-bezogene Stellenabbau-Statistiken auf US-bundesstaatlicher Ebene. Spiegelbildlich zeigt das IAB für Deutschland mit dem </w:t>
      </w:r>
      <w:r>
        <w:rPr>
          <w:rFonts w:ascii="Arial" w:hAnsi="Arial"/>
          <w:b w:val="0"/>
          <w:i/>
          <w:sz w:val="19"/>
        </w:rPr>
        <w:t>Arbeitsmarktbarometer</w:t>
      </w:r>
      <w:r>
        <w:rPr>
          <w:rFonts w:ascii="Arial" w:hAnsi="Arial"/>
          <w:b w:val="0"/>
          <w:i w:val="0"/>
          <w:sz w:val="19"/>
        </w:rPr>
        <w:t xml:space="preserve"> für Mai 2026 (99,6 Punkte, +0,1 Punkte) erstmals seit einem halben Jahr wieder einen — wenngleich knappen — Anstieg, bleibt aber unter der Neutralgrenze von 100; die Beschäftigungskomponente stagniert bei 100,1 Punkten (schwächster Ausblick außerhalb der Pandemie); das europäische Arbeitsmarktbarometer liegt mit 100,1 Punkten knapp im positiven Bereich.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Am 7. Mai 2026 haben Parlament und Rat im dritten Trilog eine vorläufige politische Einigung erzielt (Pressemitteilung des Rates </w:t>
      </w:r>
      <w:r>
        <w:rPr>
          <w:rFonts w:ascii="Arial" w:hAnsi="Arial"/>
          <w:b w:val="0"/>
          <w:i/>
          <w:sz w:val="19"/>
        </w:rPr>
        <w:t>„Artificial Intelligence: Council and Parliament agree to simplify and streamline rules"</w:t>
      </w:r>
      <w:r>
        <w:rPr>
          <w:rFonts w:ascii="Arial" w:hAnsi="Arial"/>
          <w:b w:val="0"/>
          <w:i w:val="0"/>
          <w:sz w:val="19"/>
        </w:rPr>
        <w:t>); das Paket bestätigt die Stichtage 2. Dezember 2027 (Anhang III) und 2. August 2028 (Anhang I) für die Hochrisiko-Pflichten, verschiebt die Transparenz- und Kennzeichnungspflichten für KI-generierte Inhalte vom 2. August 2026 auf den 2. Dezember 2026 und ergänzt eine neue Verbotsregel für KI-generierte nicht einvernehmliche intime Darstellungen einschließlich Material des sexuellen Missbrauchs Minderjähriger (Geltung ab 2. Dezember 2026); ergänzt werden SME-Erleichterungen und eine Klarstellung der Aufsichtsrolle des AI Office. Die förmliche Annahme durch beide Co-Gesetzgeber sowie die Veröffentlichung im Amtsblatt der EU sollen vor dem 2. August 2026 abgeschlossen sein.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2. Juni 2026 hat Sanders mit einem Beitrag in der </w:t>
      </w:r>
      <w:r>
        <w:rPr>
          <w:rFonts w:ascii="Arial" w:hAnsi="Arial"/>
          <w:b w:val="0"/>
          <w:i/>
          <w:sz w:val="19"/>
        </w:rPr>
        <w:t>New York Times</w:t>
      </w:r>
      <w:r>
        <w:rPr>
          <w:rFonts w:ascii="Arial" w:hAnsi="Arial"/>
          <w:b w:val="0"/>
          <w:i w:val="0"/>
          <w:sz w:val="19"/>
        </w:rPr>
        <w:t xml:space="preserve"> („The Public Should Own Half of the Big A.I. Companies") eine weitergehende Initiative angekündigt: den </w:t>
      </w:r>
      <w:r>
        <w:rPr>
          <w:rFonts w:ascii="Arial" w:hAnsi="Arial"/>
          <w:b w:val="0"/>
          <w:i/>
          <w:sz w:val="19"/>
        </w:rPr>
        <w:t>American A.I. Sovereign Wealth Fund Act</w:t>
      </w:r>
      <w:r>
        <w:rPr>
          <w:rFonts w:ascii="Arial" w:hAnsi="Arial"/>
          <w:b w:val="0"/>
          <w:i w:val="0"/>
          <w:sz w:val="19"/>
        </w:rPr>
        <w:t xml:space="preserve">, der eine einmalige Abgabe von 50 % der Aktien der größten KI-Unternehmen — namentlich genannt OpenAI, Anthropic und xAI — als Stock-Transfer vorsähe, dem Bund stimmberechtigte Anteile und paritätische Vertretung in den Aufsichtsräten verschaffen würde und die Erträge über einen Staatsfonds als Direktzahlungen sowie zur Finanzierung von Gesundheit, Bildung und Wohnen ausreichen soll; als Referenzmodelle nennt Sanders den norwegischen </w:t>
      </w:r>
      <w:r>
        <w:rPr>
          <w:rFonts w:ascii="Arial" w:hAnsi="Arial"/>
          <w:b w:val="0"/>
          <w:i/>
          <w:sz w:val="19"/>
        </w:rPr>
        <w:t>Statens pensjonsfond utland</w:t>
      </w:r>
      <w:r>
        <w:rPr>
          <w:rFonts w:ascii="Arial" w:hAnsi="Arial"/>
          <w:b w:val="0"/>
          <w:i w:val="0"/>
          <w:sz w:val="19"/>
        </w:rPr>
        <w:t xml:space="preserve"> und den </w:t>
      </w:r>
      <w:r>
        <w:rPr>
          <w:rFonts w:ascii="Arial" w:hAnsi="Arial"/>
          <w:b w:val="0"/>
          <w:i/>
          <w:sz w:val="19"/>
        </w:rPr>
        <w:t>Alaska Permanent Fund Dividend</w:t>
      </w:r>
      <w:r>
        <w:rPr>
          <w:rFonts w:ascii="Arial" w:hAnsi="Arial"/>
          <w:b w:val="0"/>
          <w:i w:val="0"/>
          <w:sz w:val="19"/>
        </w:rPr>
        <w:t xml:space="preserve">. Der Gesetzestext ist zum Recherchezeitpunkt (Anfang Juni 2026) noch nicht formell eingebracht („in den kommenden Wochen"), die Aussicht auf Annahme in einem republikanisch geführten Kongress gilt als gering; konzeptionell verbindet die Initiative erstmals das in § 5.4 referierte Staatsfondsmodell mit dem in § 2.1 als Typ 4 typisierten Pfad einer expliziten Verschiebung der relativen Eigentums- und Steuerlast — und liefert damit den US-bundesgesetzgeberischen Gegenentwurf zum </w:t>
      </w:r>
      <w:r>
        <w:rPr>
          <w:rFonts w:ascii="Arial" w:hAnsi="Arial"/>
          <w:b w:val="0"/>
          <w:i/>
          <w:sz w:val="19"/>
        </w:rPr>
        <w:t>Bloomberg-Editorial</w:t>
      </w:r>
      <w:r>
        <w:rPr>
          <w:rFonts w:ascii="Arial" w:hAnsi="Arial"/>
          <w:b w:val="0"/>
          <w:i w:val="0"/>
          <w:sz w:val="19"/>
        </w:rPr>
        <w:t xml:space="preserve"> vom 29. April 2026. Die Aussicht auf Annahme des Sanders-AI-Data-Center-Moratorium-Entwurfs (S. 4214) in einem republikanisch geführten Kongress gilt als gering; als Signalgebung sind die beiden Sanders-Initiativen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das Gesetz am 29. Mai 2026 unterzeichnet (Inkrafttreten in gestaffelten Stufen ab 1. Oktober 2026).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ist dem Bundesrat am 1. Mai 2026 zugeleitet worden, der erste Bundesrats-Durchgang ist nach aktualisierter Verfahrensplanung in der 1066. Bundesrats-Sitzung am 12. Juni 2026 vorgesehen; die zweite und dritte Bundestagslesung sind auf den 26. Juni 2026, der zweite Bundesrats-Durchgang auf den 10. Juli 2026 terminiert. In der 1065. Bundesrats-Sitzung am 8. Mai 2026 wurden 14 Bundestags-Gesetze passiert und zwei abgelehnt; die im Steuerberatungsgesetz enthaltene 1.000-Euro-</w:t>
      </w:r>
      <w:r>
        <w:rPr>
          <w:rFonts w:ascii="Arial" w:hAnsi="Arial"/>
          <w:b w:val="0"/>
          <w:i/>
          <w:sz w:val="19"/>
        </w:rPr>
        <w:t>Entlastungsprämie für Beschäftigte</w:t>
      </w:r>
      <w:r>
        <w:rPr>
          <w:rFonts w:ascii="Arial" w:hAnsi="Arial"/>
          <w:b w:val="0"/>
          <w:i w:val="0"/>
          <w:sz w:val="19"/>
        </w:rPr>
        <w:t xml:space="preserve"> fand keine Mehrheit (Hinweis des Bundesrats-Finanzausschusses auf Steuerausfälle von rund 2,8 Milliarden Euro, zu fast zwei Dritteln zu Lasten von Ländern und Kommunen, ohne Gegenfinanzierung); die Bundesregierung hat das Vorhaben am 13. Mai 2026 für nicht weiterverfolgt erklärt. Für die in § 5.1 entwickelte Linie ist das doppelt relevant: erstens wird ein lohnseitiger Entlastungsbaustein verworfen, der die Bemessungsgrundlage einkommensseitig — und nicht systemisch — adressiert hätte; zweitens bestätigt die Begründung („keine Gegenfinanzierung") die Spannung zwischen ausgabenseitiger Konsolidierung und einer langfristig tragfähigen Verbreiterung der Beitragsbasis.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 xml:space="preserve">Praktisch erfordert dies entweder eine Pflichtbeteiligung des Staates an KI-Unternehmen (politisch hoch problematisch) oder eine zweckgebundene Steuer auf Kapitalerträge und Unternehmensgewinne, deren Aufkommen in einen solchen Fonds fließt. Eine konsequente politische Operationalisierung des erstgenannten Pfades hat Senator Bernie Sanders mit dem am 2. Juni 2026 angekündigten </w:t>
      </w:r>
      <w:r>
        <w:rPr>
          <w:rFonts w:ascii="Arial" w:hAnsi="Arial"/>
          <w:b w:val="0"/>
          <w:i/>
          <w:sz w:val="19"/>
        </w:rPr>
        <w:t>American A.I. Sovereign Wealth Fund Act</w:t>
      </w:r>
      <w:r>
        <w:rPr>
          <w:rFonts w:ascii="Arial" w:hAnsi="Arial"/>
          <w:b w:val="0"/>
          <w:i w:val="0"/>
          <w:sz w:val="19"/>
        </w:rPr>
        <w:t xml:space="preserve"> vorgelegt — eine einmalige 50-%-Aktienabgabe der größten KI-Unternehmen (genannt: OpenAI, Anthropic, xAI), die dem Bund stimmberechtigte Anteile und paritätische Aufsichtsratsvertretung verschafft und die Erträge über Direktzahlungen, Gesundheits-, Bildungs- und Wohnausgaben an die Bevölkerung weiterreicht (vgl. § 4.5). Der Vorschlag ist politisch zugespitzt (Inhaberzwang statt fiskalischer Anknüpfung) und in einem republikanisch geführten Kongress nicht aussichtsreich; er macht aber sichtbar, dass das hier diskutierte Fondsmodell international zugleich in einer eigentumspolitischen und in einer fiskalischen Variante in der Debatte ist.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 xml:space="preserve">Sanders, B. (2. Juni 2026). </w:t>
      </w:r>
      <w:r>
        <w:rPr>
          <w:rFonts w:ascii="Arial" w:hAnsi="Arial"/>
          <w:b w:val="0"/>
          <w:i/>
          <w:sz w:val="19"/>
        </w:rPr>
        <w:t>The Public Should Own Half of the Big A.I. Companies.</w:t>
      </w:r>
      <w:r>
        <w:rPr>
          <w:rFonts w:ascii="Arial" w:hAnsi="Arial"/>
          <w:b w:val="0"/>
          <w:i w:val="0"/>
          <w:sz w:val="19"/>
        </w:rPr>
        <w:t xml:space="preserve"> Op-ed </w:t>
      </w:r>
      <w:r>
        <w:rPr>
          <w:rFonts w:ascii="Arial" w:hAnsi="Arial"/>
          <w:b w:val="0"/>
          <w:i/>
          <w:sz w:val="19"/>
        </w:rPr>
        <w:t>The New York Times</w:t>
      </w:r>
      <w:r>
        <w:rPr>
          <w:rFonts w:ascii="Arial" w:hAnsi="Arial"/>
          <w:b w:val="0"/>
          <w:i w:val="0"/>
          <w:sz w:val="19"/>
        </w:rPr>
        <w:t xml:space="preserve"> / Senatswebsite, Ankündigung des </w:t>
      </w:r>
      <w:r>
        <w:rPr>
          <w:rFonts w:ascii="Arial" w:hAnsi="Arial"/>
          <w:b w:val="0"/>
          <w:i/>
          <w:sz w:val="19"/>
        </w:rPr>
        <w:t>American A.I. Sovereign Wealth Fund Act</w:t>
      </w:r>
      <w:r>
        <w:rPr>
          <w:rFonts w:ascii="Arial" w:hAnsi="Arial"/>
          <w:b w:val="0"/>
          <w:i w:val="0"/>
          <w:sz w:val="19"/>
        </w:rPr>
        <w:t xml:space="preserve">: einmalige 50-%-Aktienabgabe auf die größten KI-Unternehmen (OpenAI, Anthropic, xAI), stimmberechtigte Bundesanteile, paritätische Aufsichtsratsvertretung, Direktzahlungen sowie Finanzierung von Gesundheit, Bildung und Wohnen aus den Fondserträgen; Referenzmodelle norwegischer </w:t>
      </w:r>
      <w:r>
        <w:rPr>
          <w:rFonts w:ascii="Arial" w:hAnsi="Arial"/>
          <w:b w:val="0"/>
          <w:i/>
          <w:sz w:val="19"/>
        </w:rPr>
        <w:t>Statens pensjonsfond utland</w:t>
      </w:r>
      <w:r>
        <w:rPr>
          <w:rFonts w:ascii="Arial" w:hAnsi="Arial"/>
          <w:b w:val="0"/>
          <w:i w:val="0"/>
          <w:sz w:val="19"/>
        </w:rPr>
        <w:t xml:space="preserve"> und </w:t>
      </w:r>
      <w:r>
        <w:rPr>
          <w:rFonts w:ascii="Arial" w:hAnsi="Arial"/>
          <w:b w:val="0"/>
          <w:i/>
          <w:sz w:val="19"/>
        </w:rPr>
        <w:t>Alaska Permanent Fund Dividend</w:t>
      </w:r>
      <w:r>
        <w:rPr>
          <w:rFonts w:ascii="Arial" w:hAnsi="Arial"/>
          <w:b w:val="0"/>
          <w:i w:val="0"/>
          <w:sz w:val="19"/>
        </w:rPr>
        <w:t>. https://www.sanders.senate.gov/op-eds/the-public-should-own-half-of-the-big-a-i-companies/ | https://www.commondreams.org/news/bernies-sanders-ai-sovereign-wealth-fund | https://finance.yahoo.com/economy/policy/articles/bernie-sanders-introduce-bill-giving-135431485.html | https://thehill.com/policy/technology/5906140-sanders-ai-ownership-wealth/</w:t>
      </w:r>
    </w:p>
    <w:p>
      <w:pPr>
        <w:jc w:val="both"/>
      </w:pPr>
      <w:r>
        <w:rPr>
          <w:rFonts w:ascii="Arial" w:hAnsi="Arial"/>
          <w:b w:val="0"/>
          <w:i w:val="0"/>
          <w:sz w:val="19"/>
        </w:rPr>
        <w:t xml:space="preserve">Rat der Europäischen Union. (7. Mai 2026). </w:t>
      </w:r>
      <w:r>
        <w:rPr>
          <w:rFonts w:ascii="Arial" w:hAnsi="Arial"/>
          <w:b w:val="0"/>
          <w:i/>
          <w:sz w:val="19"/>
        </w:rPr>
        <w:t>Artificial Intelligence: Council and Parliament agree to simplify and streamline rules.</w:t>
      </w:r>
      <w:r>
        <w:rPr>
          <w:rFonts w:ascii="Arial" w:hAnsi="Arial"/>
          <w:b w:val="0"/>
          <w:i w:val="0"/>
          <w:sz w:val="19"/>
        </w:rPr>
        <w:t xml:space="preserve"> Pressemitteilung zur vorläufigen politischen Einigung im Trilog zum </w:t>
      </w:r>
      <w:r>
        <w:rPr>
          <w:rFonts w:ascii="Arial" w:hAnsi="Arial"/>
          <w:b w:val="0"/>
          <w:i/>
          <w:sz w:val="19"/>
        </w:rPr>
        <w:t>Digital Omnibus on AI</w:t>
      </w:r>
      <w:r>
        <w:rPr>
          <w:rFonts w:ascii="Arial" w:hAnsi="Arial"/>
          <w:b w:val="0"/>
          <w:i w:val="0"/>
          <w:sz w:val="19"/>
        </w:rPr>
        <w:t xml:space="preserve"> (bestätigte Stichtage 2. Dezember 2027 für Anhang III und 2. August 2028 für Anhang I; Verschiebung der Transparenz-/Kennzeichnungspflichten auf 2. Dezember 2026; neue Verbotsregel für nicht einvernehmliche intime Darstellungen mit Geltung ab 2. Dezember 2026; SME-Erleichterungen; Klarstellung der Rolle des AI Office). https://www.consilium.europa.eu/en/press/press-releases/2026/05/07/artificial-intelligence-council-and-parliament-agree-to-simplify-and-streamline-rules/ | https://www.twobirds.com/en/insights/2026/digital-omnibus-on-ai-provisional-agreement-reached-at-the-may-trilogue | https://www.mishcon.com/news/eu-ai-act-simplified-unpacking-the-ai-omnibus-agreement-of-may-2026 | https://www.gibsondunn.com/eu-ai-act-omnibus-agreement-postponed-high-risk-deadlines-and-other-key-changes/</w:t>
      </w:r>
    </w:p>
    <w:p>
      <w:pPr>
        <w:jc w:val="both"/>
      </w:pPr>
      <w:r>
        <w:rPr>
          <w:rFonts w:ascii="Arial" w:hAnsi="Arial"/>
          <w:b w:val="0"/>
          <w:i w:val="0"/>
          <w:sz w:val="19"/>
        </w:rPr>
        <w:t xml:space="preserve">State of Connecticut, Office of the Governor. (29. Mai 2026). </w:t>
      </w:r>
      <w:r>
        <w:rPr>
          <w:rFonts w:ascii="Arial" w:hAnsi="Arial"/>
          <w:b w:val="0"/>
          <w:i/>
          <w:sz w:val="19"/>
        </w:rPr>
        <w:t>Governor Lamont signs SB 5 — Connecticut Artificial Intelligence Responsibility and Transparency Act.</w:t>
      </w:r>
      <w:r>
        <w:rPr>
          <w:rFonts w:ascii="Arial" w:hAnsi="Arial"/>
          <w:b w:val="0"/>
          <w:i w:val="0"/>
          <w:sz w:val="19"/>
        </w:rPr>
        <w:t xml:space="preserve"> Inkrafttreten in gestaffelten Stufen ab 1. Oktober 2026 (Automated-Employment-Decision-Rahmen, „AI is not a defense", Frontier-Whistleblower, WARN-AI/Technology-Change-Disclosure), ab 1. Januar 2027 (anonyme interne Meldewege Frontier-Entwickler) und ab 1. Oktober 2027 (Deployer-Vorab-Information). https://www.hklaw.com/en/insights/publications/2026/06/connecticut-enacts-comprehensive-ai-legislation | https://www.dlapiper.com/en-us/insights/publications/2026/05/unpacking-connecticuts-new-ai-law | https://ogletree.com/insights-resources/blog-posts/new-connecticut-law-restricts-employer-ai-use-mandates-notice-for-ai-caused-rifs/ | https://fpf.org/blog/sb-5-in-five-what-to-know-about-connecticuts-new-ai-law/</w:t>
      </w:r>
    </w:p>
    <w:p>
      <w:pPr>
        <w:jc w:val="both"/>
      </w:pPr>
      <w:r>
        <w:rPr>
          <w:rFonts w:ascii="Arial" w:hAnsi="Arial"/>
          <w:b w:val="0"/>
          <w:i w:val="0"/>
          <w:sz w:val="19"/>
        </w:rPr>
        <w:t xml:space="preserve">IAB. (Mai 2026). </w:t>
      </w:r>
      <w:r>
        <w:rPr>
          <w:rFonts w:ascii="Arial" w:hAnsi="Arial"/>
          <w:b w:val="0"/>
          <w:i/>
          <w:sz w:val="19"/>
        </w:rPr>
        <w:t>IAB-Arbeitsmarktbarometer Mai 2026 — Schwächster Beschäftigungsausblick außerhalb der Pandemie.</w:t>
      </w:r>
      <w:r>
        <w:rPr>
          <w:rFonts w:ascii="Arial" w:hAnsi="Arial"/>
          <w:b w:val="0"/>
          <w:i w:val="0"/>
          <w:sz w:val="19"/>
        </w:rPr>
        <w:t xml:space="preserve"> Erster Anstieg nach sechs Monaten Rückgang: +0,1 auf 99,6 Punkte (Gesamtindex), Beschäftigungskomponente stagniert bei 100,1; europäisches Arbeitsmarktbarometer 100,1. Einschätzung der wirtschaftlichen Lage: BIP Q1 2026 +0,3 % (preisbereinigt, saison- und kalenderbereinigt); Iran-Krieg verhindert weitere Erholung; Beschäftigungsperspektiven verschlechtern sich besonders in Industrie, Handel, Logistik und Tourismus. https://iab.de/presseinfo/iab-arbeitsmarktbarometer-schwaechster-beschaeftigungsausblick-ausserhalb-der-pandemie/ | https://iab-forum.de/einschaetzung-des-iab-zur-wirtschaftlichen-lage-mai-2026/ | https://iab.de/daten/iab-arbeitsmarktbarometer/</w:t>
      </w:r>
    </w:p>
    <w:p>
      <w:pPr>
        <w:jc w:val="both"/>
      </w:pPr>
      <w:r>
        <w:rPr>
          <w:rFonts w:ascii="Arial" w:hAnsi="Arial"/>
          <w:b w:val="0"/>
          <w:i w:val="0"/>
          <w:sz w:val="19"/>
        </w:rPr>
        <w:t xml:space="preserve">Bundesrat. (8. Mai 2026 / 13. Mai 2026). </w:t>
      </w:r>
      <w:r>
        <w:rPr>
          <w:rFonts w:ascii="Arial" w:hAnsi="Arial"/>
          <w:b w:val="0"/>
          <w:i/>
          <w:sz w:val="19"/>
        </w:rPr>
        <w:t>1065. Sitzung des Bundesrates — Ergebnisbericht (Steuerberatungsgesetz mit 1.000-Euro-Entlastungsprämie scheitert an Mehrheit; Hinweis Bundesrats-Finanzausschuss auf rund 2,8 Milliarden Euro Steuerausfälle ohne Gegenfinanzierung); Bundesregierung verfolgt das Vorhaben am 13. Mai 2026 nicht weiter.</w:t>
      </w:r>
      <w:r>
        <w:rPr>
          <w:rFonts w:ascii="Arial" w:hAnsi="Arial"/>
          <w:b w:val="0"/>
          <w:i w:val="0"/>
          <w:sz w:val="19"/>
        </w:rPr>
        <w:t xml:space="preserve"> https://www.bundesrat.de/DE/plenum/bundesrat-kompakt/26/1065/1065-pk.html | https://kommunal.de/bundesrat-stoppt-entlastungspraemie | https://www.zdfheute.de/politik/deutschland/entlastungspraemie-bundesrat-stopp-100.html | https://www.t-online.de/nachrichten/deutschland/id_101246526/entlastungspraemie-bundesrat-lehnt-die-1000-euro-fuer-beschaeftigte-ab.html</w:t>
      </w:r>
    </w:p>
    <w:p>
      <w:pPr>
        <w:jc w:val="both"/>
      </w:pPr>
      <w:r>
        <w:rPr>
          <w:rFonts w:ascii="Arial" w:hAnsi="Arial"/>
          <w:b w:val="0"/>
          <w:i w:val="0"/>
          <w:sz w:val="19"/>
        </w:rPr>
        <w:t xml:space="preserve">Bundesrat. (12. Juni 2026, vorgesehen). </w:t>
      </w:r>
      <w:r>
        <w:rPr>
          <w:rFonts w:ascii="Arial" w:hAnsi="Arial"/>
          <w:b w:val="0"/>
          <w:i/>
          <w:sz w:val="19"/>
        </w:rPr>
        <w:t>1066. Sitzung des Bundesrates — Erster Durchgang zum GKV-Beitragssatzstabilisierungsgesetz; weitere Tagesordnungspunkte (u. a. Senkung der Luftverkehrssteuer ab 1. Juli 2026, Apothekenreform, Reform der Notfallversorgung).</w:t>
      </w:r>
      <w:r>
        <w:rPr>
          <w:rFonts w:ascii="Arial" w:hAnsi="Arial"/>
          <w:b w:val="0"/>
          <w:i w:val="0"/>
          <w:sz w:val="19"/>
        </w:rPr>
        <w:t xml:space="preserve"> https://www.bundesrat.de/DE/plenum/bundesrat-kompakt/26/1066/1066-node.html | https://www.bundesrat.de/DE/plenum/bundesrat-kompakt/26/1066/1066-pk.html</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TrueUp / Tech Times / Yahoo Finance. (Stand 1. Juni 2026). </w:t>
      </w:r>
      <w:r>
        <w:rPr>
          <w:rFonts w:ascii="Arial" w:hAnsi="Arial"/>
          <w:b w:val="0"/>
          <w:i/>
          <w:sz w:val="19"/>
        </w:rPr>
        <w:t>Tech Layoffs Tracker — Stand zum 1. Juni 2026: 148.092 Tech-Beschäftigte aus 354 Layoff-Meldungen (rund 981 Stellen pro Tag, etwa 46 % über dem Niveau 2025). Tech-Times-/Yahoo-Auswertung: rund 142.000 Tech-Stellen in den ersten fünf Monaten 2026; Jahres-Lauftempo zielt auf rund 370.000 (Nähe Pandemie-Spitzenwert 430.000 aus 2023).</w:t>
      </w:r>
      <w:r>
        <w:rPr>
          <w:rFonts w:ascii="Arial" w:hAnsi="Arial"/>
          <w:b w:val="0"/>
          <w:i w:val="0"/>
          <w:sz w:val="19"/>
        </w:rPr>
        <w:t xml:space="preserve"> https://www.trueup.io/layoffs | https://www.techtimes.com/articles/317392/20260529/tech-layoffs-reach-142000-2026-profitable-companies-cut-jobs-fund-700b-ai-infrastructure.htm | https://finance.yahoo.com/sectors/technology/articles/2026-tech-layoffs-near-150-110000224.html</w:t>
      </w:r>
    </w:p>
    <w:p>
      <w:pPr>
        <w:jc w:val="both"/>
      </w:pPr>
      <w:r>
        <w:rPr>
          <w:rFonts w:ascii="Arial" w:hAnsi="Arial"/>
          <w:b w:val="0"/>
          <w:i w:val="0"/>
          <w:sz w:val="19"/>
        </w:rPr>
        <w:t xml:space="preserve">The Next Web / Yahoo Finance / Bloomberg / Reuters. (20. Mai 2026). </w:t>
      </w:r>
      <w:r>
        <w:rPr>
          <w:rFonts w:ascii="Arial" w:hAnsi="Arial"/>
          <w:b w:val="0"/>
          <w:i/>
          <w:sz w:val="19"/>
        </w:rPr>
        <w:t>Meta cuts 8,000 jobs and cancels 6,000 open roles as $135B AI spending reshapes the company.</w:t>
      </w:r>
      <w:r>
        <w:rPr>
          <w:rFonts w:ascii="Arial" w:hAnsi="Arial"/>
          <w:b w:val="0"/>
          <w:i w:val="0"/>
          <w:sz w:val="19"/>
        </w:rPr>
        <w:t xml:space="preserve"> HR-Memo Janelle Gale; Re-Organisation in AI-Pods; Anhebung der 2026er-AI-Capex-Guidance auf 125–145 Milliarden US-Dollar; weitere Streichungen für die zweite Jahreshälfte 2026 angekündigt. https://thenextweb.com/news/meta-layoffs-may-2026-ai-restructuring-thousands | https://thenextweb.com/news/meta-layoffs-8000-ai-restructuring-may-2026 | https://finance.yahoo.com/sectors/technology/articles/meta-layoffs-2026-8-000-114209703.html</w:t>
      </w:r>
    </w:p>
    <w:p>
      <w:pPr>
        <w:jc w:val="both"/>
      </w:pPr>
      <w:r>
        <w:rPr>
          <w:rFonts w:ascii="Arial" w:hAnsi="Arial"/>
          <w:b w:val="0"/>
          <w:i w:val="0"/>
          <w:sz w:val="19"/>
        </w:rPr>
        <w:t xml:space="preserve">Tech Times / CNBC / The AI Insider / Goodreturns. (März–Juni 2026). </w:t>
      </w:r>
      <w:r>
        <w:rPr>
          <w:rFonts w:ascii="Arial" w:hAnsi="Arial"/>
          <w:b w:val="0"/>
          <w:i/>
          <w:sz w:val="19"/>
        </w:rPr>
        <w:t>Oracle 30,000 Layoffs Enter Final Phase — Sign the Release or Forfeit Severance.</w:t>
      </w:r>
      <w:r>
        <w:rPr>
          <w:rFonts w:ascii="Arial" w:hAnsi="Arial"/>
          <w:b w:val="0"/>
          <w:i w:val="0"/>
          <w:sz w:val="19"/>
        </w:rPr>
        <w:t xml:space="preserve"> Größte Personalanpassung der Oracle-Geschichte; konzernweit 20.000–30.000 Stellen, Schwerpunkt Oracle Health (8.000–10.000); Abfindung vier Wochen Grundvergütung plus eine Woche je Dienstjahr (Cap 26 Wochen), keine Beschleunigung unverfallbarer Stock-Tranchen; finale Trennungstermine 1.–15. Juni 2026; Verknüpfung mit AI-Infrastruktur-Programm von rund 156 Milliarden US-Dollar. https://www.techtimes.com/articles/317527/20260601/oracles-30000-layoffs-enter-final-phase-sign-release-forfeit-severance.htm | https://www.cnbc.com/2026/03/31/oracle-layoffs-ai-spending.html | https://theaiinsider.tech/2026/05/09/oracles-ai-driven-mass-layoff-of-30000-draws-backlash-over-severance-terms-and-forfeited-stock/ | https://www.goodreturns.in/news/oracle-layoffs-2026-up-to-30000-jobs-may-be-cut-by-june-15-as-tech-giant-expands-ai-cloud-investment-1512695.html</w:t>
      </w:r>
    </w:p>
    <w:p>
      <w:pPr>
        <w:jc w:val="both"/>
      </w:pPr>
      <w:r>
        <w:rPr>
          <w:rFonts w:ascii="Arial" w:hAnsi="Arial"/>
          <w:b w:val="0"/>
          <w:i w:val="0"/>
          <w:sz w:val="19"/>
        </w:rPr>
        <w:t xml:space="preserve">Reason / Common Dreams / Newsweek / Truthout / Fox Business / The Hill. (2./3. Juni 2026). </w:t>
      </w:r>
      <w:r>
        <w:rPr>
          <w:rFonts w:ascii="Arial" w:hAnsi="Arial"/>
          <w:b w:val="0"/>
          <w:i/>
          <w:sz w:val="19"/>
        </w:rPr>
        <w:t>Bernie Sanders unveils plan to take 50 % stake in AI companies for government wealth fund.</w:t>
      </w:r>
      <w:r>
        <w:rPr>
          <w:rFonts w:ascii="Arial" w:hAnsi="Arial"/>
          <w:b w:val="0"/>
          <w:i w:val="0"/>
          <w:sz w:val="19"/>
        </w:rPr>
        <w:t xml:space="preserve"> Berichterstattung zur Ankündigung des </w:t>
      </w:r>
      <w:r>
        <w:rPr>
          <w:rFonts w:ascii="Arial" w:hAnsi="Arial"/>
          <w:b w:val="0"/>
          <w:i/>
          <w:sz w:val="19"/>
        </w:rPr>
        <w:t>American A.I. Sovereign Wealth Fund Act</w:t>
      </w:r>
      <w:r>
        <w:rPr>
          <w:rFonts w:ascii="Arial" w:hAnsi="Arial"/>
          <w:b w:val="0"/>
          <w:i w:val="0"/>
          <w:sz w:val="19"/>
        </w:rPr>
        <w:t xml:space="preserve"> per NYT-Op-Ed am 2. Juni 2026; Reaktionen pro/contra (Common Dreams, Truthout zustimmend; Reason, Fox Business kritisch; Newsweek-Direktzahlungs-Beispielrechnung). https://reason.com/2026/06/02/bernie-sanders-ai-wealth-fund-bill-shows-that-he-doesnt-understand-ai-or-wealth/ | https://www.newsweek.com/direct-payments-ai-sovereign-wealth-fund-bernie-sanders-12021907 | https://truthout.org/articles/sanders-proposes-sovereign-wealth-fund-to-harness-ai-profits-for-public-good/ | https://www.foxbusiness.com/politics/sanders-unveils-plan-take-50-stake-ai-companies-government-wealth-fund</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Anfang Juni 2026 (Schnitt am 4. Juni 2026 — Lauf 001 vom 4. Juni 2026) wieder. Gegenüber Version 22.0 (Schnitt 8. Mai 2026) sind insbesondere ergänzt: die Ankündigung des </w:t>
      </w:r>
      <w:r>
        <w:rPr>
          <w:rFonts w:ascii="Arial" w:hAnsi="Arial"/>
          <w:b w:val="0"/>
          <w:i/>
          <w:sz w:val="19"/>
        </w:rPr>
        <w:t>American A.I. Sovereign Wealth Fund Act</w:t>
      </w:r>
      <w:r>
        <w:rPr>
          <w:rFonts w:ascii="Arial" w:hAnsi="Arial"/>
          <w:b w:val="0"/>
          <w:i w:val="0"/>
          <w:sz w:val="19"/>
        </w:rPr>
        <w:t xml:space="preserve"> durch Senator Bernie Sanders am 2. Juni 2026 (einmalige 50-%-Aktienabgabe auf OpenAI, Anthropic und xAI mit Direktzahlungen, Gesundheits-, Bildungs- und Wohnungsausgaben aus einem Staatsfonds); die Unterzeichnung von </w:t>
      </w:r>
      <w:r>
        <w:rPr>
          <w:rFonts w:ascii="Arial" w:hAnsi="Arial"/>
          <w:b w:val="0"/>
          <w:i/>
          <w:sz w:val="19"/>
        </w:rPr>
        <w:t>Connecticut SB 5 — Artificial Intelligence Responsibility and Transparency Act</w:t>
      </w:r>
      <w:r>
        <w:rPr>
          <w:rFonts w:ascii="Arial" w:hAnsi="Arial"/>
          <w:b w:val="0"/>
          <w:i w:val="0"/>
          <w:sz w:val="19"/>
        </w:rPr>
        <w:t xml:space="preserve"> durch Gouverneur Ned Lamont am 29. Mai 2026 mit gestaffeltem Inkrafttreten ab 1. Oktober 2026; die vorläufige politische Einigung von Parlament und Rat zum </w:t>
      </w:r>
      <w:r>
        <w:rPr>
          <w:rFonts w:ascii="Arial" w:hAnsi="Arial"/>
          <w:b w:val="0"/>
          <w:i/>
          <w:sz w:val="19"/>
        </w:rPr>
        <w:t>Digital Omnibus on AI</w:t>
      </w:r>
      <w:r>
        <w:rPr>
          <w:rFonts w:ascii="Arial" w:hAnsi="Arial"/>
          <w:b w:val="0"/>
          <w:i w:val="0"/>
          <w:sz w:val="19"/>
        </w:rPr>
        <w:t xml:space="preserve"> am 7. Mai 2026 (bestätigte Hochrisiko-Stichtage 2. Dezember 2027 / 2. August 2028, Transparenz- und Kennzeichnungspflichten 2. Dezember 2026, neue Verbotsregel zu nicht einvernehmlichen intimen Darstellungen, SME-Erleichterungen); die Umsetzung der Meta-Personalreduktion am 20. Mai 2026 (rund 8.000 Streichungen plus 6.000 unbesetzte Stellen; Anhebung der 2026er-AI-Capex-Guidance auf 125–145 Mrd. USD); die finale Phase der Oracle-Personalreduktion (rund 30.000 Stellen, finale Trennungstermine 1.–15. Juni 2026, Verknüpfung mit AI-Infrastruktur-Programm 156 Mrd. USD); die TrueUp-Tagesfortschreibung zum 1. Juni 2026 (148.092 Personen aus 354 Layoff-Meldungen, rund 981 Personen pro Tag, etwa 46 % über dem Niveau 2025); das </w:t>
      </w:r>
      <w:r>
        <w:rPr>
          <w:rFonts w:ascii="Arial" w:hAnsi="Arial"/>
          <w:b w:val="0"/>
          <w:i/>
          <w:sz w:val="19"/>
        </w:rPr>
        <w:t>IAB-Arbeitsmarktbarometer Mai 2026</w:t>
      </w:r>
      <w:r>
        <w:rPr>
          <w:rFonts w:ascii="Arial" w:hAnsi="Arial"/>
          <w:b w:val="0"/>
          <w:i w:val="0"/>
          <w:sz w:val="19"/>
        </w:rPr>
        <w:t xml:space="preserve"> (99,6 Punkte, +0,1 — erster Anstieg nach sechs Monaten Rückgang; Beschäftigungskomponente stagniert bei 100,1; europäisches Barometer 100,1); die Ergebnisse der 1065. Bundesrats-Sitzung am 8. Mai 2026 (1.000-Euro-</w:t>
      </w:r>
      <w:r>
        <w:rPr>
          <w:rFonts w:ascii="Arial" w:hAnsi="Arial"/>
          <w:b w:val="0"/>
          <w:i/>
          <w:sz w:val="19"/>
        </w:rPr>
        <w:t>Entlastungsprämie</w:t>
      </w:r>
      <w:r>
        <w:rPr>
          <w:rFonts w:ascii="Arial" w:hAnsi="Arial"/>
          <w:b w:val="0"/>
          <w:i w:val="0"/>
          <w:sz w:val="19"/>
        </w:rPr>
        <w:t xml:space="preserve"> aus dem Steuerberatungsgesetz scheitert an Mehrheit; Bundesregierung verfolgt das Vorhaben am 13. Mai 2026 nicht weiter); die aktualisierte Verfahrensplanung zum </w:t>
      </w:r>
      <w:r>
        <w:rPr>
          <w:rFonts w:ascii="Arial" w:hAnsi="Arial"/>
          <w:b w:val="0"/>
          <w:i/>
          <w:sz w:val="19"/>
        </w:rPr>
        <w:t>GKV-Beitragssatzstabilisierungsgesetz</w:t>
      </w:r>
      <w:r>
        <w:rPr>
          <w:rFonts w:ascii="Arial" w:hAnsi="Arial"/>
          <w:b w:val="0"/>
          <w:i w:val="0"/>
          <w:sz w:val="19"/>
        </w:rPr>
        <w:t xml:space="preserve"> (erster Bundesrats-Durchgang in der 1066. Sitzung am 12. Juni 2026, zweite und dritte Bundestagslesung 26. Juni 2026, zweiter Bundesrats-Durchgang 10. Juli 2026); sowie das nahende Ende der Annahmefrist des Microsoft-VRSAR-Programms (8. Juni 2026 23:59 PT) — eine regelmäßige Aktualisierung ist vorgesehen.</w:t>
      </w:r>
    </w:p>
    <w:p>
      <w:pPr>
        <w:jc w:val="both"/>
      </w:pPr>
      <w:r>
        <w:rPr>
          <w:rFonts w:ascii="Arial" w:hAnsi="Arial"/>
          <w:b/>
          <w:i w:val="0"/>
          <w:sz w:val="19"/>
        </w:rPr>
        <w:t>Vorgängerhinweis (Version 22.0, Mai 2026):</w:t>
      </w:r>
      <w:r>
        <w:rPr>
          <w:rFonts w:ascii="Arial" w:hAnsi="Arial"/>
          <w:b w:val="0"/>
          <w:i w:val="0"/>
          <w:sz w:val="19"/>
        </w:rPr>
        <w:t xml:space="preserve"> Stand Anfang Mai 2026 (Schnitt am 8. Mai 2026 — Lauf 001 vom 8. Mai 2026).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