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April 2026</w:t>
      </w:r>
    </w:p>
    <w:p>
      <w:pPr>
        <w:jc w:val="center"/>
      </w:pPr>
      <w:r>
        <w:rPr>
          <w:rFonts w:ascii="Arial" w:hAnsi="Arial"/>
          <w:b w:val="0"/>
          <w:i w:val="0"/>
          <w:color w:val="666666"/>
          <w:sz w:val="18"/>
        </w:rPr>
        <w:t>Version 8.0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erwartet das IAB in seiner Prognose für 2025/2026 einen leichten Rückgang der Erwerbstätigkeit um etwa 20.000 Personen und in dreizehn der sechzehn Bundesländer einen weiteren Anstieg der Arbeitslosigkeit. Parallel dazu dokumentiert eine Branchenauswertung für das erste Quartal 2026 rund 78.500 Stellenstreichungen in der weltweiten Tech-Industrie, davon etwa 48 % explizit als KI- oder Automatisierungsmaßnahmen begründet; zugleich stiegen KI-bezogene Stellenausschreibungen im selben Zeitraum deutlich an, was auf einen strukturellen Umbau der Beschäftigungszusammensetzung hindeutet.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März 2026 publizierte Index-Bericht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ein zweiter Trilogtermin ist für den 28. April 2026 vorgesehen, mit dem Ziel, einen förmlichen Rechtsakt noch vor dem ursprünglichen Stichtag am 2. August 2026 zu verabschieden. Scheitert die Einigung bis dahin,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 die Legislative in Maine Anfang April 2026 ein landesweites Moratorium für große KI-Rechenzentren (Last ≥ 20 Megawatt) bis zum 1. November 2027 beschlossen und ein „Maine Data Center Coordination Council" zur Vorbereitung einer Dauerregulierung eingesetzt. Gouverneurin Janet Mills signalisierte Prüfungsbedarf — insbesondere im Hinblick auf eine Ausnahme für einen industriepolitisch motivierten Standort in Jay — und hat bis 25. April 2026 Zeit, zu unterzeichnen, ihr Veto einzulegen oder das Gesetz ohne Unterschrift in Kraft treten zu lassen. Der Vorgang illustriert, dass parallel zur ausstehenden Bundesgesetzgebung eine staatliche Ebene bereits beginnt, regulatorische Fakten zu schaffen — ein Muster, das aus der Digitalsteuer- und Datenschutzgesetzgebung bekannt ist und für KI-spezifische steuerliche Anknüpfungspunkte (etwa Nutzungs- oder Standortsabgaben auf Rechenzentren) einen Präzedenzraum öffnet.</w:t>
      </w:r>
    </w:p>
    <w:p>
      <w:pPr>
        <w:jc w:val="both"/>
      </w:pPr>
      <w:r>
        <w:rPr>
          <w:rFonts w:ascii="Arial" w:hAnsi="Arial"/>
          <w:b/>
          <w:i w:val="0"/>
          <w:sz w:val="19"/>
        </w:rPr>
        <w:t>Gegenmodell Bundesregierung — Trump-AI-Action-Plan (Juli 2025):</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eine fiskalische Umverteilungskomponente oder eine Abgabe auf automatisierende Unternehmen ist nicht vorgesehen. Für die Debatte über die Besteuerung von KI ist dieser Rahmen relevant, weil er die fiskalische Stellschraube bewusst nicht adressiert — und damit den Handlungsspielraum in der laufenden Legislatur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weil es großzügig klinge, aber keine konkreten Selbstverpflichtungen des Absenders enthalte —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Die Arraignment-Verhandlung ist auf den 5. Mai 2026 terminiert; die Pflichtverteidigung führt Autismus und eine akute psychische Ausnahmesituation an.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(März 2026). </w:t>
      </w:r>
      <w:r>
        <w:rPr>
          <w:rFonts w:ascii="Arial" w:hAnsi="Arial"/>
          <w:b w:val="0"/>
          <w:i/>
          <w:sz w:val="19"/>
        </w:rPr>
        <w:t>Anthropic Economic Index Report — Economic Primitives and Observed Exposure.</w:t>
      </w:r>
      <w:r>
        <w:rPr>
          <w:rFonts w:ascii="Arial" w:hAnsi="Arial"/>
          <w:b w:val="0"/>
          <w:i w:val="0"/>
          <w:sz w:val="19"/>
        </w:rPr>
        <w:t xml:space="preserve"> Report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(März 2026).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Presseinformation und Kurzbericht. https://iab.de/presseinfo/iab-prognose-fuer-2025-2026-arbeitsmarkt-profitiert-von-fiskalpaketen-wird-aber-durch-den-demografischen-wandel-gebremst/</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Gesetzentwurf; Anschreiben an die Gouverneurin zum 15. April 2026.</w:t>
      </w:r>
    </w:p>
    <w:p>
      <w:pPr>
        <w:jc w:val="both"/>
      </w:pPr>
      <w:r>
        <w:rPr>
          <w:rFonts w:ascii="Arial" w:hAnsi="Arial"/>
          <w:b w:val="0"/>
          <w:i w:val="0"/>
          <w:sz w:val="19"/>
        </w:rPr>
        <w:t xml:space="preserve">Europäisches Parlament / Rat der EU. (April 2026). </w:t>
      </w:r>
      <w:r>
        <w:rPr>
          <w:rFonts w:ascii="Arial" w:hAnsi="Arial"/>
          <w:b w:val="0"/>
          <w:i/>
          <w:sz w:val="19"/>
        </w:rPr>
        <w:t>Trilog zu Digital Omnibus on AI — Verhandlungsstand.</w:t>
      </w:r>
      <w:r>
        <w:rPr>
          <w:rFonts w:ascii="Arial" w:hAnsi="Arial"/>
          <w:b w:val="0"/>
          <w:i w:val="0"/>
          <w:sz w:val="19"/>
        </w:rPr>
        <w:t xml:space="preserve"> Legislative Train Schedule.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i w:val="0"/>
          <w:sz w:val="19"/>
        </w:rPr>
        <w:t>Hinweis zur Aktualität:</w:t>
      </w:r>
      <w:r>
        <w:rPr>
          <w:rFonts w:ascii="Arial" w:hAnsi="Arial"/>
          <w:b w:val="0"/>
          <w:i w:val="0"/>
          <w:sz w:val="19"/>
        </w:rPr>
        <w:t xml:space="preserve"> Dieses Arbeitspapier gibt den Stand April 2026 wieder. Die Debatte entwickelt sich dynamisch, insbesondere im Zuge der OpenAI-Strategiepapiere und der laufenden EU-Regulierungsarbeit zum AI Act.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8.0 — April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