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eine weitere Tagesfortschreibung zum 13. Mai 2026 weist 128.270 Personen aus 286 Layoff-Meldungen aus (rund 1.002 Personen pro Tag) und integriert die in der Woche vom 12. Mai 2026 angekündigten Streichungen bei </w:t>
      </w:r>
      <w:r>
        <w:rPr>
          <w:rFonts w:ascii="Arial" w:hAnsi="Arial"/>
          <w:b w:val="0"/>
          <w:i/>
          <w:sz w:val="19"/>
        </w:rPr>
        <w:t>Walmart</w:t>
      </w:r>
      <w:r>
        <w:rPr>
          <w:rFonts w:ascii="Arial" w:hAnsi="Arial"/>
          <w:b w:val="0"/>
          <w:i w:val="0"/>
          <w:sz w:val="19"/>
        </w:rPr>
        <w:t xml:space="preserve"> (rund 1.000 Corporate-Workers aus Produkt-, Design- und Technologie-Teams, intern angekündigt im Memo des globalen Chief Technology Officer Suresh Kumar und des für AI-Acceleration zuständigen Executive Vice President Daniel Danker; im Unterschied zu Cisco, LinkedIn und Microsoft begründete Walmart die Reduktion explizit nicht mit KI, sondern mit einer Plattform-Konsolidierung über US-, Sam's-Club- und internationale Einheiten), </w:t>
      </w:r>
      <w:r>
        <w:rPr>
          <w:rFonts w:ascii="Arial" w:hAnsi="Arial"/>
          <w:b w:val="0"/>
          <w:i/>
          <w:sz w:val="19"/>
        </w:rPr>
        <w:t>LinkedIn</w:t>
      </w:r>
      <w:r>
        <w:rPr>
          <w:rFonts w:ascii="Arial" w:hAnsi="Arial"/>
          <w:b w:val="0"/>
          <w:i w:val="0"/>
          <w:sz w:val="19"/>
        </w:rPr>
        <w:t xml:space="preserve"> (Microsoft-Tochter, rund 875 bis 1.000 Stellen, etwa 5 % der 17.500 Beschäftigten, Mitteilung vom 13. Mai 2026 — CEO Ryan Roslansky begründet die Reduktion im internen Memo mit verändertem Kundenverhalten, einer flacheren Organisationsstruktur sowie verlangsamtem Umsatzwachstum, trotz 12 % Umsatzwachstum im letzten Quartal) sowie der ebenfalls am 13. Mai 2026 parallel zu den Q3-Quartalszahlen (Umsatz 15,8 Mrd. US-Dollar, +12 % gegenüber dem Vorjahr; AI-Infrastruktur-Aufträge von Hyperscalern bislang 5,3 Mrd. US-Dollar im laufenden Geschäftsjahr; Anhebung der Jahresprognose für AI-Aufträge von 5 auf 9 Mrd. US-Dollar) angekündigten Streichung von rund 4.000 Stellen (knapp 5 % der globalen Belegschaft) bei </w:t>
      </w:r>
      <w:r>
        <w:rPr>
          <w:rFonts w:ascii="Arial" w:hAnsi="Arial"/>
          <w:b w:val="0"/>
          <w:i/>
          <w:sz w:val="19"/>
        </w:rPr>
        <w:t>Cisco</w:t>
      </w:r>
      <w:r>
        <w:rPr>
          <w:rFonts w:ascii="Arial" w:hAnsi="Arial"/>
          <w:b w:val="0"/>
          <w:i w:val="0"/>
          <w:sz w:val="19"/>
        </w:rPr>
        <w:t xml:space="preserve"> — Vorstandsvorsitzender Chuck Robbins begründete die Reduktion im Memo („Strategic Investment Decisions in the AI Era") als Verlagerung zu „AI chips, fiber optics, and security", Benachrichtigungen ab 14. Mai 2026, Restrukturierungsaufwand bis zu 1 Mrd. US-Dollar (rund 450 Mio. US-Dollar im Q4 2026, Rest im Geschäftsjahr 2027). Diese drei Mai-2026-Ankündigungen verdichten die in § 8.2 (KI als Rohstoff) und § 8.3 (Teilhabefonds) verfolgte Beobachtung, dass Cloud-, Netzwerk- und Plattform-Anbieter — also die Anbieterseite der KI-Wertschöpfung selbst — Personal reduzieren und ihre Investitionen demonstrativ in AI-Compute, AI-Chips und AI-Beschleuniger lenken; bemerkenswert ist außerdem der Walmart-Fall, der zeigt, dass auch große Nicht-Tech-Konzerne ihre Tech-Bereiche im selben Zeitfenster und mit ähnlicher Größenordnung restrukturieren, ohne KI als Hauptbegründung zu nennen — und damit die in der </w:t>
      </w:r>
      <w:r>
        <w:rPr>
          <w:rFonts w:ascii="Arial" w:hAnsi="Arial"/>
          <w:b w:val="0"/>
          <w:i/>
          <w:sz w:val="19"/>
        </w:rPr>
        <w:t>Washington-Post</w:t>
      </w:r>
      <w:r>
        <w:rPr>
          <w:rFonts w:ascii="Arial" w:hAnsi="Arial"/>
          <w:b w:val="0"/>
          <w:i w:val="0"/>
          <w:sz w:val="19"/>
        </w:rPr>
        <w:t xml:space="preserve">-Differenzierung vom 1. Mai 2026 hervorgehobene Mehrkanalerklärung ein weiteres Mal empirisch erhärten. Die früheren Tagesfortschreibungen in dieser Reihe (25. April → 2. Mai → 6. Mai → 7. Mai → 8. Mai 2026) waren zuvor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Eine komplementäre deutsche Adoptionsperspektive liefert der </w:t>
      </w:r>
      <w:r>
        <w:rPr>
          <w:rFonts w:ascii="Arial" w:hAnsi="Arial"/>
          <w:b w:val="0"/>
          <w:i/>
          <w:sz w:val="19"/>
        </w:rPr>
        <w:t>IAB-Kurzbericht 8/2026</w:t>
      </w:r>
      <w:r>
        <w:rPr>
          <w:rFonts w:ascii="Arial" w:hAnsi="Arial"/>
          <w:b w:val="0"/>
          <w:i w:val="0"/>
          <w:sz w:val="19"/>
        </w:rPr>
        <w:t xml:space="preserve"> vom 5. Mai 2026 (</w:t>
      </w:r>
      <w:r>
        <w:rPr>
          <w:rFonts w:ascii="Arial" w:hAnsi="Arial"/>
          <w:b w:val="0"/>
          <w:i/>
          <w:sz w:val="19"/>
        </w:rPr>
        <w:t>„Jeder vierte Betrieb in Deutschland nutzt generative KI"</w:t>
      </w:r>
      <w:r>
        <w:rPr>
          <w:rFonts w:ascii="Arial" w:hAnsi="Arial"/>
          <w:b w:val="0"/>
          <w:i w:val="0"/>
          <w:sz w:val="19"/>
        </w:rPr>
        <w:t xml:space="preserve">): Der Anteil der deutschen Betriebe, die generative KI tatsächlich einsetzen, ist binnen zwei Jahren von rund 5 % (2023) auf rund 25 % (Anfang 2026) gestiegen — eine annähernde Verfünffachung. Weitere 9 % der Betriebe planen die Einführung. Die Adoption ist stark betriebsgrößenabhängig: 48 % bei Betrieben mit 200 und mehr Beschäftigten gegenüber 21 % bei Betrieben mit weniger als zehn Beschäftigten. Damit wird auf deutscher Mikroebene sichtbar, dass die Adoption sich aus der frühen Erprobungsphase in die Breite verlagert, ohne dass — bei nach wie vor moderaten aggregierten Effekten — daraus eine sichtbare aggregierte Verdrängungswelle entstanden wäre.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In den frühen Morgenstunden des 7. Mai 2026 haben Verhandlerinnen und Verhandler von Rat und Parlament in einer dritten Runde eine </w:t>
      </w:r>
      <w:r>
        <w:rPr>
          <w:rFonts w:ascii="Arial" w:hAnsi="Arial"/>
          <w:b w:val="0"/>
          <w:i/>
          <w:sz w:val="19"/>
        </w:rPr>
        <w:t>provisorische Einigung</w:t>
      </w:r>
      <w:r>
        <w:rPr>
          <w:rFonts w:ascii="Arial" w:hAnsi="Arial"/>
          <w:b w:val="0"/>
          <w:i w:val="0"/>
          <w:sz w:val="19"/>
        </w:rPr>
        <w:t xml:space="preserve"> zum Digital Omnibus on AI erzielt: Sie bestätigt die Verschiebung der Hochrisiko-Pflichten auf den 2. Dezember 2027 (Anhang III) und 2. August 2028 (Anhang I), löst den Anhang-I-Konformitätsstreit, der den vorhergehenden Trilog gesprengt hatte, und ergänzt einen neuen Tatbestand in Art. 5 mit ausdrücklichem Verbot von KI-Systemen, die Material des sexuellen Missbrauchs von Kindern (CSAM) oder nicht-einvernehmliche intime Darstellungen (NCII) erzeugen. Die provisorische Einigung wäre nunmehr formal durch Rat und Parlament zu billigen und im Anschluss durch die linguistisch-juristische Endredaktion zu führen; beide Institutionen haben erklärt, die Annahme „in den kommenden Wochen", in jedem Fall vor dem ursprünglichen Stichtag 2. August 2026, abschließen zu wollen. Die ursprünglich noch terminierte Trilogrunde am 13. Mai 2026 ist damit obsolet. Für die Steuerdebatte folgt daraus, dass der zeitliche Vorlauf für KI-Definitionen aus dem AI Act nicht weiter erodiert: Eine mittelfristige Anknüpfung steuerlicher Tatbestände an AI-Act-Kategorien bleibt möglich und gewinnt durch die jetzt politisch fixierten Endstichtage 2. Dezember 2027 und 2. August 2028 an Planungssicherheit, ohne dass die fiskalische Stellschraube selbst Gegenstand des Omnibus gewesen wäre.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Europäisches Parlament / Rat der EU. (7. Mai 2026). </w:t>
      </w:r>
      <w:r>
        <w:rPr>
          <w:rFonts w:ascii="Arial" w:hAnsi="Arial"/>
          <w:b w:val="0"/>
          <w:i/>
          <w:sz w:val="19"/>
        </w:rPr>
        <w:t>Digital Omnibus on AI — Provisorische Trilog-Einigung (dritte Runde) der Co-Gesetzgeber.</w:t>
      </w:r>
      <w:r>
        <w:rPr>
          <w:rFonts w:ascii="Arial" w:hAnsi="Arial"/>
          <w:b w:val="0"/>
          <w:i w:val="0"/>
          <w:sz w:val="19"/>
        </w:rPr>
        <w:t xml:space="preserve"> Bestätigung der Verschiebung der Hochrisiko-Pflichten auf 2. Dezember 2027 (Anhang III) und 2. August 2028 (Anhang I); Lösung des Anhang-I-Konformitätsstreits; neuer Tatbestand in Art. 5 (Verbot von KI-Systemen, die CSAM oder NCII generieren). Formelle Billigung durch Rat und Parlament steht aus; Annahme „in den kommenden Wochen", vor dem 2. August 2026, angekündigt. Berichterstattung u. a. Bird &amp; Bird, NicFab, Timelex, Lexology, Dastra. https://www.twobirds.com/en/insights/2026/digital-omnibus-on-ai-provisional-agreement-reached-at-the-may-trilogue | https://www.nicfab.eu/en/posts/digital-omnibus-ai-deal/ | https://www.timelex.eu/en/blog/ai-omnibus-deal-what-survived-trilogue | https://www.lexology.com/library/detail.aspx?g=34c6a42f-af33-4189-a32c-dc2e3d7a109f</w:t>
      </w:r>
    </w:p>
    <w:p>
      <w:pPr>
        <w:jc w:val="both"/>
      </w:pPr>
      <w:r>
        <w:rPr>
          <w:rFonts w:ascii="Arial" w:hAnsi="Arial"/>
          <w:b w:val="0"/>
          <w:i w:val="0"/>
          <w:sz w:val="19"/>
        </w:rPr>
        <w:t xml:space="preserve">IAB. (5. Mai 2026). </w:t>
      </w:r>
      <w:r>
        <w:rPr>
          <w:rFonts w:ascii="Arial" w:hAnsi="Arial"/>
          <w:b w:val="0"/>
          <w:i/>
          <w:sz w:val="19"/>
        </w:rPr>
        <w:t>Jeder vierte Betrieb in Deutschland nutzt generative KI</w:t>
      </w:r>
      <w:r>
        <w:rPr>
          <w:rFonts w:ascii="Arial" w:hAnsi="Arial"/>
          <w:b w:val="0"/>
          <w:i w:val="0"/>
          <w:sz w:val="19"/>
        </w:rPr>
        <w:t xml:space="preserve"> (IAB-Kurzbericht 8/2026). Anteil der deutschen Betriebe mit produktivem Einsatz generativer KI von rund 5 % (2023) auf rund 25 % (Anfang 2026) gestiegen; weitere 9 % planen die Einführung; 48 % bei Betrieben ≥ 200 Beschäftigten gegenüber 21 % bei Betrieben &lt; 10 Beschäftigten. https://iab.de/presseinfo/jeder-vierte-betrieb-in-deutschland-nutzt-generative-ki/ | https://doku.iab.de/kurzber/2026/kb2026-08.pdf</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Reuters / CNBC / Washington Times. (12./13. Mai 2026). </w:t>
      </w:r>
      <w:r>
        <w:rPr>
          <w:rFonts w:ascii="Arial" w:hAnsi="Arial"/>
          <w:b w:val="0"/>
          <w:i/>
          <w:sz w:val="19"/>
        </w:rPr>
        <w:t>Walmart cuts 1,000 roles to simplify operations / Walmart cuts or relocates about 1,000 corporate workers in tech consolidation.</w:t>
      </w:r>
      <w:r>
        <w:rPr>
          <w:rFonts w:ascii="Arial" w:hAnsi="Arial"/>
          <w:b w:val="0"/>
          <w:i w:val="0"/>
          <w:sz w:val="19"/>
        </w:rPr>
        <w:t xml:space="preserve"> Internes Memo Suresh Kumar (CTO) und Daniel Danker (EVP AI Acceleration, Product and Design); rund 1.000 Corporate-Workers aus Produkt-, Design- und Technologie-Teams; Konsolidierung auf eine gemeinsame Plattform für Walmart U.S., Sam's Club und internationale Märkte; ausdrücklich nicht mit KI begründet, sondern mit Plattform-Integration. https://www.cnbc.com/2026/05/13/walmart-cuts-1000-roles-to-simplify-operations-reports.html | https://www.washingtontimes.com/news/2026/may/13/walmart-cuts-relocates-1000-corporate-workers-tech-consolidation/</w:t>
      </w:r>
    </w:p>
    <w:p>
      <w:pPr>
        <w:jc w:val="both"/>
      </w:pPr>
      <w:r>
        <w:rPr>
          <w:rFonts w:ascii="Arial" w:hAnsi="Arial"/>
          <w:b w:val="0"/>
          <w:i w:val="0"/>
          <w:sz w:val="19"/>
        </w:rPr>
        <w:t xml:space="preserve">Bloomberg / Reuters / GeekWire / Seattle Times. (13. Mai 2026). </w:t>
      </w:r>
      <w:r>
        <w:rPr>
          <w:rFonts w:ascii="Arial" w:hAnsi="Arial"/>
          <w:b w:val="0"/>
          <w:i/>
          <w:sz w:val="19"/>
        </w:rPr>
        <w:t>Microsoft's LinkedIn is cutting jobs in latest industry cull / LinkedIn cuts about 5% of workforce as Microsoft reshapes business.</w:t>
      </w:r>
      <w:r>
        <w:rPr>
          <w:rFonts w:ascii="Arial" w:hAnsi="Arial"/>
          <w:b w:val="0"/>
          <w:i w:val="0"/>
          <w:sz w:val="19"/>
        </w:rPr>
        <w:t xml:space="preserve"> Memo CEO Ryan Roslansky; rund 875–1.000 Stellen, etwa 5 % der 17.500 Beschäftigten; Begründung: verändertes Kundenverhalten, flachere Organisationsstruktur, verlangsamtes Umsatzwachstum trotz +12 % Quartalsumsatz; Engineering-, Produkt- und Marketing-Funktionen besonders betroffen. https://www.bloomberg.com/news/articles/2026-05-13/microsoft-s-linkedin-is-cutting-jobs-in-latest-industry-cull | https://www.geekwire.com/2026/report-linkedin-makes-job-cuts-to-position-for-future-success-amid-record-quarterly-revenue/ | https://www.seattletimes.com/business/microsoft/microsoft-owned-linkedin-cuts-hundreds-of-roles-reports-say/</w:t>
      </w:r>
    </w:p>
    <w:p>
      <w:pPr>
        <w:jc w:val="both"/>
      </w:pPr>
      <w:r>
        <w:rPr>
          <w:rFonts w:ascii="Arial" w:hAnsi="Arial"/>
          <w:b w:val="0"/>
          <w:i w:val="0"/>
          <w:sz w:val="19"/>
        </w:rPr>
        <w:t xml:space="preserve">Reuters / Yahoo Finance / Business Standard / DNYUZ. (13./14. Mai 2026). </w:t>
      </w:r>
      <w:r>
        <w:rPr>
          <w:rFonts w:ascii="Arial" w:hAnsi="Arial"/>
          <w:b w:val="0"/>
          <w:i/>
          <w:sz w:val="19"/>
        </w:rPr>
        <w:t>Cisco to cut about 4,000 jobs in AI-focused restructuring as orders surge / Read the memo: Cisco to cut about 4,000 jobs in AI-driven restructuring.</w:t>
      </w:r>
      <w:r>
        <w:rPr>
          <w:rFonts w:ascii="Arial" w:hAnsi="Arial"/>
          <w:b w:val="0"/>
          <w:i w:val="0"/>
          <w:sz w:val="19"/>
        </w:rPr>
        <w:t xml:space="preserve"> Memo CEO Chuck Robbins; rund 4.000 Stellen (knapp 5 % der globalen Belegschaft); Benachrichtigungen ab 14. Mai 2026; Restrukturierungsaufwand bis zu 1 Mrd. USD (rund 450 Mio. USD im Q4 2026, Rest im Geschäftsjahr 2027); Verlagerung der Investitionen zu AI-Chips, Glasfaser und Sicherheit. Parallel Q3-Quartalszahlen: Umsatz 15,8 Mrd. USD (+12 % YoY); AI-Infrastruktur-Aufträge von Hyperscalern bislang 5,3 Mrd. USD im Geschäftsjahr; Jahresprognose für AI-Aufträge auf 9 Mrd. USD (zuvor 5 Mrd. USD) angehoben. https://finance.yahoo.com/news/cisco-raises-annual-revenue-forecast-200934306.html | https://www.business-standard.com/world-news/cisco-to-cut-nearly-4-000-jobs-in-ai-focused-restructuring-as-orders-surge-126051400091_1.html | https://dnyuz.com/2026/05/13/read-the-memo-cisco-to-cut-about-4000-jobs-in-ai-driven-restructuring/</w:t>
      </w:r>
    </w:p>
    <w:p>
      <w:pPr>
        <w:jc w:val="both"/>
      </w:pPr>
      <w:r>
        <w:rPr>
          <w:rFonts w:ascii="Arial" w:hAnsi="Arial"/>
          <w:b w:val="0"/>
          <w:i w:val="0"/>
          <w:sz w:val="19"/>
        </w:rPr>
        <w:t xml:space="preserve">TrueUp / Yahoo Tech. (Stand 13. Mai 2026). </w:t>
      </w:r>
      <w:r>
        <w:rPr>
          <w:rFonts w:ascii="Arial" w:hAnsi="Arial"/>
          <w:b w:val="0"/>
          <w:i/>
          <w:sz w:val="19"/>
        </w:rPr>
        <w:t>Tech Layoffs Tracker — Tagesfortschreibung: 128.270 Personen aus 286 Layoff-Meldungen (rund 1.002 Personen pro Tag).</w:t>
      </w:r>
      <w:r>
        <w:rPr>
          <w:rFonts w:ascii="Arial" w:hAnsi="Arial"/>
          <w:b w:val="0"/>
          <w:i w:val="0"/>
          <w:sz w:val="19"/>
        </w:rPr>
        <w:t xml:space="preserve"> https://www.trueup.io/layoffs | https://tech.yahoo.com/general/article/tech-layoffs-2026-more-than-128000-people-have-been-laid-off-this-year-from-companies-like-paypal-meta-cloudflare-and-more-144545060.html</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 Mai 2026 (Schnitt am 14. Mai 2026 — Lauf 001 vom 14. Mai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am 7. Mai 2026 in einer dritten Trilogrunde erreichten provisorischen Einigung zum Digital Omnibus on AI (Verschiebung der Hochrisiko-Pflichten auf 2. Dezember 2027 und 2. August 2028; Lösung des Anhang-I-Konformitätsstreits; neuer Tatbestand in Art. 5 mit Verbot von KI-Systemen, die CSAM oder NCII generieren; formelle Billigung durch Rat und Parlament „in den kommenden Wochen" vor dem 2. August 2026 angekündigt; der zuvor terminierte Trilog am 13. Mai 2026 ist damit obsolet),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6./7./8./13. Mai 2026 (TrueUp 119.721 Personen aus 265 Layoff-Meldungen am 6. Mai, 121.111 Personen aus 273 Meldungen am 7. Mai, 127.411 Personen aus 283 Meldungen am 8. Mai, 128.270 Personen aus 286 Meldungen am 13. Mai 2026 — rund 1.002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der am 12./13. Mai 2026 verdichteten Mai-Welle in der Anbieterseite der KI-Wertschöpfung — Walmart (rund 1.000 Corporate-Workers in Produkt-, Design- und Technologie-Teams, intern angekündigt durch CTO Suresh Kumar und EVP AI Acceleration Daniel Danker, ausdrücklich nicht KI-begründet, sondern als Plattform-Konsolidierung), LinkedIn (Microsoft-Tochter, rund 5 % der 17.500 Beschäftigten — rund 875–1.000 Stellen, Memo Roslansky mit Verweis auf verändertes Kundenverhalten, flachere Organisation und verlangsamtes Umsatzwachstum trotz +12 % Quartalsumsatz) und Cisco (rund 4.000 Stellen, knapp 5 % der globalen Belegschaft, Memo Robbins parallel zu Q3-Quartalszahlen 15,8 Mrd. USD/+12 % und einer Anhebung der Jahresprognose für AI-Aufträge von 5 auf 9 Mrd. USD; Restrukturierungsaufwand bis 1 Mrd. USD), des am 5. Mai 2026 publizierten </w:t>
      </w:r>
      <w:r>
        <w:rPr>
          <w:rFonts w:ascii="Arial" w:hAnsi="Arial"/>
          <w:b w:val="0"/>
          <w:i/>
          <w:sz w:val="19"/>
        </w:rPr>
        <w:t>IAB-Kurzberichts 8/2026</w:t>
      </w:r>
      <w:r>
        <w:rPr>
          <w:rFonts w:ascii="Arial" w:hAnsi="Arial"/>
          <w:b w:val="0"/>
          <w:i w:val="0"/>
          <w:sz w:val="19"/>
        </w:rPr>
        <w:t xml:space="preserve"> („Jeder vierte Betrieb in Deutschland nutzt generative KI"; Adoptionsrate von 5 % im Jahr 2023 auf 25 % Anfang 2026 verfünffacht, 9 % Einführungspläne, 48 % bei Großbetrieben, 21 % bei Kleinstbetrieben),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