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 das Gesetz ist damit vor der Sommerpause 2026 im Bundestag verabschiedet, mit noch anstehendem zweiten Durchgang im Bundesrat.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Am selben Tag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13. Juli 2026 — Lauf 001 vom 13.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