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Frühjahrsprognose vom 24. März 2026 („Fiskalpolitischer Rückenwind trifft auf geopolitischen Gegenwind") deutlich nach unten revidiert: Erwartet werden ein Rückgang der Erwerbstätigkeit um 90.000 Personen (statt zuvor −20.000 im IAB-Kurzbericht 19/2025), ein erstmals seit der Finanzkrise 2009 nicht mehr wachsender Bestand sozialversicherungspflichtiger Beschäftigung sowie ein erstmals sinkendes Erwerbspersonenpotenzial — eine strukturelle Kenngröße, die das Finanzierungsproblem der lohnbasierten Sozialversicherung unabhängig von KI-Effekten verschärft. Sektoral fällt der Befund zweigeteilt aus: Die Industrie verliert rund 140.000 Stellen, während öffentliche Dienste, Erziehung und Gesundheit zusammen rund 180.000 Stellen aufbauen.</w:t>
      </w:r>
    </w:p>
    <w:p>
      <w:pPr>
        <w:jc w:val="both"/>
      </w:pPr>
      <w:r>
        <w:rPr>
          <w:rFonts w:ascii="Arial" w:hAnsi="Arial"/>
          <w:b w:val="0"/>
          <w:i w:val="0"/>
          <w:sz w:val="19"/>
        </w:rPr>
        <w:t xml:space="preserve">Parallel dazu hat sich 2026 in der Tech-Branche ein durchgehend KI-begründeter Restrukturierungspfad verstetigt. Branchen-Tracker zählen zur Jahresmitte 2026 zwischen rund 165.000 (TrueUp) und 186.000 (SkillSyncer) betroffene Beschäftigte — kumuliert weniger als im Gesamtjahr 2025, aber mit einer um rund ein Drittel höheren täglichen Rate. Nach den Monatsreports von </w:t>
      </w:r>
      <w:r>
        <w:rPr>
          <w:rFonts w:ascii="Arial" w:hAnsi="Arial"/>
          <w:b w:val="0"/>
          <w:i/>
          <w:sz w:val="19"/>
        </w:rPr>
        <w:t>Challenger, Gray &amp; Christmas</w:t>
      </w:r>
      <w:r>
        <w:rPr>
          <w:rFonts w:ascii="Arial" w:hAnsi="Arial"/>
          <w:b w:val="0"/>
          <w:i w:val="0"/>
          <w:sz w:val="19"/>
        </w:rPr>
        <w:t xml:space="preserve"> ist KI seit März 2026 vier Monate in Folge der am häufigsten genannte Einzelgrund für US-Stellenstreichungen; die KI-begründeten Streichungen des ersten Halbjahres 2026 (101.743, rund 23 % aller Streichungspläne des Jahres) übersteigen die Gesamtjahressumme 2025 bereits um rund 86 %. Die größten einzeln dokumentierten Maßnahmen reichen von Oracle (rund 21.000 Stellen im Geschäftsjahr 2026, etwa 13 % der Belegschaft) über Amazon (seit Oktober 2025 kumuliert mehr als 30.000 Stellen), Cognizant, Microsoft, Meta und PayPal bis zu Cloudflare, Coinbase und Freshworks — zusammen rund 73.000 bis 76.000 Stellen mit expliziter KI-Begründung. Die vollständigen Zeitreihen, Monatsreihen und Einzelmeldungen mit allen Quellen- und Detailangaben sind im quantitativen Anhang dieses Papiers (`Statistik.md`) dokumentiert und werden dort fortgeschrieben.</w:t>
      </w:r>
    </w:p>
    <w:p>
      <w:pPr>
        <w:jc w:val="both"/>
      </w:pPr>
      <w:r>
        <w:rPr>
          <w:rFonts w:ascii="Arial" w:hAnsi="Arial"/>
          <w:b w:val="0"/>
          <w:i w:val="0"/>
          <w:sz w:val="19"/>
        </w:rPr>
        <w:t>Bemerkenswert ist die Asymmetrie zwischen Personalabbau und Infrastrukturausbau: Die KI-Investitionsprogramme der Hyperscaler wurden nach den Q1-2026-Earnings-Calls auf rund 725 Milliarden US-Dollar für das Jahr 2026 revidiert (+77 % gegenüber 2025), mit einem Wall-Street-Ausblick von über einer Billion US-Dollar für 2027. Diese Konstellation — sinkender Personalbestand bei zugleich historisch hohem Aufbau von Maschinenkapital — strukturiert die Steuerdebatte über die Anknüpfung an Maschinenkapital und Wertschöpfung (§ 5.1, § 8.3).</w:t>
      </w:r>
    </w:p>
    <w:p>
      <w:pPr>
        <w:jc w:val="both"/>
      </w:pPr>
      <w:r>
        <w:rPr>
          <w:rFonts w:ascii="Arial" w:hAnsi="Arial"/>
          <w:b w:val="0"/>
          <w:i w:val="0"/>
          <w:sz w:val="19"/>
        </w:rPr>
        <w:t xml:space="preserve">Zur Vorsicht gegenüber einer monokausalen KI-Lesart mahnen allerdings drei Befunde. Erstens hat die </w:t>
      </w:r>
      <w:r>
        <w:rPr>
          <w:rFonts w:ascii="Arial" w:hAnsi="Arial"/>
          <w:b w:val="0"/>
          <w:i/>
          <w:sz w:val="19"/>
        </w:rPr>
        <w:t>Washington Post</w:t>
      </w:r>
      <w:r>
        <w:rPr>
          <w:rFonts w:ascii="Arial" w:hAnsi="Arial"/>
          <w:b w:val="0"/>
          <w:i w:val="0"/>
          <w:sz w:val="19"/>
        </w:rPr>
        <w:t xml:space="preserve"> (1. Mai 2026) dargelegt, dass sich die Tech-Streichungen bei Amazon, Meta und Microsoft nicht ausschließlich aus KI-Verdrängung speisen, sondern auch aus Austerity-Logiken, Korrekturen der pandemiebedingten Überbeschäftigung und Routine-Restrukturierungen. Zweitens dokumentiert eine von </w:t>
      </w:r>
      <w:r>
        <w:rPr>
          <w:rFonts w:ascii="Arial" w:hAnsi="Arial"/>
          <w:b w:val="0"/>
          <w:i/>
          <w:sz w:val="19"/>
        </w:rPr>
        <w:t>CNBC</w:t>
      </w:r>
      <w:r>
        <w:rPr>
          <w:rFonts w:ascii="Arial" w:hAnsi="Arial"/>
          <w:b w:val="0"/>
          <w:i w:val="0"/>
          <w:sz w:val="19"/>
        </w:rPr>
        <w:t xml:space="preserve"> (1. Juli 2026) zusammengeführte Gegenbewegung, dass mehrere Unternehmen KI-getriebene Personalreduktionen inzwischen offen als Fehleinschätzung revidieren und Beschäftigte wiedereinstellen — prominent Ford (rund 350 zurückgeholte Ingenieure, nachdem KI-gestützte Qualitätskontrolle an produktionsrelevanten Fehlern gescheitert war), IBM und die Commonwealth Bank of Australia; empirisch gestützt durch die Orgvue-Erhebung unter 1.163 Senior Decision-Makers (55 % der Führungskräfte mit KI-bedingten Entlassungen halten mindestens eine Entscheidung im Nachhinein für einen Fehler) und die Robert-Half-Rückholrate (32 % der primär KI-bedingt gestrichenen Rollen wurden wiederbesetzt). Drittens steht der Goldman-Sachs-Schätzung eines US-Verdrängungseffekts von rund 16.000 Stellen pro Monat der Befund von Yale Budget Lab und Massenkoff &amp; McCrory gegenüber, dass sich auf Aggregatebene bislang keine systematische KI-Disruption des US-Arbeitsmarkts zeigt (§ 3.5). Für die Steuerdebatte bedeutet das: Die Kausalattribution zwischen Stellenabbau und KI-Einführung ist auch im sichtbarsten Marktsegment empirisch nicht trennscharf — was die Anknüpfung von Steuern an „nachgewiesene KI-Verdrängung" (Typ 5 nach § 2.1, § 9.1) zusätzlich erschwert und die in § 3.4 referierte Warnung vor voreiligen Automatisierungssteuern stützt.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&amp; Grau Ruiz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w:t>
      </w:r>
    </w:p>
    <w:p>
      <w:pPr>
        <w:jc w:val="both"/>
      </w:pPr>
      <w:r>
        <w:rPr>
          <w:rFonts w:ascii="Arial" w:hAnsi="Arial"/>
          <w:b w:val="0"/>
          <w:i w:val="0"/>
          <w:sz w:val="19"/>
        </w:rPr>
        <w:t xml:space="preserve">Die nutzungsdatenbasierte Empirie bestätigt dieses Bild einer schnellen Adoption ohne messbaren aggregierten Beschäftigungseinbruch. Die Berichtsreihe des </w:t>
      </w:r>
      <w:r>
        <w:rPr>
          <w:rFonts w:ascii="Arial" w:hAnsi="Arial"/>
          <w:b w:val="0"/>
          <w:i/>
          <w:sz w:val="19"/>
        </w:rPr>
        <w:t>Anthropic Economic Index</w:t>
      </w:r>
      <w:r>
        <w:rPr>
          <w:rFonts w:ascii="Arial" w:hAnsi="Arial"/>
          <w:b w:val="0"/>
          <w:i w:val="0"/>
          <w:sz w:val="19"/>
        </w:rPr>
        <w:t xml:space="preserve"> (2026) zeigt eine hohe theoretische KI-Abdeckung (bis zu rund 94 % in Computer-/Mathematik- und Business-/Finance-Berufen) bei deutlich geringerer beobachteter Nutzung, eine überraschend breite Adoption (rund 49 % aller Berufe haben mindestens ein Viertel ihrer Tätigkeiten mit Claude bearbeiten lassen) und einen überwiegend unterstützend-kollaborativen Nutzungsmix, während vollständige Substitution auf einen kleineren Anteil der Tasks beschränkt bleibt. Massenkoff und McCrory (</w:t>
      </w:r>
      <w:r>
        <w:rPr>
          <w:rFonts w:ascii="Arial" w:hAnsi="Arial"/>
          <w:b w:val="0"/>
          <w:i/>
          <w:sz w:val="19"/>
        </w:rPr>
        <w:t>„Labor market impacts of AI: A new measure and early evidence"</w:t>
      </w:r>
      <w:r>
        <w:rPr>
          <w:rFonts w:ascii="Arial" w:hAnsi="Arial"/>
          <w:b w:val="0"/>
          <w:i w:val="0"/>
          <w:sz w:val="19"/>
        </w:rPr>
        <w:t xml:space="preserve">, 5. März 2026) wenden das dort eingeführte Konzept der </w:t>
      </w:r>
      <w:r>
        <w:rPr>
          <w:rFonts w:ascii="Arial" w:hAnsi="Arial"/>
          <w:b w:val="0"/>
          <w:i/>
          <w:sz w:val="19"/>
        </w:rPr>
        <w:t>observed exposure</w:t>
      </w:r>
      <w:r>
        <w:rPr>
          <w:rFonts w:ascii="Arial" w:hAnsi="Arial"/>
          <w:b w:val="0"/>
          <w:i w:val="0"/>
          <w:sz w:val="19"/>
        </w:rPr>
        <w:t xml:space="preserve"> auf den US-Arbeitsmarkt an und finden trotz Spitzenwerten von bis zu 74,5 % (Computer-Programmierer) </w:t>
      </w:r>
      <w:r>
        <w:rPr>
          <w:rFonts w:ascii="Arial" w:hAnsi="Arial"/>
          <w:b w:val="0"/>
          <w:i/>
          <w:sz w:val="19"/>
        </w:rPr>
        <w:t>„keine systematische Erhöhung der Arbeitslosigkeit für hoch exponierte Beschäftigte seit Ende 2022"</w:t>
      </w:r>
      <w:r>
        <w:rPr>
          <w:rFonts w:ascii="Arial" w:hAnsi="Arial"/>
          <w:b w:val="0"/>
          <w:i w:val="0"/>
          <w:sz w:val="19"/>
        </w:rPr>
        <w:t xml:space="preserve">, jedoch tentative Hinweise auf eine verlangsamte Einstellung 22- bis 25-Jähriger in stark exponierten Berufen — auf Mikroebene konsistent mit den in § 1.1 referierten Goldman-Sachs-Beobachtungen zu Berufseinsteigerinnen und -einsteigern. Das </w:t>
      </w:r>
      <w:r>
        <w:rPr>
          <w:rFonts w:ascii="Arial" w:hAnsi="Arial"/>
          <w:b w:val="0"/>
          <w:i/>
          <w:sz w:val="19"/>
        </w:rPr>
        <w:t>Yale Budget Lab</w:t>
      </w:r>
      <w:r>
        <w:rPr>
          <w:rFonts w:ascii="Arial" w:hAnsi="Arial"/>
          <w:b w:val="0"/>
          <w:i w:val="0"/>
          <w:sz w:val="19"/>
        </w:rPr>
        <w:t xml:space="preserve"> bestätigt unabhängig über die </w:t>
      </w:r>
      <w:r>
        <w:rPr>
          <w:rFonts w:ascii="Arial" w:hAnsi="Arial"/>
          <w:b w:val="0"/>
          <w:i/>
          <w:sz w:val="19"/>
        </w:rPr>
        <w:t>Current Population Survey</w:t>
      </w:r>
      <w:r>
        <w:rPr>
          <w:rFonts w:ascii="Arial" w:hAnsi="Arial"/>
          <w:b w:val="0"/>
          <w:i w:val="0"/>
          <w:sz w:val="19"/>
        </w:rPr>
        <w:t>, dass der breite US-Arbeitsmarkt 33 Monate nach ChatGPT-Veröffentlichung keine erkennbare aggregierte Disruption erfährt. Die vollständigen Kennzahlen dieser Berichtsreihen sind im quantitativen Anhang (`Statistik.md`, Tabelle 7) dokumentiert und werden dort fortgeschrieben.</w:t>
      </w:r>
    </w:p>
    <w:p>
      <w:pPr>
        <w:jc w:val="both"/>
      </w:pPr>
      <w:r>
        <w:rPr>
          <w:rFonts w:ascii="Arial" w:hAnsi="Arial"/>
          <w:b w:val="0"/>
          <w:i w:val="0"/>
          <w:sz w:val="19"/>
        </w:rPr>
        <w:t>Auf der subjektiven Ebene zeigen die Anthropic-Befragungen eine bemerkenswerte Spannung. Im ökonomischen Folgeband zur 81.000er-Befragung (</w:t>
      </w:r>
      <w:r>
        <w:rPr>
          <w:rFonts w:ascii="Arial" w:hAnsi="Arial"/>
          <w:b w:val="0"/>
          <w:i/>
          <w:sz w:val="19"/>
        </w:rPr>
        <w:t>„Economic concerns and gains from AI use"</w:t>
      </w:r>
      <w:r>
        <w:rPr>
          <w:rFonts w:ascii="Arial" w:hAnsi="Arial"/>
          <w:b w:val="0"/>
          <w:i w:val="0"/>
          <w:sz w:val="19"/>
        </w:rPr>
        <w:t>, April 2026) berichten die Befragten erhebliche Produktivitätsgewinne (durchschnittlich 5,1 auf einer 1–7-Skala), zugleich äußert rund ein Fünftel Verdrängungssorgen — und wer die größten Geschwindigkeitsgewinne meldet, äußert überdurchschnittlich häufig Sorgen (</w:t>
      </w:r>
      <w:r>
        <w:rPr>
          <w:rFonts w:ascii="Arial" w:hAnsi="Arial"/>
          <w:b w:val="0"/>
          <w:i/>
          <w:sz w:val="19"/>
        </w:rPr>
        <w:t>Produktivitäts-Angst-Paradoxie</w:t>
      </w:r>
      <w:r>
        <w:rPr>
          <w:rFonts w:ascii="Arial" w:hAnsi="Arial"/>
          <w:b w:val="0"/>
          <w:i w:val="0"/>
          <w:sz w:val="19"/>
        </w:rPr>
        <w:t xml:space="preserve">). Der sechste Index-Bericht </w:t>
      </w:r>
      <w:r>
        <w:rPr>
          <w:rFonts w:ascii="Arial" w:hAnsi="Arial"/>
          <w:b w:val="0"/>
          <w:i/>
          <w:sz w:val="19"/>
        </w:rPr>
        <w:t>„Cadences"</w:t>
      </w:r>
      <w:r>
        <w:rPr>
          <w:rFonts w:ascii="Arial" w:hAnsi="Arial"/>
          <w:b w:val="0"/>
          <w:i w:val="0"/>
          <w:sz w:val="19"/>
        </w:rPr>
        <w:t xml:space="preserve"> (26. Juni 2026), der die Nutzungsdaten erstmals mit dem im April 2026 gestarteten monatlichen Survey-Format verknüpft, verdichtet diesen Befund in einer verlinkten Stichprobe von rund 9.700 Nutzerinnen und Nutzern: Rund die Hälfte traut KI mindestens 50 % der eigenen Aufgaben zu, aber nur rund 10 % halten einen eigenen Arbeitsplatzverlust für wahrscheinlich; Beschäftigte mit höherem Delegationsanteil berichten über alle sechs abgefragten Wirkungsdimensionen systematisch positivere Erwartungen. Für die Steuerdebatte ist das relevant, weil es die in § 8.4 entwickelte Stabilitätslinie mikroökonomisch unterfüttert: Eine Reform, die Produktivitätsgewinne sichtbar abschöpft und teilbar zurückgibt, hat einen psychologisch realen Adressatenkreis — und die Verteilungsfrage (wer profitiert von der Produktivitätsverschiebung) könnte politisch </w:t>
      </w:r>
      <w:r>
        <w:rPr>
          <w:rFonts w:ascii="Arial" w:hAnsi="Arial"/>
          <w:b w:val="0"/>
          <w:i/>
          <w:sz w:val="19"/>
        </w:rPr>
        <w:t>vor</w:t>
      </w:r>
      <w:r>
        <w:rPr>
          <w:rFonts w:ascii="Arial" w:hAnsi="Arial"/>
          <w:b w:val="0"/>
          <w:i w:val="0"/>
          <w:sz w:val="19"/>
        </w:rPr>
        <w:t xml:space="preserve"> der Ersatzfrage (wer verliert den Arbeitsplatz) aktuell werden.</w:t>
      </w:r>
    </w:p>
    <w:p>
      <w:pPr>
        <w:jc w:val="both"/>
      </w:pPr>
      <w:r>
        <w:rPr>
          <w:rFonts w:ascii="Arial" w:hAnsi="Arial"/>
          <w:b w:val="0"/>
          <w:i w:val="0"/>
          <w:sz w:val="19"/>
        </w:rPr>
        <w:t xml:space="preserve">Eine fiskalische Zuspitzung liefert das Yale Budget Lab mit einer ergänzenden Analyse vom 6. Mai 2026: Ein KI-induzierter Produktivitätspfad könnte den US-Schuldendienst (Schuldenstand 39 Billionen US-Dollar, rund 100 % des BIP) theoretisch spürbar entlasten — allerdings nur unter der Annahme, dass der Staat verdrängte Beschäftigte nicht nennenswert auffängt; Übergangshilfen in der plausiblen Bandbreite von 5.500 bis 42.400 US-Dollar pro Person würden den Konsolidierungseffekt weitgehend neutralisieren. Die fiskalischen Vorteile der KI-Adoption sind also systematisch nur dann „kostenlos", wenn sie Verteilungsfolgen externalisieren — eine Position, die mit dem in § 8.4 entwickelten Stabilitätsargument unvereinbar ist. In der Summe spricht die Befundlage — schnelle Adoption in der Breite, keine klar messbaren aggregierten Beschäftigungseinbrüche, aber erkennbare sektorale und altersspezifische Frühwirkungen —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Die in Kapitel 8 entwickelte Deutschland-These erfüllt diese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3.4 (de la Feria) und § 4.2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 xml:space="preserve">de la Feria, R., &amp; Grau Ruiz, M. A. (2022). Taxing Robots. In M. A. Grau Ruiz (Hrsg.), </w:t>
      </w:r>
      <w:r>
        <w:rPr>
          <w:rFonts w:ascii="Arial" w:hAnsi="Arial"/>
          <w:b w:val="0"/>
          <w:i/>
          <w:sz w:val="19"/>
        </w:rPr>
        <w:t>Interactive Robotics: Legal, Ethical, Social and Economic Aspects</w:t>
      </w:r>
      <w:r>
        <w:rPr>
          <w:rFonts w:ascii="Arial" w:hAnsi="Arial"/>
          <w:b w:val="0"/>
          <w:i w:val="0"/>
          <w:sz w:val="19"/>
        </w:rPr>
        <w:t xml:space="preserve"> (INBOTS 2021; Biosystems &amp; Biorobotics, Bd. 30). Springer, Cham. https://doi.org/10.1007/978-3-031-04305-5_16</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wieder (Version 27.0, Schnitt am 5. Juli 2026). Die Debatte entwickelt sich dynamisch — offen sind zum Redaktionsschluss insbesondere die parlamentarische Behandlung des GKV-Beitragssatzstabilisierungsgesetzes vor der Sommerpause 2026, das weitere Verfahren zum </w:t>
      </w:r>
      <w:r>
        <w:rPr>
          <w:rFonts w:ascii="Arial" w:hAnsi="Arial"/>
          <w:b w:val="0"/>
          <w:i/>
          <w:sz w:val="19"/>
        </w:rPr>
        <w:t>American A.I. Sovereign Wealth Fund Act</w:t>
      </w:r>
      <w:r>
        <w:rPr>
          <w:rFonts w:ascii="Arial" w:hAnsi="Arial"/>
          <w:b w:val="0"/>
          <w:i w:val="0"/>
          <w:sz w:val="19"/>
        </w:rPr>
        <w:t xml:space="preserve"> (S. 4825) im US-Kongress, die Umsetzung des am 29. Juni 2026 final gebilligten </w:t>
      </w:r>
      <w:r>
        <w:rPr>
          <w:rFonts w:ascii="Arial" w:hAnsi="Arial"/>
          <w:b w:val="0"/>
          <w:i/>
          <w:sz w:val="19"/>
        </w:rPr>
        <w:t>Digital Omnibus on AI</w:t>
      </w:r>
      <w:r>
        <w:rPr>
          <w:rFonts w:ascii="Arial" w:hAnsi="Arial"/>
          <w:b w:val="0"/>
          <w:i w:val="0"/>
          <w:sz w:val="19"/>
        </w:rPr>
        <w:t xml:space="preserve"> sowie der weitere Verlauf des KI-getriebenen Restrukturierungspfads in der Tech-Branche. Die laufende Fortschreibung der Kennzahlen (Layoff-Tracker, Challenger-Monatsreports, AI-Capex, IAB- und GKV-Daten) erfolgt tabellarisch im quantitativen Anhang `Statistik.md`; die vollständige Historie aller Update-Läufe und eingearbeiteten Quellen dokumentiert `Änderungshistorie.md`.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