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bis zum 26. Mai 2026 setzt sich die Reihe weiter fort auf 143.985 betroffene Personen aus 342 Layoff-Meldungen (rund 993 Personen pro Tag im Jahresdurchschnitt; SkillSyncer parallel 134.603 Personen aus 212 Ereignissen zum 25. Mai 2026, rund 928 Personen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In derselben Linie kündigt </w:t>
      </w:r>
      <w:r>
        <w:rPr>
          <w:rFonts w:ascii="Arial" w:hAnsi="Arial"/>
          <w:b w:val="0"/>
          <w:i/>
          <w:sz w:val="19"/>
        </w:rPr>
        <w:t>Cisco Systems</w:t>
      </w:r>
      <w:r>
        <w:rPr>
          <w:rFonts w:ascii="Arial" w:hAnsi="Arial"/>
          <w:b w:val="0"/>
          <w:i w:val="0"/>
          <w:sz w:val="19"/>
        </w:rPr>
        <w:t xml:space="preserve"> am 13. Mai 2026 — parallel zu einem Rekord-Quartalsumsatz von 15,8 Milliarden US-Dollar im Q3 FY2026 und 5,3 Milliarden US-Dollar an AI-Infrastruktur-Bestellungen von Hyperscalern — eine Reduktion von rund 4.000 Stellen (unter 5 % der Belegschaft) im Rahmen einer Neuausrichtung auf Silicon, Optics, Security und KI an; Benachrichtigungen beginnen am 14. Mai 2026, Restrukturierungsaufwendungen werden auf bis zu 1 Milliarde US-Dollar geschätzt (rund 450 Millionen US-Dollar im Q4 FY2026, der Rest im FY2027), das Unterstützungspaket umfasst anteilige Boni, Outplacement-Services und ein Jahr Zugang zu Cisco-U-Schulungen — der Cisco-Schritt verdichtet das Muster „Rekord-AI-Umsatz parallel zu Personalabbau" um einen weiteren Netzausrüster und unterstreicht die Asymmetrie, die in den Cloudflare- und Hyperscaler-Daten bereits sichtbar ist.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In den frühen Morgenstunden des 7. Mai 2026 erzielten Rat und Parlament nach einer rund neunstündigen dritten Trilogrunde unter zypriotischer Ratspräsidentschaft eine provisorische Einigung (Pressemitteilung des Rates der EU vom 7. Mai 2026; Berichterstattung Bird &amp; Bird, Lexology, White &amp; Case, Hogan Lovells, Modulos vom 7./8./12. Mai 2026). Die Einigung bestätigt die Stichtage 2. Dezember 2027 (Anhang III) und 2. August 2028 (Anhang I) für die Hochrisiko-Pflichten und begründet sie operativ — die harmonisierten Normen werden voraussichtlich erst Ende 2026 vollständig vorliegen, und in mehreren Mitgliedstaaten ist die Designation nationaler zuständiger Behörden und benannter Stellen noch nicht abgeschlossen. Die Kennzeichnungspflicht nach Art. 50 Abs. 2 bleibt zum 2. August 2026 anwendbar; für bereits vor diesem Datum in Verkehr gebrachte generative KI-Systeme wird eine Übergangsperiode bis zum 2. Dezember 2026 eingeräumt. Zugleich führt die Einigung ein neues Verbot in Art. 5 ein, das KI-Systeme zur Erzeugung kinderpornografischer Inhalte oder nicht einvernehmlicher intimer Bildaufnahmen in drei Konfigurationen erfasst (Inverkehrbringen mit dem Zweck dieser Erzeugung; Inverkehrbringen ohne angemessene Sicherheitsvorkehrungen gegen entsprechende Nutzung; Einsatz durch Anwender für diesen Zweck); betroffene Systeme müssen bis zum 2. Dezember 2026 angepasst werden. Das Verhältnis zwischen AI Act und sektorspezifischen Produkt­sicherheits­regimen (Anhang I) wird so geregelt, dass eine Doppelregulierung vermieden wird, indem Compliance über bestehende sektorale Rahmen kanalisiert wird. Die provisorische Einigung muss noch von Rat und Parlament formell angenommen werden; im Anschluss erfolgt die rechtsformale Überarbeitung. Beide Institutionen streben den Abschluss vor dem 2. August 2026 an, damit die ursprünglich vorgesehenen Hochrisiko-Pflichten nicht greifen.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provisorische Einigung in den frühen Morgenstunden des 7. Mai 2026 nach neunstündiger dritter Runde unter zypriotischer Ratspräsidentschaft; Stichtage 2. Dezember 2027 (Anhang III) und 2. August 2028 (Anhang I); Art. 50 Abs. 2 ab 2. August 2026 mit Übergangsperiode bis 2. Dezember 2026; neues Art. 5-Verbot für KI-generierte kinderpornografische Inhalte / nicht einvernehmliche intime Bildaufnahmen; formelle Annahme vor 2. August 2026 angestrebt.</w:t>
      </w:r>
      <w:r>
        <w:rPr>
          <w:rFonts w:ascii="Arial" w:hAnsi="Arial"/>
          <w:b w:val="0"/>
          <w:i w:val="0"/>
          <w:sz w:val="19"/>
        </w:rPr>
        <w:t xml:space="preserve"> Legislative Train Schedule, Pressemitteilung des Rates der EU vom 7. Mai 2026 und Berichterstattung IAPP, A&amp;O Shearman, OneTrust, DLA Piper, Bird &amp; Bird, Lexology, White &amp; Case, Hogan Lovells, Modulos. https://www.consilium.europa.eu/en/press/press-releases/2026/05/07/artificial-intelligence-council-and-parliament-agree-to-simplify-and-streamline-rules/ | https://www.europarl.europa.eu/legislative-train/package-digital-package/file-digital-omnibus-on-ai | https://iapp.org/news/a/ai-act-omnibus-what-just-happened-and-what-comes-next | https://www.twobirds.com/en/insights/2026/digital-omnibus-on-ai-provisional-agreement-reached-at-the-may-trilogue | https://www.whitecase.com/insight-alert/eu-agrees-digital-omnibus-deal-simplify-ai-rules | https://www.modulos.ai/blog/eu-ai-act-omnibus-deal/</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TrueUp / SkillSyncer. (Stand 25./26. Mai 2026). </w:t>
      </w:r>
      <w:r>
        <w:rPr>
          <w:rFonts w:ascii="Arial" w:hAnsi="Arial"/>
          <w:b w:val="0"/>
          <w:i/>
          <w:sz w:val="19"/>
        </w:rPr>
        <w:t>Tech Layoffs Tracker — Tagesfortschreibung: TrueUp 143.985 Personen aus 342 Layoff-Meldungen am 26. Mai 2026 (rund 993 Personen pro Tag im Jahresdurchschnitt); SkillSyncer 134.603 Personen aus 212 Layoff-Ereignissen am 25. Mai 2026 (rund 928 Personen pro Tag).</w:t>
      </w:r>
      <w:r>
        <w:rPr>
          <w:rFonts w:ascii="Arial" w:hAnsi="Arial"/>
          <w:b w:val="0"/>
          <w:i w:val="0"/>
          <w:sz w:val="19"/>
        </w:rPr>
        <w:t xml:space="preserve"> https://www.trueup.io/layoffs | https://skillsyncer.com/layoffs-tracker</w:t>
      </w:r>
    </w:p>
    <w:p>
      <w:pPr>
        <w:jc w:val="both"/>
      </w:pPr>
      <w:r>
        <w:rPr>
          <w:rFonts w:ascii="Arial" w:hAnsi="Arial"/>
          <w:b w:val="0"/>
          <w:i w:val="0"/>
          <w:sz w:val="19"/>
        </w:rPr>
        <w:t xml:space="preserve">TechCrunch / IndexBox / The HR Digest / TheStreet / Fox Business. (13./14. Mai 2026). </w:t>
      </w:r>
      <w:r>
        <w:rPr>
          <w:rFonts w:ascii="Arial" w:hAnsi="Arial"/>
          <w:b w:val="0"/>
          <w:i/>
          <w:sz w:val="19"/>
        </w:rPr>
        <w:t>Cisco cuts nearly 4,000 jobs to spend more on AI, reports „record quarterly revenue" / Cisco Layoffs 2026: Workforce Cuts Under 5% as Company Pivots to AI and Posts Record Revenue / Cisco Layoffs Set To Affect 4,000 Roles as AI Redefines Operations / Cisco CEO reveals real reason behind 4,000 job cuts / Cisco to cut thousands of jobs as AI push accelerates after earnings beat.</w:t>
      </w:r>
      <w:r>
        <w:rPr>
          <w:rFonts w:ascii="Arial" w:hAnsi="Arial"/>
          <w:b w:val="0"/>
          <w:i w:val="0"/>
          <w:sz w:val="19"/>
        </w:rPr>
        <w:t xml:space="preserve"> Streichung von unter 4.000 Stellen (unter 5 % der Belegschaft) bei Rekord-Q3-FY2026-Umsatz von 15,8 Mrd. USD und 5,3 Mrd. USD AI-Infrastruktur-Bestellungen von Hyperscalern; Restrukturierungsaufwand bis zu 1 Mrd. USD (rund 450 Mio. USD Q4 FY2026, Rest FY2027); Notification-Beginn 14. Mai 2026; Unterstützungspaket umfasst anteilige Boni, Outplacement-Services und ein Jahr Zugang zu Cisco-U-Schulungen. https://techcrunch.com/2026/05/14/cisco-cuts-nearly-4000-jobs-to-spend-more-on-ai-reports-record-quarterly-revenue/ | https://www.indexbox.io/blog/cisco-plans-layoffs-of-under-4000-jobs-to-focus-on-ai/ | https://www.thehrdigest.com/cisco-layoffs-set-to-affect-4000-roles-as-ai-redefines-operations/ | https://www.thestreet.com/employment/cisco-ceo-reveals-real-reason-behind-4000-job-cuts | https://www.foxbusiness.com/technology/cisco-cut-thousands-jobs-ai-push-accelerates-earnings-beat</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Ende Mai 2026 (Schnitt am 26. Mai 2026 — Lauf 002 vom 26.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erste Lesung im Bundestag inzwischen auf Mitte Juni 2026 verschoben, parlamentarische Behandlung vor der Sommerpause 2026 angekündigt), der am 7. Mai 2026 in den frühen Morgenstunden nach einer neunstündigen dritten Trilogrunde unter zypriotischer Ratspräsidentschaft erzielten provisorischen Einigung zum Digital Omnibus on AI (Bestätigung der Stichtage 2. Dezember 2027 für Anhang III und 2. August 2028 für Anhang I, Kennzeichnungspflicht nach Art. 50 Abs. 2 ab 2. August 2026 mit Übergangsperiode bis 2. Dezember 2026 für bereits in Verkehr gebrachte Systeme, neues Art. 5-Verbot für KI-generierte kinderpornografische Inhalte und nicht einvernehmliche intime Bildaufnahmen mit Anpassungsfrist bis 2. Dezember 2026, geordnete Abgrenzung zu sektoralen Produktsicherheitsregimen für Anhang I, formelle Annahme durch Rat und Parlament vor dem 2. August 2026 angestrebt),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und der Folgefortschreibung zum 25./26. Mai 2026 (TrueUp 143.985 Personen aus 342 Layoff-Meldungen am 26. Mai 2026 — rund 993 Personen pro Tag im Jahresdurchschnitt; SkillSyncer 134.603 Personen aus 212 Ereignissen am 25. Mai 2026)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und der am 13. Mai 2026 von </w:t>
      </w:r>
      <w:r>
        <w:rPr>
          <w:rFonts w:ascii="Arial" w:hAnsi="Arial"/>
          <w:b w:val="0"/>
          <w:i/>
          <w:sz w:val="19"/>
        </w:rPr>
        <w:t>Cisco Systems</w:t>
      </w:r>
      <w:r>
        <w:rPr>
          <w:rFonts w:ascii="Arial" w:hAnsi="Arial"/>
          <w:b w:val="0"/>
          <w:i w:val="0"/>
          <w:sz w:val="19"/>
        </w:rPr>
        <w:t xml:space="preserve"> angekündigten Streichung von unter 4.000 Stellen (unter 5 % der Belegschaft) bei parallelem Rekord-Q3-FY2026-Umsatz von 15,8 Milliarden US-Dollar und 5,3 Milliarden US-Dollar an AI-Infrastruktur-Bestellungen von Hyperscalern (Restrukturierungsaufwand bis zu 1 Mrd. USD; Notification-Beginn 14. Mai 2026),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