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86.0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 Auf der Layoff-Trackerebene bestätigt sich Anfang August 2026 die im laufenden Jahr gebildete Grundtendenz: Nach übereinstimmender Auswertung von </w:t>
      </w:r>
      <w:r>
        <w:rPr>
          <w:rFonts w:ascii="Arial" w:hAnsi="Arial"/>
          <w:b w:val="0"/>
          <w:i/>
          <w:sz w:val="19"/>
        </w:rPr>
        <w:t>IBTimes</w:t>
      </w:r>
      <w:r>
        <w:rPr>
          <w:rFonts w:ascii="Arial" w:hAnsi="Arial"/>
          <w:b w:val="0"/>
          <w:i w:val="0"/>
          <w:sz w:val="19"/>
        </w:rPr>
        <w:t xml:space="preserve">, </w:t>
      </w:r>
      <w:r>
        <w:rPr>
          <w:rFonts w:ascii="Arial" w:hAnsi="Arial"/>
          <w:b w:val="0"/>
          <w:i/>
          <w:sz w:val="19"/>
        </w:rPr>
        <w:t>Yahoo Tech</w:t>
      </w:r>
      <w:r>
        <w:rPr>
          <w:rFonts w:ascii="Arial" w:hAnsi="Arial"/>
          <w:b w:val="0"/>
          <w:i w:val="0"/>
          <w:sz w:val="19"/>
        </w:rPr>
        <w:t xml:space="preserve"> und </w:t>
      </w:r>
      <w:r>
        <w:rPr>
          <w:rFonts w:ascii="Arial" w:hAnsi="Arial"/>
          <w:b w:val="0"/>
          <w:i/>
          <w:sz w:val="19"/>
        </w:rPr>
        <w:t>Tech.co</w:t>
      </w:r>
      <w:r>
        <w:rPr>
          <w:rFonts w:ascii="Arial" w:hAnsi="Arial"/>
          <w:b w:val="0"/>
          <w:i w:val="0"/>
          <w:sz w:val="19"/>
        </w:rPr>
        <w:t xml:space="preserve"> (Berichtsstand 6. August 2026) hat die Zahl der kumulierten Tech-Stellenstreichungen für das laufende Jahr die 2025er Jahressumme bereits überschritten und liegt bei rund 125.000 betroffenen Beschäftigten in etwa 264 erfassten Unternehmen; hinzu treten Anfang August 2026 neue Ankündigungen (u. a. Zillow rund 500 Stellen am 4. August 2026 nach Blog-Post von CEO Jeremy Wacksman; Google-Rolling-Reviews im mittleren einstelligen Tausender-Bereich; TikTok und Etsy im niedrigen dreistelligen Bereich, deren AI-Kausalität von den Unternehmen jeweils bestritten wird). Am 7. August 2026 hat </w:t>
      </w:r>
      <w:r>
        <w:rPr>
          <w:rFonts w:ascii="Arial" w:hAnsi="Arial"/>
          <w:b w:val="0"/>
          <w:i/>
          <w:sz w:val="19"/>
        </w:rPr>
        <w:t>Salesforce</w:t>
      </w:r>
      <w:r>
        <w:rPr>
          <w:rFonts w:ascii="Arial" w:hAnsi="Arial"/>
          <w:b w:val="0"/>
          <w:i w:val="0"/>
          <w:sz w:val="19"/>
        </w:rPr>
        <w:t xml:space="preserve"> nach übereinstimmender Berichterstattung von </w:t>
      </w:r>
      <w:r>
        <w:rPr>
          <w:rFonts w:ascii="Arial" w:hAnsi="Arial"/>
          <w:b w:val="0"/>
          <w:i/>
          <w:sz w:val="19"/>
        </w:rPr>
        <w:t>The Next Web</w:t>
      </w:r>
      <w:r>
        <w:rPr>
          <w:rFonts w:ascii="Arial" w:hAnsi="Arial"/>
          <w:b w:val="0"/>
          <w:i w:val="0"/>
          <w:sz w:val="19"/>
        </w:rPr>
        <w:t xml:space="preserve">, </w:t>
      </w:r>
      <w:r>
        <w:rPr>
          <w:rFonts w:ascii="Arial" w:hAnsi="Arial"/>
          <w:b w:val="0"/>
          <w:i/>
          <w:sz w:val="19"/>
        </w:rPr>
        <w:t>Salesforce Ben</w:t>
      </w:r>
      <w:r>
        <w:rPr>
          <w:rFonts w:ascii="Arial" w:hAnsi="Arial"/>
          <w:b w:val="0"/>
          <w:i w:val="0"/>
          <w:sz w:val="19"/>
        </w:rPr>
        <w:t xml:space="preserve">, </w:t>
      </w:r>
      <w:r>
        <w:rPr>
          <w:rFonts w:ascii="Arial" w:hAnsi="Arial"/>
          <w:b w:val="0"/>
          <w:i/>
          <w:sz w:val="19"/>
        </w:rPr>
        <w:t>Inc.</w:t>
      </w:r>
      <w:r>
        <w:rPr>
          <w:rFonts w:ascii="Arial" w:hAnsi="Arial"/>
          <w:b w:val="0"/>
          <w:i w:val="0"/>
          <w:sz w:val="19"/>
        </w:rPr>
        <w:t xml:space="preserve"> und </w:t>
      </w:r>
      <w:r>
        <w:rPr>
          <w:rFonts w:ascii="Arial" w:hAnsi="Arial"/>
          <w:b w:val="0"/>
          <w:i/>
          <w:sz w:val="19"/>
        </w:rPr>
        <w:t>Final Round AI</w:t>
      </w:r>
      <w:r>
        <w:rPr>
          <w:rFonts w:ascii="Arial" w:hAnsi="Arial"/>
          <w:b w:val="0"/>
          <w:i w:val="0"/>
          <w:sz w:val="19"/>
        </w:rPr>
        <w:t xml:space="preserve"> eine dritte Runde von </w:t>
      </w:r>
      <w:r>
        <w:rPr>
          <w:rFonts w:ascii="Arial" w:hAnsi="Arial"/>
          <w:b w:val="0"/>
          <w:i/>
          <w:sz w:val="19"/>
        </w:rPr>
        <w:t>WARN</w:t>
      </w:r>
      <w:r>
        <w:rPr>
          <w:rFonts w:ascii="Arial" w:hAnsi="Arial"/>
          <w:b w:val="0"/>
          <w:i w:val="0"/>
          <w:sz w:val="19"/>
        </w:rPr>
        <w:t xml:space="preserve">-Anzeigen für den 5. Oktober 2026 mit rund 133 Stellenstreichungen (74 im San-Francisco-Headquarter in Kalifornien; 59 in Bellevue und Seattle im Bundesstaat Washington) eingereicht — die betroffenen Rollen sind stark auf Software-Engineering im Umfeld der AI-Agent-Plattform </w:t>
      </w:r>
      <w:r>
        <w:rPr>
          <w:rFonts w:ascii="Arial" w:hAnsi="Arial"/>
          <w:b w:val="0"/>
          <w:i/>
          <w:sz w:val="19"/>
        </w:rPr>
        <w:t>Agentforce</w:t>
      </w:r>
      <w:r>
        <w:rPr>
          <w:rFonts w:ascii="Arial" w:hAnsi="Arial"/>
          <w:b w:val="0"/>
          <w:i w:val="0"/>
          <w:sz w:val="19"/>
        </w:rPr>
        <w:t xml:space="preserve"> (Bestand nach Konzernangaben rund 1,2 Milliarden US-Dollar </w:t>
      </w:r>
      <w:r>
        <w:rPr>
          <w:rFonts w:ascii="Arial" w:hAnsi="Arial"/>
          <w:b w:val="0"/>
          <w:i/>
          <w:sz w:val="19"/>
        </w:rPr>
        <w:t>annualised recurring revenue</w:t>
      </w:r>
      <w:r>
        <w:rPr>
          <w:rFonts w:ascii="Arial" w:hAnsi="Arial"/>
          <w:b w:val="0"/>
          <w:i w:val="0"/>
          <w:sz w:val="19"/>
        </w:rPr>
        <w:t xml:space="preserve">, +205 % im Vergleich zum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während die WARN-Filings selbst KI nicht als Grund benennen. </w:t>
      </w:r>
      <w:r>
        <w:rPr>
          <w:rFonts w:ascii="Arial" w:hAnsi="Arial"/>
          <w:b w:val="0"/>
          <w:i/>
          <w:sz w:val="19"/>
        </w:rPr>
        <w:t>Salesforce</w:t>
      </w:r>
      <w:r>
        <w:rPr>
          <w:rFonts w:ascii="Arial" w:hAnsi="Arial"/>
          <w:b w:val="0"/>
          <w:i w:val="0"/>
          <w:sz w:val="19"/>
        </w:rPr>
        <w:t xml:space="preserve">-CEO Marc Benioff hat parallel öffentlich hinterlegt, dass die Kundendienst-Belegschaft binnen eines Jahres von rund 9.000 auf rund 5.000 Beschäftigte reduziert worden sei („I need less heads"), während KI-gestützte Automatisierung nach eigenen Angaben inzwischen 30 bis 50 Prozent der Konzernarbeit übernehme. Für die in § 9.1 diskutierte Kausalattributionsproblematik markiert der Vorgang eine weitere Runde des typischen Vorbild­musters aus § 1.1: In den </w:t>
      </w:r>
      <w:r>
        <w:rPr>
          <w:rFonts w:ascii="Arial" w:hAnsi="Arial"/>
          <w:b w:val="0"/>
          <w:i/>
          <w:sz w:val="19"/>
        </w:rPr>
        <w:t>WARN</w:t>
      </w:r>
      <w:r>
        <w:rPr>
          <w:rFonts w:ascii="Arial" w:hAnsi="Arial"/>
          <w:b w:val="0"/>
          <w:i w:val="0"/>
          <w:sz w:val="19"/>
        </w:rPr>
        <w:t>-Filings taucht KI nicht auf, während dieselbe Geschäftsleitung sie in der Kapitalmarktkommunikation als Effizienzquelle offen benennt — ein weiterer Aufnahmefall in die im Connecticut-</w:t>
      </w:r>
      <w:r>
        <w:rPr>
          <w:rFonts w:ascii="Arial" w:hAnsi="Arial"/>
          <w:b w:val="0"/>
          <w:i/>
          <w:sz w:val="19"/>
        </w:rPr>
        <w:t>SB-5</w:t>
      </w:r>
      <w:r>
        <w:rPr>
          <w:rFonts w:ascii="Arial" w:hAnsi="Arial"/>
          <w:b w:val="0"/>
          <w:i w:val="0"/>
          <w:sz w:val="19"/>
        </w:rPr>
        <w:t xml:space="preserve">-WARN-Erweiterung (§ 4.5) angezielte Anzeigepflicht. Die Challenger-Serie beziffert die für Januar bis Juni 2026 explizit auf AI zurückgeführten US-Stellenstreichungen mit rund 101.700 (fast das Doppelte des Gesamtjahreswerts 2025) und weist damit den vierten Monat in Folge (März bis Juni 2026) AI als führenden Layoff-Grund aus. Nachtrag zum 7./10. August 2026: Der Massachusetts-basierte Cybersecurity-Anbieter </w:t>
      </w:r>
      <w:r>
        <w:rPr>
          <w:rFonts w:ascii="Arial" w:hAnsi="Arial"/>
          <w:b w:val="0"/>
          <w:i/>
          <w:sz w:val="19"/>
        </w:rPr>
        <w:t>Rapid7</w:t>
      </w:r>
      <w:r>
        <w:rPr>
          <w:rFonts w:ascii="Arial" w:hAnsi="Arial"/>
          <w:b w:val="0"/>
          <w:i w:val="0"/>
          <w:sz w:val="19"/>
        </w:rPr>
        <w:t xml:space="preserve"> (Boston) hat im Q2-Ergebnisbericht vom 10. August 2026 eine am 7. August 2026 vom Board beschlossene Restrukturierung mit rund 310 Stellenstreichungen (12 Prozent der rund 2.600 Beschäftigten weltweit) angekündigt und den Restrukturierungsaufwand auf 10 bis 11 Millionen US-Dollar (überwiegend Q3/Q4 2026) beziffert; der neu berufene CEO </w:t>
      </w:r>
      <w:r>
        <w:rPr>
          <w:rFonts w:ascii="Arial" w:hAnsi="Arial"/>
          <w:b w:val="0"/>
          <w:i/>
          <w:sz w:val="19"/>
        </w:rPr>
        <w:t>Wael Mohamed</w:t>
      </w:r>
      <w:r>
        <w:rPr>
          <w:rFonts w:ascii="Arial" w:hAnsi="Arial"/>
          <w:b w:val="0"/>
          <w:i w:val="0"/>
          <w:sz w:val="19"/>
        </w:rPr>
        <w:t xml:space="preserve"> begründet den Schritt mit einer stärkeren Fokussierung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während die Presse-Berichterstattung (Boston Globe, SiliconAngle, HR Katha, TheHRDigest, Pulse2) den Schritt als Umstellung auf eine „AI-first cybersecurity platform"-Strategie einordnet. Q2-Umsatz nach Konzernangaben 210,9 Millionen US-Dollar (−1,5 Prozent gegenüber Vorjahresquartal); außereuropäische Streichungen unterliegen dort örtlichen Konsultationsregeln und könnten sich über das vierte Quartal 2026 hinaus erstrecken (Konjunktivpflicht nach § 4.2 Claude.md). Weiterer Nachtrag zum 13. August 2026: Nach übereinstimmender Berichterstattung von </w:t>
      </w:r>
      <w:r>
        <w:rPr>
          <w:rFonts w:ascii="Arial" w:hAnsi="Arial"/>
          <w:b w:val="0"/>
          <w:i/>
          <w:sz w:val="19"/>
        </w:rPr>
        <w:t>TheNextWeb</w:t>
      </w:r>
      <w:r>
        <w:rPr>
          <w:rFonts w:ascii="Arial" w:hAnsi="Arial"/>
          <w:b w:val="0"/>
          <w:i w:val="0"/>
          <w:sz w:val="19"/>
        </w:rPr>
        <w:t xml:space="preserve"> („Oracle plans fresh August layoffs as its AI spending spree bites", 13. August 2026), </w:t>
      </w:r>
      <w:r>
        <w:rPr>
          <w:rFonts w:ascii="Arial" w:hAnsi="Arial"/>
          <w:b w:val="0"/>
          <w:i/>
          <w:sz w:val="19"/>
        </w:rPr>
        <w:t>Yahoo Finance</w:t>
      </w:r>
      <w:r>
        <w:rPr>
          <w:rFonts w:ascii="Arial" w:hAnsi="Arial"/>
          <w:b w:val="0"/>
          <w:i w:val="0"/>
          <w:sz w:val="19"/>
        </w:rPr>
        <w:t xml:space="preserve"> und </w:t>
      </w:r>
      <w:r>
        <w:rPr>
          <w:rFonts w:ascii="Arial" w:hAnsi="Arial"/>
          <w:b w:val="0"/>
          <w:i/>
          <w:sz w:val="19"/>
        </w:rPr>
        <w:t>NAI 500</w:t>
      </w:r>
      <w:r>
        <w:rPr>
          <w:rFonts w:ascii="Arial" w:hAnsi="Arial"/>
          <w:b w:val="0"/>
          <w:i w:val="0"/>
          <w:sz w:val="19"/>
        </w:rPr>
        <w:t xml:space="preserve"> bereitet </w:t>
      </w:r>
      <w:r>
        <w:rPr>
          <w:rFonts w:ascii="Arial" w:hAnsi="Arial"/>
          <w:b w:val="0"/>
          <w:i/>
          <w:sz w:val="19"/>
        </w:rPr>
        <w:t>Oracle</w:t>
      </w:r>
      <w:r>
        <w:rPr>
          <w:rFonts w:ascii="Arial" w:hAnsi="Arial"/>
          <w:b w:val="0"/>
          <w:i w:val="0"/>
          <w:sz w:val="19"/>
        </w:rPr>
        <w:t xml:space="preserve"> eine weitere Layoff-Runde vor dem Beginn des zweiten Geschäftsquartals am 1. September 2026 vor; Führungskräfte sollen die betroffenen Beschäftigten identifizieren, einzelne Bereiche mit zweistelligen Prozent-Reduktionen. Der Vorgang schreibt die bereits im Geschäftsjahr bis 31. Mai 2026 vollzogene Reduktion von rund 21.000 Stellen (rund 13 Prozent, von 162.000 auf 141.000 Beschäftigte; Restrukturierungsaufwand 1,8 Milliarden US-Dollar mit erwarteter Endabrechnung bis 2,1 Milliarden US-Dollar) fort. Die Berichterstattung stellt die Personalreduktion in direkten Zusammenhang mit dem KI-Investitionsprogramm des Konzerns, dessen Investitionen im Geschäftsjahr 2026 auf rund 55,7 Milliarden US-Dollar (von 21,2 Milliarden US-Dollar im Vorjahr) gestiegen sind und nach Konzernangaben über 43 Milliarden US-Dollar Anleihen und 5 Milliarden US-Dollar Eigenkapital finanziert wurden; für das laufende Jahr sind weitere rund 40 Milliarden US-Dollar an Fremd- und Eigenkapital vorgesehen (Konjunktivpflicht nach § 4.2 Claude.md, da die endgültige Runde noch nicht öffentlich beziffert ist). Die Konstellation — parallel wachsende Capex-Programme und paketförmige Personalreduktionen — bestätigt für die in § 1.1 und § 8.2 dokumentierte Asymmetrie zwischen Personalabbau und Compute-Ausbau einen weiteren datenpunktartigen Belegfall.</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pPr>
        <w:jc w:val="both"/>
      </w:pPr>
      <w:r>
        <w:rPr>
          <w:rFonts w:ascii="Arial" w:hAnsi="Arial"/>
          <w:b/>
          <w:i w:val="0"/>
          <w:sz w:val="19"/>
        </w:rPr>
        <w:t>Empirische Ergänzung Deutschland (ifo-Konjunkturumfrage Juni 2026):</w:t>
      </w:r>
      <w:r>
        <w:rPr>
          <w:rFonts w:ascii="Arial" w:hAnsi="Arial"/>
          <w:b w:val="0"/>
          <w:i w:val="0"/>
          <w:sz w:val="19"/>
        </w:rPr>
        <w:t xml:space="preserve"> Zeitgleich zur McCrory-Diagnose einer noch verhaltenen US-Aggregatwirkung liefert die </w:t>
      </w:r>
      <w:r>
        <w:rPr>
          <w:rFonts w:ascii="Arial" w:hAnsi="Arial"/>
          <w:b w:val="0"/>
          <w:i/>
          <w:sz w:val="19"/>
        </w:rPr>
        <w:t>ifo</w:t>
      </w:r>
      <w:r>
        <w:rPr>
          <w:rFonts w:ascii="Arial" w:hAnsi="Arial"/>
          <w:b w:val="0"/>
          <w:i w:val="0"/>
          <w:sz w:val="19"/>
        </w:rPr>
        <w:t xml:space="preserve">-Konjunkturumfrage vom Juni 2026 mit rund 3.000 KI-nutzenden deutschen Unternehmen erstmals eine repräsentative Firmen-Erwartungsmessung zur Lohnwirkung des KI-Einsatzes (Ruffert, </w:t>
      </w:r>
      <w:r>
        <w:rPr>
          <w:rFonts w:ascii="Arial" w:hAnsi="Arial"/>
          <w:b w:val="0"/>
          <w:i/>
          <w:sz w:val="19"/>
        </w:rPr>
        <w:t>Unternehmen erwarten eher sinkende Löhne durch Einsatz von Künstlicher Intelligenz</w:t>
      </w:r>
      <w:r>
        <w:rPr>
          <w:rFonts w:ascii="Arial" w:hAnsi="Arial"/>
          <w:b w:val="0"/>
          <w:i w:val="0"/>
          <w:sz w:val="19"/>
        </w:rPr>
        <w:t>, ifo Konjunkturperspektiven 07/2026, veröffentlicht am 12. August 2026). Rund die Hälfte der KI-nutzenden Unternehmen rechnet über einen Fünfjahres­horizont mit sinkenden Löhnen für Berufseinsteigerinnen und -einsteiger, rund 40 % auch für erfahrene Beschäftigte; im Detail erwarten 48,3 % (nicht-akademisch) beziehungsweise 50,8 % (akademisch) sinkende Löhne für Beschäftigte mit weniger als fünf Jahren Berufserfahrung, während lediglich 5,9 % (nicht-akademisch) beziehungsweise 16,3 % (akademisch) mit steigenden Löhnen rechnen; für Beschäftigte mit Hochschulabschluss und längerer Berufserfahrung projizieren 26 % der Unternehmen Lohnzuwachs. Sektoral ist die erwartete Lohnkompression im Dienstleistungssektor am stärksten ausgeprägt (53,3 % erwarten sinkende Löhne für nicht-akademische Junior-Beschäftigte, 44,2 % für Senior-Beschäftigte), im Bauwesen mit 39 % (Junior) beziehungsweise 31,3 % (Senior) am schwächsten; Handel (47,9 % / 41,3 %) und verarbeitendes Gewerbe (46,5 % / 38,9 %) liegen dazwischen. Der Befund ergänzt die US-fokussierte Massenkoff/McCrory-Linie um eine deutsche Firmen­erwartungs­dimension und stützt die in § 8.3 (Teilhabefrage) und § 8.4 (Systemstabilität) formulierte Auslegung, dass die Verteilungs­wirkung sich in Deutschland zunächst über die Lohnstruktur — insbesondere über Einstiegslöhne — ausdrücken könnte, nicht primär über direkte Verdrängung; er unterstreicht damit zugleich die in § 5.1 und § 8.3 diskutierte Rationalität einer wertschöpfungs­orientierten Sozialstaats­finanzierung, die auf Lohnkompression unempfindlicher reagiert als lohnbasierte Beitrags­systeme (Konjunktivpflicht nach § 4.2 Claude.md, da die Erhebung Firmen­erwartungen und keine realisierten Löhne misst).</w:t>
      </w:r>
    </w:p>
    <w:p>
      <w:pPr>
        <w:jc w:val="both"/>
      </w:pPr>
      <w:r>
        <w:rPr>
          <w:rFonts w:ascii="Arial" w:hAnsi="Arial"/>
          <w:b/>
          <w:i w:val="0"/>
          <w:sz w:val="19"/>
        </w:rPr>
        <w:t>Empirische Ergänzung USA — Sentiment-Sabotage-Kanal (Ma 12. August 2026 auf Basis Ding/Ma/Wu/Yang 2026):</w:t>
      </w:r>
      <w:r>
        <w:rPr>
          <w:rFonts w:ascii="Arial" w:hAnsi="Arial"/>
          <w:b w:val="0"/>
          <w:i w:val="0"/>
          <w:sz w:val="19"/>
        </w:rPr>
        <w:t xml:space="preserve"> Ergänzend zur ifo-Firmenerwartungs­messung veröffentlichte Mark (Shuai) Ma (Katz Graduate School of Business, University of Pittsburgh) am 12. August 2026 in </w:t>
      </w:r>
      <w:r>
        <w:rPr>
          <w:rFonts w:ascii="Arial" w:hAnsi="Arial"/>
          <w:b w:val="0"/>
          <w:i/>
          <w:sz w:val="19"/>
        </w:rPr>
        <w:t>The Conversation</w:t>
      </w:r>
      <w:r>
        <w:rPr>
          <w:rFonts w:ascii="Arial" w:hAnsi="Arial"/>
          <w:b w:val="0"/>
          <w:i w:val="0"/>
          <w:sz w:val="19"/>
        </w:rPr>
        <w:t xml:space="preserve"> eine explizite Auslegung der eigenen Multi-Datenquellen-Studie (Ding, Ma, Wu &amp; Yang, </w:t>
      </w:r>
      <w:r>
        <w:rPr>
          <w:rFonts w:ascii="Arial" w:hAnsi="Arial"/>
          <w:b w:val="0"/>
          <w:i/>
          <w:sz w:val="19"/>
        </w:rPr>
        <w:t>Tracking Artificial Intelligence Sentiment in the U.S. Labor Market</w:t>
      </w:r>
      <w:r>
        <w:rPr>
          <w:rFonts w:ascii="Arial" w:hAnsi="Arial"/>
          <w:b w:val="0"/>
          <w:i w:val="0"/>
          <w:sz w:val="19"/>
        </w:rPr>
        <w:t xml:space="preserve">, SSRN Working Paper 6652799, 26. April 2026), die den Zusammenhang zwischen KI-getriebenen Layoffs, Mitarbeiter­sentiment und firm-produktivität systematisch quantifiziert. Die zugrundeliegende Untersuchung wertet rund 3.200 US-Firmen zwischen 2021 und 2025 aus — Millionen von Glassdoor-Bewertungen, Tausende Earnings-Call-Transkripte, hunderte KI-Investitions- und Layoff-Ankündigungen sowie individuelle LinkedIn-Profile — und dokumentiert drei Kernbefunde: Erstens ist das Mitarbeiter­sentiment gegenüber KI signifikant negativer als das durchschnittliche Sentiment gegenüber dem eigenen Arbeitgeber; zweitens besteht eine starke positive Assoziation zwischen positivem Mitarbeiter-KI-Sentiment und firm-produktivität, während das systematisch optimistische Management-KI-Sentiment die Produktivitätsvariation nicht erklärt; drittens beschädigen KI-attribuierte Layoff-Ankündigungen das Mitarbeiter-KI-Sentiment nachhaltig, und Firmen mit höherem AI-Talent-Share weisen höhere Fluktuation, niedrigere Einstellungs­raten und langsameres Beschäftigungs­wachstum auf. Ma verweist auf eine parallele Atlanta-Fed-Erhebung, wonach rund 90 % der Führungskräfte angeben, KI habe die Unternehmens­produktivität bislang nicht messbar erhöht, sowie auf eine durchschnittliche Börsenrendite nahe null bei KI-Layoff-Ankündigungen (Konjunktivpflicht nach § 4.2 Claude.md, da die Auslegung eine populärwissenschaftliche Interpretation eines noch nicht peer-reviewten Working Papers ist). Beide Befunde stützen die Auslegung, dass die in § 3.5 dokumentierte Beobachtung moderater Aggregat­produktivitäts­wirkungen nicht allein aus der </w:t>
      </w:r>
      <w:r>
        <w:rPr>
          <w:rFonts w:ascii="Arial" w:hAnsi="Arial"/>
          <w:b w:val="0"/>
          <w:i/>
          <w:sz w:val="19"/>
        </w:rPr>
        <w:t>„jagged capability"</w:t>
      </w:r>
      <w:r>
        <w:rPr>
          <w:rFonts w:ascii="Arial" w:hAnsi="Arial"/>
          <w:b w:val="0"/>
          <w:i w:val="0"/>
          <w:sz w:val="19"/>
        </w:rPr>
        <w:t xml:space="preserve">-Struktur (McCrory 22. Juli 2026) resultiert, sondern auch aus der arbeitgeberseitigen Implementierungs­strategie: KI-Investitionen, die mit Personalabbau kombiniert werden, könnten durch Vertrauens- und Sentiment-Schäden systematisch jene Produktivitätsgewinne unterlaufen, die sie zu realisieren beanspruchen. Für die hier geführte Steuerdebatte hat der Befund zwei Konsequenzen: Erstens bestätigt er die in § 8.4 (Systemstabilität) entwickelte Auslegung, dass eine Steuer- und Sozialstaats­reform, die Produktivitäts­gewinne sichtbar abschöpft und teilbar zurückgibt, nicht nur verteilungs­politisch geboten, sondern auch </w:t>
      </w:r>
      <w:r>
        <w:rPr>
          <w:rFonts w:ascii="Arial" w:hAnsi="Arial"/>
          <w:b w:val="0"/>
          <w:i/>
          <w:sz w:val="19"/>
        </w:rPr>
        <w:t>produktivitätsökonomisch</w:t>
      </w:r>
      <w:r>
        <w:rPr>
          <w:rFonts w:ascii="Arial" w:hAnsi="Arial"/>
          <w:b w:val="0"/>
          <w:i w:val="0"/>
          <w:sz w:val="19"/>
        </w:rPr>
        <w:t xml:space="preserve"> rational sein kann — weil sie die von Ma beschriebene Sabotage-Dynamik durch eine kollektive Absicherungs­komponente entschärft. Zweitens verschärft er das in § 9.1 diskutierte Kausalattributions­problem einer engen Typ-5-Ersatzabgabe: Wenn KI-attribuierte Layoffs empirisch teilweise als selbstschädigende Managemententscheidungen und nicht als technisch-notwendige Displacement-Reaktion erkennbar wären, würde eine administrative Anknüpfung an bloße Layoff-Ereignisse weiter destabilisiert; die wertschöpfungs­orientierte Bemessungs­basis (§ 5.1, § 8.3) bliebe demgegenüber unabhängig von der arbeitgeberseitigen Attribution belastbar.</w:t>
      </w:r>
    </w:p>
    <w:p>
      <w:pPr>
        <w:jc w:val="both"/>
      </w:pPr>
      <w:r>
        <w:rPr>
          <w:rFonts w:ascii="Arial" w:hAnsi="Arial"/>
          <w:b/>
          <w:i w:val="0"/>
          <w:sz w:val="19"/>
        </w:rPr>
        <w:t>Empirische Ergänzung Kohorten-Dimension — Global (Goldman Sachs 19. August 2026) und Südkorea (Bank of Korea 18. August 2026):</w:t>
      </w:r>
      <w:r>
        <w:rPr>
          <w:rFonts w:ascii="Arial" w:hAnsi="Arial"/>
          <w:b w:val="0"/>
          <w:i w:val="0"/>
          <w:sz w:val="19"/>
        </w:rPr>
        <w:t xml:space="preserve"> Zwei innerhalb von 24 Stunden veröffentlichte, methodisch unabhängige Untersuchungen fügen der Aggregat-vs.-Frühindikator-Kette in § 3.5 eine explizite </w:t>
      </w:r>
      <w:r>
        <w:rPr>
          <w:rFonts w:ascii="Arial" w:hAnsi="Arial"/>
          <w:b w:val="0"/>
          <w:i/>
          <w:sz w:val="19"/>
        </w:rPr>
        <w:t>Kohorten-</w:t>
      </w:r>
      <w:r>
        <w:rPr>
          <w:rFonts w:ascii="Arial" w:hAnsi="Arial"/>
          <w:b w:val="0"/>
          <w:i w:val="0"/>
          <w:sz w:val="19"/>
        </w:rPr>
        <w:t xml:space="preserve"> beziehungsweise </w:t>
      </w:r>
      <w:r>
        <w:rPr>
          <w:rFonts w:ascii="Arial" w:hAnsi="Arial"/>
          <w:b w:val="0"/>
          <w:i/>
          <w:sz w:val="19"/>
        </w:rPr>
        <w:t>Generationsdimension</w:t>
      </w:r>
      <w:r>
        <w:rPr>
          <w:rFonts w:ascii="Arial" w:hAnsi="Arial"/>
          <w:b w:val="0"/>
          <w:i w:val="0"/>
          <w:sz w:val="19"/>
        </w:rPr>
        <w:t xml:space="preserve"> hinzu, die bislang nur mittelbar über die Massenkoff/McCrory-Beobachtung zur verlangsamten Einstellung der Altersgruppe 22–25 und die Ruffert-Erwartungsmessung zu Junior-Löhnen adressiert war. Erstens hat </w:t>
      </w:r>
      <w:r>
        <w:rPr>
          <w:rFonts w:ascii="Arial" w:hAnsi="Arial"/>
          <w:b w:val="0"/>
          <w:i/>
          <w:sz w:val="19"/>
        </w:rPr>
        <w:t>Goldman Sachs</w:t>
      </w:r>
      <w:r>
        <w:rPr>
          <w:rFonts w:ascii="Arial" w:hAnsi="Arial"/>
          <w:b w:val="0"/>
          <w:i w:val="0"/>
          <w:sz w:val="19"/>
        </w:rPr>
        <w:t xml:space="preserve"> am 19. August 2026 den </w:t>
      </w:r>
      <w:r>
        <w:rPr>
          <w:rFonts w:ascii="Arial" w:hAnsi="Arial"/>
          <w:b w:val="0"/>
          <w:i/>
          <w:sz w:val="19"/>
        </w:rPr>
        <w:t>Global Economics Comment „Is AI Impacting Global Labor Markets?"</w:t>
      </w:r>
      <w:r>
        <w:rPr>
          <w:rFonts w:ascii="Arial" w:hAnsi="Arial"/>
          <w:b w:val="0"/>
          <w:i w:val="0"/>
          <w:sz w:val="19"/>
        </w:rPr>
        <w:t xml:space="preserve"> vorgelegt (Team um Joseph Briggs und Jan Hatzius) und darin über 800 Berufe in mehreren Industrieländern ausgewertet: Für den breiten Arbeitsmarkt bleibt der Effekt eines Anstiegs der beruflichen KI-Exposition um 10 Prozentpunkte auf das jährliche Beschäftigungswachstum in Frankreich, Kanada und den Vereinigten Staaten klein (rund −0,1 Prozentpunkte); für Berufseinsteigerinnen und -einsteiger ist der Effekt jedoch mehr als dreimal so groß und reicht in Australien über −0,6 Prozentpunkte, in den Vereinigten Staaten über −0,2 Prozentpunkte. Sektoral erreichen die Beschäftigungslücken zum historischen Trend im </w:t>
      </w:r>
      <w:r>
        <w:rPr>
          <w:rFonts w:ascii="Arial" w:hAnsi="Arial"/>
          <w:b w:val="0"/>
          <w:i/>
          <w:sz w:val="19"/>
        </w:rPr>
        <w:t>Call-Center-Segment</w:t>
      </w:r>
      <w:r>
        <w:rPr>
          <w:rFonts w:ascii="Arial" w:hAnsi="Arial"/>
          <w:b w:val="0"/>
          <w:i w:val="0"/>
          <w:sz w:val="19"/>
        </w:rPr>
        <w:t xml:space="preserve"> rund −39 % in den Vereinigten Staaten, rund −33 % in Kanada und rund −27 % in Deutschland; ähnlich ausgeprägte, wenn auch geringere Untertrend-Ausschläge weisen die Autoren für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aus. Goldman ordnet den Aggregat-Effekt weiterhin als „limited to a narrow set of industries and workers" ein (Konjunktivpflicht nach § 4.2 Claude.md, da die zugrundeliegende Sell-Side-Studie einer externen Peer-Review nicht unterliegt). Zweitens hat die </w:t>
      </w:r>
      <w:r>
        <w:rPr>
          <w:rFonts w:ascii="Arial" w:hAnsi="Arial"/>
          <w:b w:val="0"/>
          <w:i/>
          <w:sz w:val="19"/>
        </w:rPr>
        <w:t>Bank of Korea</w:t>
      </w:r>
      <w:r>
        <w:rPr>
          <w:rFonts w:ascii="Arial" w:hAnsi="Arial"/>
          <w:b w:val="0"/>
          <w:i w:val="0"/>
          <w:sz w:val="19"/>
        </w:rPr>
        <w:t xml:space="preserve"> am 18. August 2026 einen von Oh Sam-il verantworteten Forschungsbeitrag zur Beschäftigungsentwicklung der 15- bis 29-Jährigen zwischen Juni 2022 (ChatGPT-Startpunkt) und Juni 2026 publiziert: Von rund 285.000 Netto-Arbeitsplatzverlusten in dieser Kohorte entfielen rund 268.000 (etwa 94 %) auf KI-exponierte Sektoren, während Beschäftigte über 50 Jahren im selben Zeitraum rund 230.000 Netto-Arbeitsplätze aufbauten, davon rund 173.000 in KI-nahen Branchen. Sektoral fielen die Jugend­beschäftigungen in </w:t>
      </w:r>
      <w:r>
        <w:rPr>
          <w:rFonts w:ascii="Arial" w:hAnsi="Arial"/>
          <w:b w:val="0"/>
          <w:i/>
          <w:sz w:val="19"/>
        </w:rPr>
        <w:t>Informations­dienstleistungen</w:t>
      </w:r>
      <w:r>
        <w:rPr>
          <w:rFonts w:ascii="Arial" w:hAnsi="Arial"/>
          <w:b w:val="0"/>
          <w:i w:val="0"/>
          <w:sz w:val="19"/>
        </w:rPr>
        <w:t xml:space="preserve"> um rund 31,4 %, in </w:t>
      </w:r>
      <w:r>
        <w:rPr>
          <w:rFonts w:ascii="Arial" w:hAnsi="Arial"/>
          <w:b w:val="0"/>
          <w:i/>
          <w:sz w:val="19"/>
        </w:rPr>
        <w:t>Verlagswesen</w:t>
      </w:r>
      <w:r>
        <w:rPr>
          <w:rFonts w:ascii="Arial" w:hAnsi="Arial"/>
          <w:b w:val="0"/>
          <w:i w:val="0"/>
          <w:sz w:val="19"/>
        </w:rPr>
        <w:t xml:space="preserve"> um rund 27,4 %, in </w:t>
      </w:r>
      <w:r>
        <w:rPr>
          <w:rFonts w:ascii="Arial" w:hAnsi="Arial"/>
          <w:b w:val="0"/>
          <w:i/>
          <w:sz w:val="19"/>
        </w:rPr>
        <w:t>Computer­programmierung</w:t>
      </w:r>
      <w:r>
        <w:rPr>
          <w:rFonts w:ascii="Arial" w:hAnsi="Arial"/>
          <w:b w:val="0"/>
          <w:i w:val="0"/>
          <w:sz w:val="19"/>
        </w:rPr>
        <w:t xml:space="preserve"> um rund 16,6 % und in </w:t>
      </w:r>
      <w:r>
        <w:rPr>
          <w:rFonts w:ascii="Arial" w:hAnsi="Arial"/>
          <w:b w:val="0"/>
          <w:i/>
          <w:sz w:val="19"/>
        </w:rPr>
        <w:t>professionellen Dienstleistungen</w:t>
      </w:r>
      <w:r>
        <w:rPr>
          <w:rFonts w:ascii="Arial" w:hAnsi="Arial"/>
          <w:b w:val="0"/>
          <w:i w:val="0"/>
          <w:sz w:val="19"/>
        </w:rPr>
        <w:t xml:space="preserve"> um rund 11,6 %. Für die hier geführte Steuerdebatte fügen die beiden Datenpunkte drei Anschluss­stellen hinzu: Erstens präzisieren sie die in § 8.3 (Teilhabefrage) skizzierte Ungleich­verteilung der KI-Wirkung um eine Generationsdimension, die eine reine Alterskohorten-Umverteilung — Junior verliert, Senior gewinnt — als empirisch messbare Frühwirkung dokumentiert; zweitens stützen sie die in § 8.4 (Systemstabilität) entwickelte Auslegung, dass die Frühwirkungen des KI-Umbaus zunächst nicht in aggregierten Arbeitslosen­quoten, sondern in Berufseinstiegs- und Karriere­aufstiegs­lücken sichtbar werden — mit entsprechenden Konsequenzen für die Kalibrierung einer szenariorobusten Reform; drittens verschärfen sie das in § 9.1 diskutierte Kausalattributions­problem einer engen Typ-5-Ersatzabgabe, weil die Verdrängungs­wirkung sich empirisch nicht in Einzel­entlassungen, sondern in unterlassenen Einstellungen manifestiert, wo eine ereignis­basierte Bemessungs­grundlage strukturell keinen Anknüpfungs­punkt findet.</w:t>
      </w:r>
    </w:p>
    <w:p>
      <w:pPr>
        <w:jc w:val="both"/>
      </w:pPr>
      <w:r>
        <w:rPr>
          <w:rFonts w:ascii="Arial" w:hAnsi="Arial"/>
          <w:b/>
          <w:i w:val="0"/>
          <w:sz w:val="19"/>
        </w:rPr>
        <w:t>Empirische Ergänzung USA — Federal-Reserve-FOMC-Minutes (19. August 2026, Sitzung 28./29. Juli 2026):</w:t>
      </w:r>
      <w:r>
        <w:rPr>
          <w:rFonts w:ascii="Arial" w:hAnsi="Arial"/>
          <w:b w:val="0"/>
          <w:i w:val="0"/>
          <w:sz w:val="19"/>
        </w:rPr>
        <w:t xml:space="preserve"> Am 19. August 2026 hat der </w:t>
      </w:r>
      <w:r>
        <w:rPr>
          <w:rFonts w:ascii="Arial" w:hAnsi="Arial"/>
          <w:b w:val="0"/>
          <w:i/>
          <w:sz w:val="19"/>
        </w:rPr>
        <w:t>Federal Reserve Board</w:t>
      </w:r>
      <w:r>
        <w:rPr>
          <w:rFonts w:ascii="Arial" w:hAnsi="Arial"/>
          <w:b w:val="0"/>
          <w:i w:val="0"/>
          <w:sz w:val="19"/>
        </w:rPr>
        <w:t xml:space="preserve"> das Sitzungsprotokoll der FOMC-Sitzung vom 28./29. Juli 2026 veröffentlicht und darin erstmals in einem geldpolitischen Beschlussdokument eine explizite, mehrfach ausformulierte Auslegung der KI-Wirkung auf Arbeitsmarkt, Produktivität und Preisniveau vorgelegt (nach Bloomberg-Auszählung vom 20. August 2026 rund 18 KI-Erwähnungen in 15 zusammenhängenden Absätzen des Ausblicks- und Diskussions­teils). Kernaussagen — im Konjunktiv referiert nach § 4.2 Claude.md, da die Formulierungen die kollektive FOMC-Auslegung wiedergeben und keine gesicherten empirischen Befunde: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 eine „Kalt­haltung" der Arbeitsmarkt­aktivität, die in der bisherigen Debatte bislang nicht institutionell adressiert war. Produktivitäts­gewinne aus der KI-Adoption würden die Produktions­kosten mittelfristig reduzieren und das aggregierte Angebot ausweiten; mehrere Teilnehmende erwarteten mittelfristig höhere Produktivitäts- und Potentialwachstumsraten. Kurzfristig wirke der KI-Buildout dagegen inflationär: Materialien für Rechenzentren (Chips, Stahl) hätten deutliche Preissteigerungen verzeichnet, ebenso verwandte Konsumkategorien (Elektronik, Software).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Aus dem Vergleich mit der FEDS-Note </w:t>
      </w:r>
      <w:r>
        <w:rPr>
          <w:rFonts w:ascii="Arial" w:hAnsi="Arial"/>
          <w:b w:val="0"/>
          <w:i/>
          <w:sz w:val="19"/>
        </w:rPr>
        <w:t>„The AI Buildout and the Economy"</w:t>
      </w:r>
      <w:r>
        <w:rPr>
          <w:rFonts w:ascii="Arial" w:hAnsi="Arial"/>
          <w:b w:val="0"/>
          <w:i w:val="0"/>
          <w:sz w:val="19"/>
        </w:rPr>
        <w:t xml:space="preserve"> vom 17. Juli 2026 (Aufnahmestand § 3.5) folgt, dass die FOMC-Ebene die dort skizzierte KI-Produktivitäts- und Kapitalstock-Bewertung nunmehr in ihre offizielle Meinungs­bildung integriert. Für die hier geführte Steuerdebatte sind vier Anschluss­stellen bemerkenswert: Erstens bestätigt die FOMC-Formulierung „limited net effect on employment so far" die in Massenkoff/McCrory (März 2026), McCrory (22. Juli 2026), dem </w:t>
      </w:r>
      <w:r>
        <w:rPr>
          <w:rFonts w:ascii="Arial" w:hAnsi="Arial"/>
          <w:b w:val="0"/>
          <w:i/>
          <w:sz w:val="19"/>
        </w:rPr>
        <w:t>Yale-Budget-Lab</w:t>
      </w:r>
      <w:r>
        <w:rPr>
          <w:rFonts w:ascii="Arial" w:hAnsi="Arial"/>
          <w:b w:val="0"/>
          <w:i w:val="0"/>
          <w:sz w:val="19"/>
        </w:rPr>
        <w:t>-Tracking und dem Anthropic-</w:t>
      </w:r>
      <w:r>
        <w:rPr>
          <w:rFonts w:ascii="Arial" w:hAnsi="Arial"/>
          <w:b w:val="0"/>
          <w:i/>
          <w:sz w:val="19"/>
        </w:rPr>
        <w:t>Cadences</w:t>
      </w:r>
      <w:r>
        <w:rPr>
          <w:rFonts w:ascii="Arial" w:hAnsi="Arial"/>
          <w:b w:val="0"/>
          <w:i w:val="0"/>
          <w:sz w:val="19"/>
        </w:rPr>
        <w:t xml:space="preserve">-Bericht dokumentierte Grundlinie moderater Aggregat­wirkung bei erkennbaren sektoralen und altersspezifischen Frühwirkungen — nunmehr auf der Ebene einer geldpolitischen Beschluss­instanz und damit institutionell verfestigt. Zweitens verweist die neue Beobachtung „both hiring and firing low" auf einen Anpassungspfad, der weder aggregierte Arbeitslosigkeits­spitzen noch großflächige Entlassungswellen erzeugt, sondern die Rekombination von Aufgabenprofilen intern verlangsamt; für die in § 9.1 diskutierte </w:t>
      </w:r>
      <w:r>
        <w:rPr>
          <w:rFonts w:ascii="Arial" w:hAnsi="Arial"/>
          <w:b w:val="0"/>
          <w:i/>
          <w:sz w:val="19"/>
        </w:rPr>
        <w:t>Deployer-Kausal­attribution</w:t>
      </w:r>
      <w:r>
        <w:rPr>
          <w:rFonts w:ascii="Arial" w:hAnsi="Arial"/>
          <w:b w:val="0"/>
          <w:i w:val="0"/>
          <w:sz w:val="19"/>
        </w:rPr>
        <w:t xml:space="preserve"> einer engen Typ-5-Ersatzabgabe folgt daraus, dass die </w:t>
      </w:r>
      <w:r>
        <w:rPr>
          <w:rFonts w:ascii="Arial" w:hAnsi="Arial"/>
          <w:b w:val="0"/>
          <w:i/>
          <w:sz w:val="19"/>
        </w:rPr>
        <w:t>nicht getätigte Einstellung</w:t>
      </w:r>
      <w:r>
        <w:rPr>
          <w:rFonts w:ascii="Arial" w:hAnsi="Arial"/>
          <w:b w:val="0"/>
          <w:i w:val="0"/>
          <w:sz w:val="19"/>
        </w:rPr>
        <w:t xml:space="preserve"> zur dominanten Beobachtungs­kategorie werden könnte — mit ähnlichen Konsequenzen wie bei der Bank-of-Korea- und Goldman-Sachs-Kohorten­analyse. Drittens hebt die FOMC-Auslegung — kurzfristige Inflations­wirkung durch KI-Buildout bei mittelfristig disinflationärem Produktivitäts­schub — den in § 8.4 skizzierten Zeit­horizontkonflikt der Verteilungs- versus Ersatz­frage explizit auf die geld­politische Ebene: Der Sozialstaat müsse mit der </w:t>
      </w:r>
      <w:r>
        <w:rPr>
          <w:rFonts w:ascii="Arial" w:hAnsi="Arial"/>
          <w:b w:val="0"/>
          <w:i/>
          <w:sz w:val="19"/>
        </w:rPr>
        <w:t>Timing-Asymmetrie</w:t>
      </w:r>
      <w:r>
        <w:rPr>
          <w:rFonts w:ascii="Arial" w:hAnsi="Arial"/>
          <w:b w:val="0"/>
          <w:i w:val="0"/>
          <w:sz w:val="19"/>
        </w:rPr>
        <w:t xml:space="preserve"> umgehen, dass die Investitionswelle jetzt Preisdruck erzeugt, während die Produktivitäts­rückflüsse erst später eintreten könnten; eine wertschöpfungs­orientierte Bemessungs­basis (§ 5.1, § 8.3) ist gegenüber dieser Asymmetrie robust, weil sie nicht auf einer bestimmten zeitlichen Reihenfolge von Investition und Produktivitäts­gewinn beruht. Viertens bestätigt die Aufnahme von KI-Investition und -Adoption als </w:t>
      </w:r>
      <w:r>
        <w:rPr>
          <w:rFonts w:ascii="Arial" w:hAnsi="Arial"/>
          <w:b w:val="0"/>
          <w:i/>
          <w:sz w:val="19"/>
        </w:rPr>
        <w:t>primäre Unsicherheits­quelle</w:t>
      </w:r>
      <w:r>
        <w:rPr>
          <w:rFonts w:ascii="Arial" w:hAnsi="Arial"/>
          <w:b w:val="0"/>
          <w:i w:val="0"/>
          <w:sz w:val="19"/>
        </w:rPr>
        <w:t xml:space="preserve"> neben dem Nahost-Konflikt, dass sich die szenariorobuste Auslegung des steuerpolitischen Instrumentariums nicht mehr als heterodoxe, sondern als geldpolitisch-institutionell mitgetragene Position darstellen lässt.</w:t>
      </w:r>
    </w:p>
    <w:p>
      <w:pPr>
        <w:jc w:val="both"/>
      </w:pPr>
      <w:r>
        <w:rPr>
          <w:rFonts w:ascii="Arial" w:hAnsi="Arial"/>
          <w:b/>
          <w:i w:val="0"/>
          <w:sz w:val="19"/>
        </w:rPr>
        <w:t>Empirische Ergänzung USA — AI-native Restrukturierung als Realfall (Reuters-Special-Report vom 26. August 2026 zum Meta *Project OT*):</w:t>
      </w:r>
      <w:r>
        <w:rPr>
          <w:rFonts w:ascii="Arial" w:hAnsi="Arial"/>
          <w:b w:val="0"/>
          <w:i w:val="0"/>
          <w:sz w:val="19"/>
        </w:rPr>
        <w:t xml:space="preserve"> Am 26. August 2026 hat </w:t>
      </w:r>
      <w:r>
        <w:rPr>
          <w:rFonts w:ascii="Arial" w:hAnsi="Arial"/>
          <w:b w:val="0"/>
          <w:i/>
          <w:sz w:val="19"/>
        </w:rPr>
        <w:t>Reuters</w:t>
      </w:r>
      <w:r>
        <w:rPr>
          <w:rFonts w:ascii="Arial" w:hAnsi="Arial"/>
          <w:b w:val="0"/>
          <w:i w:val="0"/>
          <w:sz w:val="19"/>
        </w:rPr>
        <w:t xml:space="preserve"> einen auf Dutzenden internen Dokumenten, Tonaufzeichnungen und mehr als zwanzig Interviews basierenden Special Report zum Meta-Reorganisations­projekt </w:t>
      </w:r>
      <w:r>
        <w:rPr>
          <w:rFonts w:ascii="Arial" w:hAnsi="Arial"/>
          <w:b w:val="0"/>
          <w:i/>
          <w:sz w:val="19"/>
        </w:rPr>
        <w:t>„Project OT"</w:t>
      </w:r>
      <w:r>
        <w:rPr>
          <w:rFonts w:ascii="Arial" w:hAnsi="Arial"/>
          <w:b w:val="0"/>
          <w:i w:val="0"/>
          <w:sz w:val="19"/>
        </w:rPr>
        <w:t xml:space="preserve"> (Organization Transformation) veröffentlicht (breite Sekundärrezeption zwischen 26. und 31. August 2026 u. a. durch </w:t>
      </w:r>
      <w:r>
        <w:rPr>
          <w:rFonts w:ascii="Arial" w:hAnsi="Arial"/>
          <w:b w:val="0"/>
          <w:i/>
          <w:sz w:val="19"/>
        </w:rPr>
        <w:t>BNN Bloomberg</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Daily Kos</w:t>
      </w:r>
      <w:r>
        <w:rPr>
          <w:rFonts w:ascii="Arial" w:hAnsi="Arial"/>
          <w:b w:val="0"/>
          <w:i w:val="0"/>
          <w:sz w:val="19"/>
        </w:rPr>
        <w:t xml:space="preserve">, </w:t>
      </w:r>
      <w:r>
        <w:rPr>
          <w:rFonts w:ascii="Arial" w:hAnsi="Arial"/>
          <w:b w:val="0"/>
          <w:i/>
          <w:sz w:val="19"/>
        </w:rPr>
        <w:t>IBTimes</w:t>
      </w:r>
      <w:r>
        <w:rPr>
          <w:rFonts w:ascii="Arial" w:hAnsi="Arial"/>
          <w:b w:val="0"/>
          <w:i w:val="0"/>
          <w:sz w:val="19"/>
        </w:rPr>
        <w:t xml:space="preserve">, </w:t>
      </w:r>
      <w:r>
        <w:rPr>
          <w:rFonts w:ascii="Arial" w:hAnsi="Arial"/>
          <w:b w:val="0"/>
          <w:i/>
          <w:sz w:val="19"/>
        </w:rPr>
        <w:t>CellCog</w:t>
      </w:r>
      <w:r>
        <w:rPr>
          <w:rFonts w:ascii="Arial" w:hAnsi="Arial"/>
          <w:b w:val="0"/>
          <w:i w:val="0"/>
          <w:sz w:val="19"/>
        </w:rPr>
        <w:t xml:space="preserve">, </w:t>
      </w:r>
      <w:r>
        <w:rPr>
          <w:rFonts w:ascii="Arial" w:hAnsi="Arial"/>
          <w:b w:val="0"/>
          <w:i/>
          <w:sz w:val="19"/>
        </w:rPr>
        <w:t>AI Weekly</w:t>
      </w:r>
      <w:r>
        <w:rPr>
          <w:rFonts w:ascii="Arial" w:hAnsi="Arial"/>
          <w:b w:val="0"/>
          <w:i w:val="0"/>
          <w:sz w:val="19"/>
        </w:rPr>
        <w:t xml:space="preserve">, </w:t>
      </w:r>
      <w:r>
        <w:rPr>
          <w:rFonts w:ascii="Arial" w:hAnsi="Arial"/>
          <w:b w:val="0"/>
          <w:i/>
          <w:sz w:val="19"/>
        </w:rPr>
        <w:t>Free Press Journal</w:t>
      </w:r>
      <w:r>
        <w:rPr>
          <w:rFonts w:ascii="Arial" w:hAnsi="Arial"/>
          <w:b w:val="0"/>
          <w:i w:val="0"/>
          <w:sz w:val="19"/>
        </w:rPr>
        <w:t xml:space="preserve"> und </w:t>
      </w:r>
      <w:r>
        <w:rPr>
          <w:rFonts w:ascii="Arial" w:hAnsi="Arial"/>
          <w:b w:val="0"/>
          <w:i/>
          <w:sz w:val="19"/>
        </w:rPr>
        <w:t>Financial Times/Yahoo Finance</w:t>
      </w:r>
      <w:r>
        <w:rPr>
          <w:rFonts w:ascii="Arial" w:hAnsi="Arial"/>
          <w:b w:val="0"/>
          <w:i w:val="0"/>
          <w:sz w:val="19"/>
        </w:rPr>
        <w:t xml:space="preserve">), der die im vorstehenden Absatz rekonstruierte </w:t>
      </w:r>
      <w:r>
        <w:rPr>
          <w:rFonts w:ascii="Arial" w:hAnsi="Arial"/>
          <w:b w:val="0"/>
          <w:i/>
          <w:sz w:val="19"/>
        </w:rPr>
        <w:t>Sentiment-Sabotage</w:t>
      </w:r>
      <w:r>
        <w:rPr>
          <w:rFonts w:ascii="Arial" w:hAnsi="Arial"/>
          <w:b w:val="0"/>
          <w:i w:val="0"/>
          <w:sz w:val="19"/>
        </w:rPr>
        <w:t xml:space="preserve">-Auslegung (Ma 12. August 2026 auf Basis Ding/Ma/Wu/Yang 2026) um einen prominenten Realfall aus einem der KI-nutzungs­intensivsten US-Konzerne ergänzt: Nach der Berichterstattung habe Vorstands­vorsitzender </w:t>
      </w:r>
      <w:r>
        <w:rPr>
          <w:rFonts w:ascii="Arial" w:hAnsi="Arial"/>
          <w:b w:val="0"/>
          <w:i/>
          <w:sz w:val="19"/>
        </w:rPr>
        <w:t>Mark Zuckerberg</w:t>
      </w:r>
      <w:r>
        <w:rPr>
          <w:rFonts w:ascii="Arial" w:hAnsi="Arial"/>
          <w:b w:val="0"/>
          <w:i w:val="0"/>
          <w:sz w:val="19"/>
        </w:rPr>
        <w:t xml:space="preserve"> im Januar 2026 auf einer internen Klausur in Hawaii einen zweiteiligen Restrukturierungs­plan initiiert, der die Meta-Organisation </w:t>
      </w:r>
      <w:r>
        <w:rPr>
          <w:rFonts w:ascii="Arial" w:hAnsi="Arial"/>
          <w:b w:val="0"/>
          <w:i/>
          <w:sz w:val="19"/>
        </w:rPr>
        <w:t>„AI native"</w:t>
      </w:r>
      <w:r>
        <w:rPr>
          <w:rFonts w:ascii="Arial" w:hAnsi="Arial"/>
          <w:b w:val="0"/>
          <w:i w:val="0"/>
          <w:sz w:val="19"/>
        </w:rPr>
        <w:t xml:space="preserve"> umbauen und einzelne Teams um bis zu sechzig Prozent reduzieren sollte, wobei die verbleibenden Mitarbeitenden als </w:t>
      </w:r>
      <w:r>
        <w:rPr>
          <w:rFonts w:ascii="Arial" w:hAnsi="Arial"/>
          <w:b w:val="0"/>
          <w:i/>
          <w:sz w:val="19"/>
        </w:rPr>
        <w:t>„talent-dense"</w:t>
      </w:r>
      <w:r>
        <w:rPr>
          <w:rFonts w:ascii="Arial" w:hAnsi="Arial"/>
          <w:b w:val="0"/>
          <w:i w:val="0"/>
          <w:sz w:val="19"/>
        </w:rPr>
        <w:t xml:space="preserve"> Führungsschicht virtuelle KI-Arbeiter überwachen würden. Die erste Welle sei am 20. Mai 2026 mit einer Reduktion um rund acht­tausend Stellen (etwa zehn Prozent der Belegschaft) tatsächlich vollzogen worden, die für November 2026 vorgesehene zweite Welle habe Zuckerberg jedoch bereits in der Nacht zum 19. Mai 2026 — Stunden vor Beginn der ersten Welle — abgesagt; nach seiner eigenen Ankündigung Anfang Juli 2026 rechne er </w:t>
      </w:r>
      <w:r>
        <w:rPr>
          <w:rFonts w:ascii="Arial" w:hAnsi="Arial"/>
          <w:b w:val="0"/>
          <w:i/>
          <w:sz w:val="19"/>
        </w:rPr>
        <w:t>„nicht mit weiteren unternehmens­weiten Entlassungen im laufenden Jahr"</w:t>
      </w:r>
      <w:r>
        <w:rPr>
          <w:rFonts w:ascii="Arial" w:hAnsi="Arial"/>
          <w:b w:val="0"/>
          <w:i w:val="0"/>
          <w:sz w:val="19"/>
        </w:rPr>
        <w:t>. Zentraler Grund für den Rückzug seien Metas eigene, interne Produktivitäts­daten: KI-assistierte Code-Änderungen seien im Jahres­vergleich um rund zweihundertzwanzig Prozent gestiegen, tatsächlich beim Nutzer angekommene neue oder aufgewertete Produktfunktionen jedoch nur um rund sechsunddreißig Prozent — eine Delta von 220-zu-36-Prozent, die die intern erwartete Produktivitäts­konvergenz nicht bestätigte; zugleich hätten schwerwiegende Sicherheits­vorfälle um rund vierzig Prozent und Feuerlöscharbeiten um rund siebzig Prozent zugenommen (Konjunktivpflicht nach § 4.2 Claude.md, da die Zahlen aus einer nicht öffentlich publizierten Meta-internen Erhebung stammen und über die Reuters-Rekonstruktion referiert werden). Für die hier geführte Steuerdebatte hat der Fall drei Konsequenzen. Erstens: Er stützt die im vorstehenden Absatz aus Ding/Ma/Wu/Yang (2026) und Ma (12. August 2026) abgeleitete Auslegung, wonach die Kombination aus KI-Investition und Personalabbau die versprochenen Produktivitäts­gewinne systematisch nicht realisiert — nun nicht mehr nur ökonometrisch, sondern als dokumentierter Unternehmens­fall bei einem der weltweit größten Foundation-Model-Betreiber. Zweitens: Er präzisiert die in § 3.5 (McCrory-</w:t>
      </w:r>
      <w:r>
        <w:rPr>
          <w:rFonts w:ascii="Arial" w:hAnsi="Arial"/>
          <w:b w:val="0"/>
          <w:i/>
          <w:sz w:val="19"/>
        </w:rPr>
        <w:t>„jagged capability"</w:t>
      </w:r>
      <w:r>
        <w:rPr>
          <w:rFonts w:ascii="Arial" w:hAnsi="Arial"/>
          <w:b w:val="0"/>
          <w:i w:val="0"/>
          <w:sz w:val="19"/>
        </w:rPr>
        <w:t xml:space="preserve">-Auslegung, 22. Juli 2026) begonnene Umdeutung der beobachteten Aggregat­lücke zwischen KI-Kapazität und KI-Produktivität — die Lücke ist nicht nur Produkt eines fragmentierten Kompetenzprofils der Modelle, sondern auch eine </w:t>
      </w:r>
      <w:r>
        <w:rPr>
          <w:rFonts w:ascii="Arial" w:hAnsi="Arial"/>
          <w:b w:val="0"/>
          <w:i/>
          <w:sz w:val="19"/>
        </w:rPr>
        <w:t>Implementierungs­lücke</w:t>
      </w:r>
      <w:r>
        <w:rPr>
          <w:rFonts w:ascii="Arial" w:hAnsi="Arial"/>
          <w:b w:val="0"/>
          <w:i w:val="0"/>
          <w:sz w:val="19"/>
        </w:rPr>
        <w:t xml:space="preserve">: selbst dort, wo die Modelle nachweislich Code produzieren, entstehen daraus nicht in gleichem Umfang nutzerseitige Produkte. Drittens: Er verschärft die in § 9.1 diskutierte Kausalattributions­problematik einer engen Typ-5-Ersatzabgabe, weil der Meta-Fall zeigt, dass die </w:t>
      </w:r>
      <w:r>
        <w:rPr>
          <w:rFonts w:ascii="Arial" w:hAnsi="Arial"/>
          <w:b w:val="0"/>
          <w:i/>
          <w:sz w:val="19"/>
        </w:rPr>
        <w:t>ursprüngliche</w:t>
      </w:r>
      <w:r>
        <w:rPr>
          <w:rFonts w:ascii="Arial" w:hAnsi="Arial"/>
          <w:b w:val="0"/>
          <w:i w:val="0"/>
          <w:sz w:val="19"/>
        </w:rPr>
        <w:t xml:space="preserve"> Restrukturierungs­ankündigung — Reduktion einzelner Teams um bis zu sechzig Prozent — bei Anwendung einer solchen Abgabe eine substantielle Bemessung ausgelöst hätte, obwohl die tatsächliche Realisierung (Rückzug der zweiten Welle) und die produktivitäts­ökonomische Trag­fähigkeit hinter der ursprünglichen Attribution zurückgeblieben sind; die wertschöpfungs­orientierte Bemessungs­basis (§ 5.1, § 8.3) bliebe demgegenüber unabhängig von unterjährigen Restrukturierungs­wellen belastbar. Der Fall ist zudem ein Beispiel für die in § 8.4 diskutierte Anforderung an Systemstabilität: Wenn AI-native Restrukturierung selbst bei einem Marktführer als Governance-Manöver zurückgenommen wird, ist die volkswirtschafts­politische Vorsorgeanforderung an eine steuer- und sozialstaats­basierte Absicherungs­schicht empirisch weniger überdehnt als in der öffentlichen Debatte suggeriert.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jc w:val="both"/>
      </w:pPr>
      <w:r>
        <w:rPr>
          <w:rFonts w:ascii="Arial" w:hAnsi="Arial"/>
          <w:b/>
          <w:i w:val="0"/>
          <w:sz w:val="19"/>
        </w:rPr>
        <w:t>Aktualisierung (Stand 23. August 2026):</w:t>
      </w:r>
      <w:r>
        <w:rPr>
          <w:rFonts w:ascii="Arial" w:hAnsi="Arial"/>
          <w:b w:val="0"/>
          <w:i w:val="0"/>
          <w:sz w:val="19"/>
        </w:rPr>
        <w:t xml:space="preserve"> In der auf den 20. August 2026 datierten Antwort auf die </w:t>
      </w:r>
      <w:r>
        <w:rPr>
          <w:rFonts w:ascii="Arial" w:hAnsi="Arial"/>
          <w:b w:val="0"/>
          <w:i/>
          <w:sz w:val="19"/>
        </w:rPr>
        <w:t>Kleine Anfrage</w:t>
      </w:r>
      <w:r>
        <w:rPr>
          <w:rFonts w:ascii="Arial" w:hAnsi="Arial"/>
          <w:b w:val="0"/>
          <w:i w:val="0"/>
          <w:sz w:val="19"/>
        </w:rPr>
        <w:t xml:space="preserve"> der </w:t>
      </w:r>
      <w:r>
        <w:rPr>
          <w:rFonts w:ascii="Arial" w:hAnsi="Arial"/>
          <w:b w:val="0"/>
          <w:i/>
          <w:sz w:val="19"/>
        </w:rPr>
        <w:t>AfD-Fraktion</w:t>
      </w:r>
      <w:r>
        <w:rPr>
          <w:rFonts w:ascii="Arial" w:hAnsi="Arial"/>
          <w:b w:val="0"/>
          <w:i w:val="0"/>
          <w:sz w:val="19"/>
        </w:rPr>
        <w:t xml:space="preserve"> vom 30. Juli 2026 zu den </w:t>
      </w:r>
      <w:r>
        <w:rPr>
          <w:rFonts w:ascii="Arial" w:hAnsi="Arial"/>
          <w:b w:val="0"/>
          <w:i/>
          <w:sz w:val="19"/>
        </w:rPr>
        <w:t>„Auswirkungen Künstlicher Intelligenz auf den Arbeitsmarkteinstieg"</w:t>
      </w:r>
      <w:r>
        <w:rPr>
          <w:rFonts w:ascii="Arial" w:hAnsi="Arial"/>
          <w:b w:val="0"/>
          <w:i w:val="0"/>
          <w:sz w:val="19"/>
        </w:rPr>
        <w:t xml:space="preserve"> (Bundestagsdrucksache 21/7620, Antwortdrucksache zur Anfrage 21/7421) hat die Bundesregierung erstmals in einem formellen Beschluss­dokument ihre Position zu einer möglichen KI-bedingten Verdrängungswirkung ausformuliert. Kernaussagen, im Konjunktiv referiert nach § 4.2 Claude.md: Es lägen </w:t>
      </w:r>
      <w:r>
        <w:rPr>
          <w:rFonts w:ascii="Arial" w:hAnsi="Arial"/>
          <w:b w:val="0"/>
          <w:i/>
          <w:sz w:val="19"/>
        </w:rPr>
        <w:t>„keine belastbaren Hinweise"</w:t>
      </w:r>
      <w:r>
        <w:rPr>
          <w:rFonts w:ascii="Arial" w:hAnsi="Arial"/>
          <w:b w:val="0"/>
          <w:i w:val="0"/>
          <w:sz w:val="19"/>
        </w:rPr>
        <w:t xml:space="preserve"> darauf vor, dass der zunehmende Einsatz Künstlicher Intelligenz in Deutschland zu einem </w:t>
      </w:r>
      <w:r>
        <w:rPr>
          <w:rFonts w:ascii="Arial" w:hAnsi="Arial"/>
          <w:b w:val="0"/>
          <w:i/>
          <w:sz w:val="19"/>
        </w:rPr>
        <w:t>„systematischen Abbau von Beschäftigung"</w:t>
      </w:r>
      <w:r>
        <w:rPr>
          <w:rFonts w:ascii="Arial" w:hAnsi="Arial"/>
          <w:b w:val="0"/>
          <w:i w:val="0"/>
          <w:sz w:val="19"/>
        </w:rPr>
        <w:t xml:space="preserve"> führe; KI ersetze </w:t>
      </w:r>
      <w:r>
        <w:rPr>
          <w:rFonts w:ascii="Arial" w:hAnsi="Arial"/>
          <w:b w:val="0"/>
          <w:i/>
          <w:sz w:val="19"/>
        </w:rPr>
        <w:t>„selten ganze Berufsbilder"</w:t>
      </w:r>
      <w:r>
        <w:rPr>
          <w:rFonts w:ascii="Arial" w:hAnsi="Arial"/>
          <w:b w:val="0"/>
          <w:i w:val="0"/>
          <w:sz w:val="19"/>
        </w:rPr>
        <w:t xml:space="preserve">, sondern verändere primär </w:t>
      </w:r>
      <w:r>
        <w:rPr>
          <w:rFonts w:ascii="Arial" w:hAnsi="Arial"/>
          <w:b w:val="0"/>
          <w:i/>
          <w:sz w:val="19"/>
        </w:rPr>
        <w:t>„konkrete Aufgaben"</w:t>
      </w:r>
      <w:r>
        <w:rPr>
          <w:rFonts w:ascii="Arial" w:hAnsi="Arial"/>
          <w:b w:val="0"/>
          <w:i w:val="0"/>
          <w:sz w:val="19"/>
        </w:rPr>
        <w:t xml:space="preserve"> innerhalb bestehender Berufe; ein bei jüngeren Erwerbslosen (unter 25 Jahren) seit 2019 beobachteter Rückgang der Abgangsrate in Beschäftigung lasse sich nach den vorliegenden Daten </w:t>
      </w:r>
      <w:r>
        <w:rPr>
          <w:rFonts w:ascii="Arial" w:hAnsi="Arial"/>
          <w:b w:val="0"/>
          <w:i/>
          <w:sz w:val="19"/>
        </w:rPr>
        <w:t>„nicht kausal"</w:t>
      </w:r>
      <w:r>
        <w:rPr>
          <w:rFonts w:ascii="Arial" w:hAnsi="Arial"/>
          <w:b w:val="0"/>
          <w:i w:val="0"/>
          <w:sz w:val="19"/>
        </w:rPr>
        <w:t xml:space="preserve"> mit KI-Nutzung verbinden; ein empirischer Nachweis realer Gehaltseinbußen liege </w:t>
      </w:r>
      <w:r>
        <w:rPr>
          <w:rFonts w:ascii="Arial" w:hAnsi="Arial"/>
          <w:b w:val="0"/>
          <w:i/>
          <w:sz w:val="19"/>
        </w:rPr>
        <w:t>„nicht"</w:t>
      </w:r>
      <w:r>
        <w:rPr>
          <w:rFonts w:ascii="Arial" w:hAnsi="Arial"/>
          <w:b w:val="0"/>
          <w:i w:val="0"/>
          <w:sz w:val="19"/>
        </w:rPr>
        <w:t xml:space="preserve"> vor. Als politische Antwort setze die Bundesregierung </w:t>
      </w:r>
      <w:r>
        <w:rPr>
          <w:rFonts w:ascii="Arial" w:hAnsi="Arial"/>
          <w:b w:val="0"/>
          <w:i/>
          <w:sz w:val="19"/>
        </w:rPr>
        <w:t>nicht</w:t>
      </w:r>
      <w:r>
        <w:rPr>
          <w:rFonts w:ascii="Arial" w:hAnsi="Arial"/>
          <w:b w:val="0"/>
          <w:i w:val="0"/>
          <w:sz w:val="19"/>
        </w:rPr>
        <w:t xml:space="preserve"> auf fiskalische Instrumente, sondern auf </w:t>
      </w:r>
      <w:r>
        <w:rPr>
          <w:rFonts w:ascii="Arial" w:hAnsi="Arial"/>
          <w:b w:val="0"/>
          <w:i/>
          <w:sz w:val="19"/>
        </w:rPr>
        <w:t>Qualifizierung</w:t>
      </w:r>
      <w:r>
        <w:rPr>
          <w:rFonts w:ascii="Arial" w:hAnsi="Arial"/>
          <w:b w:val="0"/>
          <w:i w:val="0"/>
          <w:sz w:val="19"/>
        </w:rPr>
        <w:t xml:space="preserve"> und </w:t>
      </w:r>
      <w:r>
        <w:rPr>
          <w:rFonts w:ascii="Arial" w:hAnsi="Arial"/>
          <w:b w:val="0"/>
          <w:i/>
          <w:sz w:val="19"/>
        </w:rPr>
        <w:t>Beobachtung</w:t>
      </w:r>
      <w:r>
        <w:rPr>
          <w:rFonts w:ascii="Arial" w:hAnsi="Arial"/>
          <w:b w:val="0"/>
          <w:i w:val="0"/>
          <w:sz w:val="19"/>
        </w:rPr>
        <w:t xml:space="preserve">: Verweise auf das seit 2020 geführte </w:t>
      </w:r>
      <w:r>
        <w:rPr>
          <w:rFonts w:ascii="Arial" w:hAnsi="Arial"/>
          <w:b w:val="0"/>
          <w:i/>
          <w:sz w:val="19"/>
        </w:rPr>
        <w:t>Observatorium KI in Arbeit und Gesellschaft</w:t>
      </w:r>
      <w:r>
        <w:rPr>
          <w:rFonts w:ascii="Arial" w:hAnsi="Arial"/>
          <w:b w:val="0"/>
          <w:i w:val="0"/>
          <w:sz w:val="19"/>
        </w:rPr>
        <w:t xml:space="preserve"> im </w:t>
      </w:r>
      <w:r>
        <w:rPr>
          <w:rFonts w:ascii="Arial" w:hAnsi="Arial"/>
          <w:b w:val="0"/>
          <w:i/>
          <w:sz w:val="19"/>
        </w:rPr>
        <w:t>Bundesministerium für Arbeit und Soziales</w:t>
      </w:r>
      <w:r>
        <w:rPr>
          <w:rFonts w:ascii="Arial" w:hAnsi="Arial"/>
          <w:b w:val="0"/>
          <w:i w:val="0"/>
          <w:sz w:val="19"/>
        </w:rPr>
        <w:t xml:space="preserve">, das </w:t>
      </w:r>
      <w:r>
        <w:rPr>
          <w:rFonts w:ascii="Arial" w:hAnsi="Arial"/>
          <w:b w:val="0"/>
          <w:i/>
          <w:sz w:val="19"/>
        </w:rPr>
        <w:t>ai:conomics</w:t>
      </w:r>
      <w:r>
        <w:rPr>
          <w:rFonts w:ascii="Arial" w:hAnsi="Arial"/>
          <w:b w:val="0"/>
          <w:i w:val="0"/>
          <w:sz w:val="19"/>
        </w:rPr>
        <w:t xml:space="preserve">-Projekt sowie eine bis 2030 angestrebte Weiterbildungsquote von 65 Prozent. Nicht adressiert werden — trotz der US-parlamentarischen Vorlagen von Sanders und Casar (§ 4.5) und der südkoreanischen Deployer-Beitrags­gesetz­gebung (§ 6.1) — die Optionen einer Robotersteuer (§ 2.1), einer Wertschöpfungsabgabe (§ 5.1), einer KI-spezifischen Ersatzabgabe (Typ 5 nach § 2.1) oder eines Staatsfonds-Modells (§ 5.4); für die deutsche Rechtslage bleibt die Antwort damit eine explizite Bestätigung des in § 4.2 dokumentierten Status quo: keine Steuer auf Roboter oder KI-Systeme, keine Ausdehnung der Sozialversicherungs-Bemessungsbasis, keine Ersatzabgabe auf Verdrängungs­wirkung — flankiert durch die Aussage, es fehle bislang die empirische Grundlage für eine solche Maßnahme. Berichtet u. a. durch </w:t>
      </w:r>
      <w:r>
        <w:rPr>
          <w:rFonts w:ascii="Arial" w:hAnsi="Arial"/>
          <w:b w:val="0"/>
          <w:i/>
          <w:sz w:val="19"/>
        </w:rPr>
        <w:t>heise online</w:t>
      </w:r>
      <w:r>
        <w:rPr>
          <w:rFonts w:ascii="Arial" w:hAnsi="Arial"/>
          <w:b w:val="0"/>
          <w:i w:val="0"/>
          <w:sz w:val="19"/>
        </w:rPr>
        <w:t xml:space="preserve"> (23. August 2026, „KI am Arbeitsplatz: Bundesregierung sieht keinen systematischen Stellenabbau") und </w:t>
      </w:r>
      <w:r>
        <w:rPr>
          <w:rFonts w:ascii="Arial" w:hAnsi="Arial"/>
          <w:b w:val="0"/>
          <w:i/>
          <w:sz w:val="19"/>
        </w:rPr>
        <w:t>callcenterprofi.de</w:t>
      </w:r>
      <w:r>
        <w:rPr>
          <w:rFonts w:ascii="Arial" w:hAnsi="Arial"/>
          <w:b w:val="0"/>
          <w:i w:val="0"/>
          <w:sz w:val="19"/>
        </w:rPr>
        <w:t xml:space="preserve"> (24. August 2026). Für die deutsche Debatte relevant, weil die Position der Bundesregierung — anders als die des IW Köln — nicht </w:t>
      </w:r>
      <w:r>
        <w:rPr>
          <w:rFonts w:ascii="Arial" w:hAnsi="Arial"/>
          <w:b w:val="0"/>
          <w:i/>
          <w:sz w:val="19"/>
        </w:rPr>
        <w:t>gegen</w:t>
      </w:r>
      <w:r>
        <w:rPr>
          <w:rFonts w:ascii="Arial" w:hAnsi="Arial"/>
          <w:b w:val="0"/>
          <w:i w:val="0"/>
          <w:sz w:val="19"/>
        </w:rPr>
        <w:t xml:space="preserve"> eine Robotersteuer argumentiert, sondern deren empirische Voraussetzung (systematische Substitution) verneint; damit verlagert sich der politische Konflikt in Deutschland weg von der normativen Frage („soll man KI besteuern?") auf die epistemische Frage („liegt bereits ein messbarer Verdrängungseffekt vor?") — analoge Kontroverse zu § 3.5 (Massenkoff/McCrory, Anthropic Economic Index, Yale Budget Lab, FEDS Note, Bank-of-Korea-Kohortenbefunde) und § 8.4 (Systemstabilität, Timing-Asymmetrie).</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jc w:val="both"/>
      </w:pPr>
      <w:r>
        <w:rPr>
          <w:rFonts w:ascii="Arial" w:hAnsi="Arial"/>
          <w:b/>
          <w:i w:val="0"/>
          <w:sz w:val="19"/>
        </w:rPr>
        <w:t>Aktivierung der AI-Act-Durchsetzung zum 2. August 2026:</w:t>
      </w:r>
      <w:r>
        <w:rPr>
          <w:rFonts w:ascii="Arial" w:hAnsi="Arial"/>
          <w:b w:val="0"/>
          <w:i w:val="0"/>
          <w:sz w:val="19"/>
        </w:rPr>
        <w:t xml:space="preserve"> Zum vorgesehenen Stichtag hat die Europäische Kommission über das AI Office am 2. August 2026 die aktive Durchsetzungsphase gegenüber Anbietern von Allzweck-KI-Modellen (GPAI) begonnen; parallel wurden die Transparenzpflichten nach Art. 50 AI Act wirksam — Chatbot-Erkennbarkeit, maschinenlesbare Kennzeichnung KI-generierter Audio-, Bild-, Video- und Textinhalte, Transparenzpflichten bei biometrischer Kategorisierung und Emotionserkennung, Kennzeichnungspflicht bei öffentlich relevanten Deepfakes (soweit keine redaktionelle Prüfung erfolgt ist). Verstöße gegen die GPAI-Bestimmungen nach Kapitel V können nach Art. 101 AI Act mit Bußgeldern von bis zu 15 Millionen Euro oder 3 % des weltweiten Jahresumsatzes belegt werden — je nachdem, welcher Betrag höher ausfällt (nach Cooley-Alert vom 3. August 2026 sowie Pressemitteilung der Europäischen Kommission vom 31. Juli 2026); für Marking- und Detection-Anforderungen an bereits im Verkehr befindliche generative Systeme gilt eine begrenzte Übergangsfrist bis 2. Dezember 2026. Der freiwillige </w:t>
      </w:r>
      <w:r>
        <w:rPr>
          <w:rFonts w:ascii="Arial" w:hAnsi="Arial"/>
          <w:b w:val="0"/>
          <w:i/>
          <w:sz w:val="19"/>
        </w:rPr>
        <w:t>Code of Practice on General-Purpose AI</w:t>
      </w:r>
      <w:r>
        <w:rPr>
          <w:rFonts w:ascii="Arial" w:hAnsi="Arial"/>
          <w:b w:val="0"/>
          <w:i w:val="0"/>
          <w:sz w:val="19"/>
        </w:rPr>
        <w:t xml:space="preserve"> ist bereits von über 180 Anbietern gezeichnet und begründet eine Konformitätsvermutung sowie eine leichter kalibrierte Aufsichtspraxis. Für die Steuerdebatte präzisiert dieser Durchsetzungsschritt die in Kapitel 8 (Deutschland-These) und § 9.1 (Kausalattribution) angelegte Beobachtung, dass die AI-Act-Kategorien nun mit einer betriebsbereiten Sanktionsschwelle unterlegt sind — die Verwaltungsvoraussetzungen für eine spätere fiskalische Anknüpfung an AI-Systemklassen sind damit weiter belastbar geworden.</w:t>
      </w:r>
    </w:p>
    <w:p>
      <w:pPr>
        <w:jc w:val="both"/>
      </w:pPr>
      <w:r>
        <w:rPr>
          <w:rFonts w:ascii="Arial" w:hAnsi="Arial"/>
          <w:b/>
          <w:i w:val="0"/>
          <w:sz w:val="19"/>
        </w:rPr>
        <w:t>Erste formale Auskunftsanfragen des AI Office an über dreißig GPAI-Anbieter (29. August 2026):</w:t>
      </w:r>
      <w:r>
        <w:rPr>
          <w:rFonts w:ascii="Arial" w:hAnsi="Arial"/>
          <w:b w:val="0"/>
          <w:i w:val="0"/>
          <w:sz w:val="19"/>
        </w:rPr>
        <w:t xml:space="preserve"> Nach den in der Vorfassung dokumentierten bilateralen Kommissionskontakten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am 3. August 2026 hat das </w:t>
      </w:r>
      <w:r>
        <w:rPr>
          <w:rFonts w:ascii="Arial" w:hAnsi="Arial"/>
          <w:b w:val="0"/>
          <w:i/>
          <w:sz w:val="19"/>
        </w:rPr>
        <w:t>AI Office</w:t>
      </w:r>
      <w:r>
        <w:rPr>
          <w:rFonts w:ascii="Arial" w:hAnsi="Arial"/>
          <w:b w:val="0"/>
          <w:i w:val="0"/>
          <w:sz w:val="19"/>
        </w:rPr>
        <w:t xml:space="preserve"> nach übereinstimmender Berichterstattung von </w:t>
      </w:r>
      <w:r>
        <w:rPr>
          <w:rFonts w:ascii="Arial" w:hAnsi="Arial"/>
          <w:b w:val="0"/>
          <w:i/>
          <w:sz w:val="19"/>
        </w:rPr>
        <w:t>Help Net Security</w:t>
      </w:r>
      <w:r>
        <w:rPr>
          <w:rFonts w:ascii="Arial" w:hAnsi="Arial"/>
          <w:b w:val="0"/>
          <w:i w:val="0"/>
          <w:sz w:val="19"/>
        </w:rPr>
        <w:t xml:space="preserve">, </w:t>
      </w:r>
      <w:r>
        <w:rPr>
          <w:rFonts w:ascii="Arial" w:hAnsi="Arial"/>
          <w:b w:val="0"/>
          <w:i/>
          <w:sz w:val="19"/>
        </w:rPr>
        <w:t>SuperPowerDaily</w:t>
      </w:r>
      <w:r>
        <w:rPr>
          <w:rFonts w:ascii="Arial" w:hAnsi="Arial"/>
          <w:b w:val="0"/>
          <w:i w:val="0"/>
          <w:sz w:val="19"/>
        </w:rPr>
        <w:t xml:space="preserve">, </w:t>
      </w:r>
      <w:r>
        <w:rPr>
          <w:rFonts w:ascii="Arial" w:hAnsi="Arial"/>
          <w:b w:val="0"/>
          <w:i/>
          <w:sz w:val="19"/>
        </w:rPr>
        <w:t>OOMeta AI</w:t>
      </w:r>
      <w:r>
        <w:rPr>
          <w:rFonts w:ascii="Arial" w:hAnsi="Arial"/>
          <w:b w:val="0"/>
          <w:i w:val="0"/>
          <w:sz w:val="19"/>
        </w:rPr>
        <w:t xml:space="preserve"> und </w:t>
      </w:r>
      <w:r>
        <w:rPr>
          <w:rFonts w:ascii="Arial" w:hAnsi="Arial"/>
          <w:b w:val="0"/>
          <w:i/>
          <w:sz w:val="19"/>
        </w:rPr>
        <w:t>Tokenstead</w:t>
      </w:r>
      <w:r>
        <w:rPr>
          <w:rFonts w:ascii="Arial" w:hAnsi="Arial"/>
          <w:b w:val="0"/>
          <w:i w:val="0"/>
          <w:sz w:val="19"/>
        </w:rPr>
        <w:t xml:space="preserve"> am 29. August 2026 den ersten formalen Enforcement-Schritt unter dem AI Act eingeleitet: EU-Kommissions-Vizepräsidentin </w:t>
      </w:r>
      <w:r>
        <w:rPr>
          <w:rFonts w:ascii="Arial" w:hAnsi="Arial"/>
          <w:b w:val="0"/>
          <w:i/>
          <w:sz w:val="19"/>
        </w:rPr>
        <w:t>Henna Virkkunen</w:t>
      </w:r>
      <w:r>
        <w:rPr>
          <w:rFonts w:ascii="Arial" w:hAnsi="Arial"/>
          <w:b w:val="0"/>
          <w:i w:val="0"/>
          <w:sz w:val="19"/>
        </w:rPr>
        <w:t xml:space="preserve"> hat bestätigt, dass das </w:t>
      </w:r>
      <w:r>
        <w:rPr>
          <w:rFonts w:ascii="Arial" w:hAnsi="Arial"/>
          <w:b w:val="0"/>
          <w:i/>
          <w:sz w:val="19"/>
        </w:rPr>
        <w:t>AI Office</w:t>
      </w:r>
      <w:r>
        <w:rPr>
          <w:rFonts w:ascii="Arial" w:hAnsi="Arial"/>
          <w:b w:val="0"/>
          <w:i w:val="0"/>
          <w:sz w:val="19"/>
        </w:rPr>
        <w:t xml:space="preserve"> an über dreißig weltweit ansässige Anbieter allgemeiner KI-Modelle (GPAI) förmliche </w:t>
      </w:r>
      <w:r>
        <w:rPr>
          <w:rFonts w:ascii="Arial" w:hAnsi="Arial"/>
          <w:b w:val="0"/>
          <w:i/>
          <w:sz w:val="19"/>
        </w:rPr>
        <w:t>Requests for Information</w:t>
      </w:r>
      <w:r>
        <w:rPr>
          <w:rFonts w:ascii="Arial" w:hAnsi="Arial"/>
          <w:b w:val="0"/>
          <w:i w:val="0"/>
          <w:sz w:val="19"/>
        </w:rPr>
        <w:t xml:space="preserve"> nach Art. 101 AI Act versandt hat — nach </w:t>
      </w:r>
      <w:r>
        <w:rPr>
          <w:rFonts w:ascii="Arial" w:hAnsi="Arial"/>
          <w:b w:val="0"/>
          <w:i/>
          <w:sz w:val="19"/>
        </w:rPr>
        <w:t>Euractiv</w:t>
      </w:r>
      <w:r>
        <w:rPr>
          <w:rFonts w:ascii="Arial" w:hAnsi="Arial"/>
          <w:b w:val="0"/>
          <w:i w:val="0"/>
          <w:sz w:val="19"/>
        </w:rPr>
        <w:t xml:space="preserve">-Rezeption unter anderem an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w:t>
      </w:r>
      <w:r>
        <w:rPr>
          <w:rFonts w:ascii="Arial" w:hAnsi="Arial"/>
          <w:b w:val="0"/>
          <w:i w:val="0"/>
          <w:sz w:val="19"/>
        </w:rPr>
        <w:t xml:space="preserve"> (die offizielle Empfängerliste ist nicht veröffentlicht). Zwei getrennte Auskunftsstränge werden verfolgt: (i) Sicherheit, unabhängige externe Evaluierungen, Nach-Marktüberwachung und Angriffsresistenz der Modelle sowie (ii) Zusammenfassungen der Trainingsdateninhalte für Anbieter ohne ausreichende Dokumentation. Nach </w:t>
      </w:r>
      <w:r>
        <w:rPr>
          <w:rFonts w:ascii="Arial" w:hAnsi="Arial"/>
          <w:b w:val="0"/>
          <w:i/>
          <w:sz w:val="19"/>
        </w:rPr>
        <w:t>SuperPowerDaily</w:t>
      </w:r>
      <w:r>
        <w:rPr>
          <w:rFonts w:ascii="Arial" w:hAnsi="Arial"/>
          <w:b w:val="0"/>
          <w:i w:val="0"/>
          <w:sz w:val="19"/>
        </w:rPr>
        <w:t xml:space="preserve"> und </w:t>
      </w:r>
      <w:r>
        <w:rPr>
          <w:rFonts w:ascii="Arial" w:hAnsi="Arial"/>
          <w:b w:val="0"/>
          <w:i/>
          <w:sz w:val="19"/>
        </w:rPr>
        <w:t>Tokenstead</w:t>
      </w:r>
      <w:r>
        <w:rPr>
          <w:rFonts w:ascii="Arial" w:hAnsi="Arial"/>
          <w:b w:val="0"/>
          <w:i w:val="0"/>
          <w:sz w:val="19"/>
        </w:rPr>
        <w:t xml:space="preserve"> können unvollständige, unrichtige oder irreführende Antworten mit Bußgeldern bis zu 15 Millionen Euro oder 3 % des weltweiten Jahresumsatzes belegt werden (nach </w:t>
      </w:r>
      <w:r>
        <w:rPr>
          <w:rFonts w:ascii="Arial" w:hAnsi="Arial"/>
          <w:b w:val="0"/>
          <w:i/>
          <w:sz w:val="19"/>
        </w:rPr>
        <w:t>OOMeta AI</w:t>
      </w:r>
      <w:r>
        <w:rPr>
          <w:rFonts w:ascii="Arial" w:hAnsi="Arial"/>
          <w:b w:val="0"/>
          <w:i w:val="0"/>
          <w:sz w:val="19"/>
        </w:rPr>
        <w:t xml:space="preserve"> bei geringeren Verstößen 7,5 Millionen Euro oder 1,5 %; bei schwerwiegenden Verstößen bis zu 35 Millionen Euro oder 7 %); die Kommission kann darüber hinaus Korrekturmaßnahmen anordnen oder die Verfügbarkeit einzelner Modelle in der EU einschränken. Die Kommission hat damit binnen vier Wochen nach Aktivierung der Durchsetzungsbefugnisse (2. August 2026) von der informell-bilateralen Krisenkommunikation im Anschluss an die Sicherheitsvorfälle Ende Juli 2026 auf ein förmliches Verwaltungsverfahren umgestellt (Konjunktivpflicht nach § 4.2 Claude.md, da einzelne Empfängernamen und Antwortfristen nicht offiziell publiziert sind). Für die hier geführte Steuerdebatte ist der Vorgang in dreifacher Hinsicht relevant: Erstens dokumentiert er, dass die AI-Act-Durchsetzung binnen weniger Wochen von der Aktivierung des Regimes über informelle Krisenkommunikation zu einem geregelten, sanktionsbewehrten Auskunftsverfahren übergeht — die administrative Belastbarkeit der Kategorien (GPAI-Modell, systemisches Risiko, Trainingsdatenzusammenfassung) für eine spätere fiskalische Anknüpfung wächst dadurch weiter (§ 5.1, § 8.3). Zweitens verschärft die formale RFI-Runde die in § 4.3 dokumentierte transatlantische Asymmetrie: Sie fällt zeitlich mit der von der US-Regierung am 1./2. September 2026 in Chapel Hill vorgelegten </w:t>
      </w:r>
      <w:r>
        <w:rPr>
          <w:rFonts w:ascii="Arial" w:hAnsi="Arial"/>
          <w:b w:val="0"/>
          <w:i/>
          <w:sz w:val="19"/>
        </w:rPr>
        <w:t>Carolina-Principles</w:t>
      </w:r>
      <w:r>
        <w:rPr>
          <w:rFonts w:ascii="Arial" w:hAnsi="Arial"/>
          <w:b w:val="0"/>
          <w:i w:val="0"/>
          <w:sz w:val="19"/>
        </w:rPr>
        <w:t>-Selbstverpflichtung „reserve new regulation for novel considerations" zusammen (§ 4.5) und dokumentiert damit die im Papier bereits angelegte Divergenz zwischen exekutiv-informal wirkendem US-Regime und institutionalisiertem EU-Durchsetzungsregime nun auch auf der operativen Ebene der Frontier-Modelle. Drittens stellt die inhaltliche Prüfachse „Trainingsdatenzusammenfassung" eine institutionelle Grundlage dar, an die spätere administrative Anknüpfungen einer wertschöpfungs­orientierten inländischen KI-Nutzungsabgabe (§ 5.1, § 8.3) methodisch anschließen können — die Kommission zwingt Anbieter erstmals systematisch, die Datenherkunft ihrer Modelle offenzulegen, was die im Papier verzeichnete Kausalattributionsproblematik (§ 9.1) für die Anbieter-Ebene relativiert, ohne sie auf der Deployer-Ebene aufzulösen.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AI Tax and Work Protection Act (US-Repräsentantenhaus, 7. August 2026):</w:t>
      </w:r>
      <w:r>
        <w:rPr>
          <w:rFonts w:ascii="Arial" w:hAnsi="Arial"/>
          <w:b w:val="0"/>
          <w:i w:val="0"/>
          <w:sz w:val="19"/>
        </w:rPr>
        <w:t xml:space="preserve"> Am 7. August 2026 haben die Demokratinnen und Demokraten Greg Casar (D-TX, federführend), Valerie Foushee (D-NC) und Sara Jacobs (D-CA) den </w:t>
      </w:r>
      <w:r>
        <w:rPr>
          <w:rFonts w:ascii="Arial" w:hAnsi="Arial"/>
          <w:b w:val="0"/>
          <w:i/>
          <w:sz w:val="19"/>
        </w:rPr>
        <w:t>AI Tax and Work Protection Act</w:t>
      </w:r>
      <w:r>
        <w:rPr>
          <w:rFonts w:ascii="Arial" w:hAnsi="Arial"/>
          <w:b w:val="0"/>
          <w:i w:val="0"/>
          <w:sz w:val="19"/>
        </w:rPr>
        <w:t xml:space="preserve"> im US-Repräsentantenhaus eingebracht; der Gesetzentwurf wäre nach dem </w:t>
      </w:r>
      <w:r>
        <w:rPr>
          <w:rFonts w:ascii="Arial" w:hAnsi="Arial"/>
          <w:b w:val="0"/>
          <w:i/>
          <w:sz w:val="19"/>
        </w:rPr>
        <w:t>Sanders</w:t>
      </w:r>
      <w:r>
        <w:rPr>
          <w:rFonts w:ascii="Arial" w:hAnsi="Arial"/>
          <w:b w:val="0"/>
          <w:i w:val="0"/>
          <w:sz w:val="19"/>
        </w:rPr>
        <w:t xml:space="preserve">-Robotersteuer-Vorschlag (Oktober 2025) und dem </w:t>
      </w:r>
      <w:r>
        <w:rPr>
          <w:rFonts w:ascii="Arial" w:hAnsi="Arial"/>
          <w:b w:val="0"/>
          <w:i/>
          <w:sz w:val="19"/>
        </w:rPr>
        <w:t>American A.I. Sovereign Wealth Fund Act</w:t>
      </w:r>
      <w:r>
        <w:rPr>
          <w:rFonts w:ascii="Arial" w:hAnsi="Arial"/>
          <w:b w:val="0"/>
          <w:i w:val="0"/>
          <w:sz w:val="19"/>
        </w:rPr>
        <w:t xml:space="preserve"> (18. Juni 2026) die dritte fiskalische Legislativ-Initiative des laufenden Kongresses mit unmittelbarem Bezug zur Verdrängung menschlicher Arbeit durch KI. Der Zugriff ist zweistufig konstruiert: Für </w:t>
      </w:r>
      <w:r>
        <w:rPr>
          <w:rFonts w:ascii="Arial" w:hAnsi="Arial"/>
          <w:b w:val="0"/>
          <w:i/>
          <w:sz w:val="19"/>
        </w:rPr>
        <w:t>closed-weight</w:t>
      </w:r>
      <w:r>
        <w:rPr>
          <w:rFonts w:ascii="Arial" w:hAnsi="Arial"/>
          <w:b w:val="0"/>
          <w:i w:val="0"/>
          <w:sz w:val="19"/>
        </w:rPr>
        <w:t xml:space="preserve">-Anbieter wird das Steueraufkommen alternativ am </w:t>
      </w:r>
      <w:r>
        <w:rPr>
          <w:rFonts w:ascii="Arial" w:hAnsi="Arial"/>
          <w:b w:val="0"/>
          <w:i/>
          <w:sz w:val="19"/>
        </w:rPr>
        <w:t>Token-Verkaufspreis</w:t>
      </w:r>
      <w:r>
        <w:rPr>
          <w:rFonts w:ascii="Arial" w:hAnsi="Arial"/>
          <w:b w:val="0"/>
          <w:i w:val="0"/>
          <w:sz w:val="19"/>
        </w:rPr>
        <w:t xml:space="preserve"> oder am </w:t>
      </w:r>
      <w:r>
        <w:rPr>
          <w:rFonts w:ascii="Arial" w:hAnsi="Arial"/>
          <w:b w:val="0"/>
          <w:i/>
          <w:sz w:val="19"/>
        </w:rPr>
        <w:t>Produktumsatz</w:t>
      </w:r>
      <w:r>
        <w:rPr>
          <w:rFonts w:ascii="Arial" w:hAnsi="Arial"/>
          <w:b w:val="0"/>
          <w:i w:val="0"/>
          <w:sz w:val="19"/>
        </w:rPr>
        <w:t xml:space="preserve"> der KI-Angebote bemessen (jeweils der höhere Wert), für </w:t>
      </w:r>
      <w:r>
        <w:rPr>
          <w:rFonts w:ascii="Arial" w:hAnsi="Arial"/>
          <w:b w:val="0"/>
          <w:i/>
          <w:sz w:val="19"/>
        </w:rPr>
        <w:t>open-weight</w:t>
      </w:r>
      <w:r>
        <w:rPr>
          <w:rFonts w:ascii="Arial" w:hAnsi="Arial"/>
          <w:b w:val="0"/>
          <w:i w:val="0"/>
          <w:sz w:val="19"/>
        </w:rPr>
        <w:t xml:space="preserve">-Modelle greift die Abgabe erst auf der Einsatzebene, sobald ein Unternehmen die Modelle zur Reduktion von Personalkosten verwendet. Der Steuersatz wäre nach Konjunktiv gemäß § 4.2 Claude.md unemployment-elastisch ausgelegt und stiege ausdrücklich, sobald die US-Arbeitslosenquote die 5-Prozent-Marke überschreitet; das Aufkommen fließt vollständig in eine neu zu errichtende </w:t>
      </w:r>
      <w:r>
        <w:rPr>
          <w:rFonts w:ascii="Arial" w:hAnsi="Arial"/>
          <w:b w:val="0"/>
          <w:i/>
          <w:sz w:val="19"/>
        </w:rPr>
        <w:t>Work Protection Administration</w:t>
      </w:r>
      <w:r>
        <w:rPr>
          <w:rFonts w:ascii="Arial" w:hAnsi="Arial"/>
          <w:b w:val="0"/>
          <w:i w:val="0"/>
          <w:sz w:val="19"/>
        </w:rPr>
        <w:t xml:space="preserve"> (WPA), die nach dem Vorbild der New-Deal-</w:t>
      </w:r>
      <w:r>
        <w:rPr>
          <w:rFonts w:ascii="Arial" w:hAnsi="Arial"/>
          <w:b w:val="0"/>
          <w:i/>
          <w:sz w:val="19"/>
        </w:rPr>
        <w:t>Works Progress Administration</w:t>
      </w:r>
      <w:r>
        <w:rPr>
          <w:rFonts w:ascii="Arial" w:hAnsi="Arial"/>
          <w:b w:val="0"/>
          <w:i w:val="0"/>
          <w:sz w:val="19"/>
        </w:rPr>
        <w:t xml:space="preserve"> Bundeszuschüsse an Bundesstaaten, Kommunen, Stämme, gemeinnützige Träger, Gewerkschaften und Bildungseinrichtungen für Wohnraum, Infrastruktur, Kinder- und Altenpflege vergibt. Als tragende Verbände wurden nach der Casar-Presseerklärung die </w:t>
      </w:r>
      <w:r>
        <w:rPr>
          <w:rFonts w:ascii="Arial" w:hAnsi="Arial"/>
          <w:b w:val="0"/>
          <w:i/>
          <w:sz w:val="19"/>
        </w:rPr>
        <w:t>American Federation of Teachers</w:t>
      </w:r>
      <w:r>
        <w:rPr>
          <w:rFonts w:ascii="Arial" w:hAnsi="Arial"/>
          <w:b w:val="0"/>
          <w:i w:val="0"/>
          <w:sz w:val="19"/>
        </w:rPr>
        <w:t xml:space="preserve"> (AFT), die </w:t>
      </w:r>
      <w:r>
        <w:rPr>
          <w:rFonts w:ascii="Arial" w:hAnsi="Arial"/>
          <w:b w:val="0"/>
          <w:i/>
          <w:sz w:val="19"/>
        </w:rPr>
        <w:t>American Federation of State, County, and Municipal Employees</w:t>
      </w:r>
      <w:r>
        <w:rPr>
          <w:rFonts w:ascii="Arial" w:hAnsi="Arial"/>
          <w:b w:val="0"/>
          <w:i w:val="0"/>
          <w:sz w:val="19"/>
        </w:rPr>
        <w:t xml:space="preserve"> (AFSCME), </w:t>
      </w:r>
      <w:r>
        <w:rPr>
          <w:rFonts w:ascii="Arial" w:hAnsi="Arial"/>
          <w:b w:val="0"/>
          <w:i/>
          <w:sz w:val="19"/>
        </w:rPr>
        <w:t>Groundwork Action</w:t>
      </w:r>
      <w:r>
        <w:rPr>
          <w:rFonts w:ascii="Arial" w:hAnsi="Arial"/>
          <w:b w:val="0"/>
          <w:i w:val="0"/>
          <w:sz w:val="19"/>
        </w:rPr>
        <w:t xml:space="preserve"> und </w:t>
      </w:r>
      <w:r>
        <w:rPr>
          <w:rFonts w:ascii="Arial" w:hAnsi="Arial"/>
          <w:b w:val="0"/>
          <w:i/>
          <w:sz w:val="19"/>
        </w:rPr>
        <w:t>Demand Progress Action</w:t>
      </w:r>
      <w:r>
        <w:rPr>
          <w:rFonts w:ascii="Arial" w:hAnsi="Arial"/>
          <w:b w:val="0"/>
          <w:i w:val="0"/>
          <w:sz w:val="19"/>
        </w:rPr>
        <w:t xml:space="preserve"> benannt. Casar wird mit dem Zitat referiert, „we will not let AI billionaires get rich by putting you out of work" und die betroffenen Konzerne müssten „pay their fair share". Für die in diesem Abschnitt aufgenommene Governance-Perspektive markiert der Vorstoß eine neue Zwischenposition: Anders als beim </w:t>
      </w:r>
      <w:r>
        <w:rPr>
          <w:rFonts w:ascii="Arial" w:hAnsi="Arial"/>
          <w:b w:val="0"/>
          <w:i/>
          <w:sz w:val="19"/>
        </w:rPr>
        <w:t>American A.I. Sovereign Wealth Fund Act</w:t>
      </w:r>
      <w:r>
        <w:rPr>
          <w:rFonts w:ascii="Arial" w:hAnsi="Arial"/>
          <w:b w:val="0"/>
          <w:i w:val="0"/>
          <w:sz w:val="19"/>
        </w:rPr>
        <w:t xml:space="preserve"> (Bestandsanknüpfung an ausstehendes Stammkapital) wird die Bemessungsgrundlage explizit an </w:t>
      </w:r>
      <w:r>
        <w:rPr>
          <w:rFonts w:ascii="Arial" w:hAnsi="Arial"/>
          <w:b w:val="0"/>
          <w:i/>
          <w:sz w:val="19"/>
        </w:rPr>
        <w:t>Umsatz-</w:t>
      </w:r>
      <w:r>
        <w:rPr>
          <w:rFonts w:ascii="Arial" w:hAnsi="Arial"/>
          <w:b w:val="0"/>
          <w:i w:val="0"/>
          <w:sz w:val="19"/>
        </w:rPr>
        <w:t xml:space="preserve"> und </w:t>
      </w:r>
      <w:r>
        <w:rPr>
          <w:rFonts w:ascii="Arial" w:hAnsi="Arial"/>
          <w:b w:val="0"/>
          <w:i/>
          <w:sz w:val="19"/>
        </w:rPr>
        <w:t>Nutzungsflüssen</w:t>
      </w:r>
      <w:r>
        <w:rPr>
          <w:rFonts w:ascii="Arial" w:hAnsi="Arial"/>
          <w:b w:val="0"/>
          <w:i w:val="0"/>
          <w:sz w:val="19"/>
        </w:rPr>
        <w:t xml:space="preserve"> der KI-Modelle sowie an der </w:t>
      </w:r>
      <w:r>
        <w:rPr>
          <w:rFonts w:ascii="Arial" w:hAnsi="Arial"/>
          <w:b w:val="0"/>
          <w:i/>
          <w:sz w:val="19"/>
        </w:rPr>
        <w:t>Substitutionsentscheidung</w:t>
      </w:r>
      <w:r>
        <w:rPr>
          <w:rFonts w:ascii="Arial" w:hAnsi="Arial"/>
          <w:b w:val="0"/>
          <w:i w:val="0"/>
          <w:sz w:val="19"/>
        </w:rPr>
        <w:t xml:space="preserve"> des Anwenders angesetzt (Konjunktivpflicht nach § 4.2 Claude.md, da der Gesetzentwurf im republikanisch geführten Repräsentantenhaus keine erkennbare Mehrheit vorfindet). Für die Deutschland-These (§ 8.3) und die dortige Präferenz für wertschöpfungs- statt bestands­orientierte Zugriffe schärft der Vorstoß den strukturellen Kontrast zum bestands­orientierten </w:t>
      </w:r>
      <w:r>
        <w:rPr>
          <w:rFonts w:ascii="Arial" w:hAnsi="Arial"/>
          <w:b w:val="0"/>
          <w:i/>
          <w:sz w:val="19"/>
        </w:rPr>
        <w:t>American A.I. Sovereign Wealth Fund Act</w:t>
      </w:r>
      <w:r>
        <w:rPr>
          <w:rFonts w:ascii="Arial" w:hAnsi="Arial"/>
          <w:b w:val="0"/>
          <w:i w:val="0"/>
          <w:sz w:val="19"/>
        </w:rPr>
        <w:t xml:space="preserve">: Die </w:t>
      </w:r>
      <w:r>
        <w:rPr>
          <w:rFonts w:ascii="Arial" w:hAnsi="Arial"/>
          <w:b w:val="0"/>
          <w:i/>
          <w:sz w:val="19"/>
        </w:rPr>
        <w:t>AI-Tax-and-Work-Protection</w:t>
      </w:r>
      <w:r>
        <w:rPr>
          <w:rFonts w:ascii="Arial" w:hAnsi="Arial"/>
          <w:b w:val="0"/>
          <w:i w:val="0"/>
          <w:sz w:val="19"/>
        </w:rPr>
        <w:t xml:space="preserve">-Konstruktion setzt an derselben Wertschöpfungs­schicht an, die die inländische deutsche Debatte über eine Wertschöpfungsabgabe (§ 5.1) seit den 1970er-Jahren adressiert, und ergänzt zugleich einen expliziten </w:t>
      </w:r>
      <w:r>
        <w:rPr>
          <w:rFonts w:ascii="Arial" w:hAnsi="Arial"/>
          <w:b w:val="0"/>
          <w:i/>
          <w:sz w:val="19"/>
        </w:rPr>
        <w:t>Zweckbindungs</w:t>
      </w:r>
      <w:r>
        <w:rPr>
          <w:rFonts w:ascii="Arial" w:hAnsi="Arial"/>
          <w:b w:val="0"/>
          <w:i w:val="0"/>
          <w:sz w:val="19"/>
        </w:rPr>
        <w:t>-Mechanismus (WPA-Fonds), der als konzeptioneller Vergleichspunkt zu einer möglichen inländischen Teilhabefonds-Konstruktion (§ 8.3) herangezogen werden kann. Zugleich verdeutlicht die Konjunktions­struktur (Anwendungs- statt reine Anbieter­schicht, unemployment-elastischer Tarif) die in § 9.2 skizzierten Abgrenzungs- und Nachweisprobleme, die eine tokenpreis-basierte Anknüpfung ohne robuste maschinenlesbare Meldepflicht mit sich brächte.</w:t>
      </w:r>
    </w:p>
    <w:p>
      <w:pPr>
        <w:jc w:val="both"/>
      </w:pPr>
      <w:r>
        <w:rPr>
          <w:rFonts w:ascii="Arial" w:hAnsi="Arial"/>
          <w:b/>
          <w:i w:val="0"/>
          <w:sz w:val="19"/>
        </w:rPr>
        <w:t>Bill Gates — GatesNotes-Memo *„Make AI Work for Everyone: A Turbulent AI Era and Critical Choices to Make"* (26. August 2026):</w:t>
      </w:r>
      <w:r>
        <w:rPr>
          <w:rFonts w:ascii="Arial" w:hAnsi="Arial"/>
          <w:b w:val="0"/>
          <w:i w:val="0"/>
          <w:sz w:val="19"/>
        </w:rPr>
        <w:t xml:space="preserve"> Zwanzig Tage nach dem </w:t>
      </w:r>
      <w:r>
        <w:rPr>
          <w:rFonts w:ascii="Arial" w:hAnsi="Arial"/>
          <w:b w:val="0"/>
          <w:i/>
          <w:sz w:val="19"/>
        </w:rPr>
        <w:t>AI Tax and Work Protection Act</w:t>
      </w:r>
      <w:r>
        <w:rPr>
          <w:rFonts w:ascii="Arial" w:hAnsi="Arial"/>
          <w:b w:val="0"/>
          <w:i w:val="0"/>
          <w:sz w:val="19"/>
        </w:rPr>
        <w:t xml:space="preserve"> tritt neben der legislativ-flussorientierten Zugriffslogik eine hoch-sichtbare privat-publizistische Stimme aus dem US-Tech-Sektor: Am 26. August 2026 hat </w:t>
      </w:r>
      <w:r>
        <w:rPr>
          <w:rFonts w:ascii="Arial" w:hAnsi="Arial"/>
          <w:b w:val="0"/>
          <w:i/>
          <w:sz w:val="19"/>
        </w:rPr>
        <w:t>Bill Gates</w:t>
      </w:r>
      <w:r>
        <w:rPr>
          <w:rFonts w:ascii="Arial" w:hAnsi="Arial"/>
          <w:b w:val="0"/>
          <w:i w:val="0"/>
          <w:sz w:val="19"/>
        </w:rPr>
        <w:t xml:space="preserve">, Mitgründer der Microsoft Corporation und heute Ko-Vorsitzender der Bill &amp; Melinda Gates Foundation, auf seinem </w:t>
      </w:r>
      <w:r>
        <w:rPr>
          <w:rFonts w:ascii="Arial" w:hAnsi="Arial"/>
          <w:b w:val="0"/>
          <w:i/>
          <w:sz w:val="19"/>
        </w:rPr>
        <w:t>GatesNotes</w:t>
      </w:r>
      <w:r>
        <w:rPr>
          <w:rFonts w:ascii="Arial" w:hAnsi="Arial"/>
          <w:b w:val="0"/>
          <w:i w:val="0"/>
          <w:sz w:val="19"/>
        </w:rPr>
        <w:t xml:space="preserve">-Blog einen mit rund sechstausend Wörtern angegebenen Aufsatz veröffentlicht, den er in flankierender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Fox Business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National</w:t>
      </w:r>
      <w:r>
        <w:rPr>
          <w:rFonts w:ascii="Arial" w:hAnsi="Arial"/>
          <w:b w:val="0"/>
          <w:i w:val="0"/>
          <w:sz w:val="19"/>
        </w:rPr>
        <w:t xml:space="preserve"> und </w:t>
      </w:r>
      <w:r>
        <w:rPr>
          <w:rFonts w:ascii="Arial" w:hAnsi="Arial"/>
          <w:b w:val="0"/>
          <w:i/>
          <w:sz w:val="19"/>
        </w:rPr>
        <w:t>Yahoo Finance</w:t>
      </w:r>
      <w:r>
        <w:rPr>
          <w:rFonts w:ascii="Arial" w:hAnsi="Arial"/>
          <w:b w:val="0"/>
          <w:i w:val="0"/>
          <w:sz w:val="19"/>
        </w:rPr>
        <w:t xml:space="preserve"> (26. August 2026) als seine bislang deutlichste Positionierung zur ökonomischen und politischen Bewältigung der KI-Verdrängung menschlicher Arbeit charakterisieren lässt. Zentraler Anker der Berichterstattung ist Gates' Formulierung, „AI will either be the greatest equalizer ever invented, or the worst source of injustice", und die Diagnose, „even under the best circumstances, the transition to this new AI era will be one of the most turbulent times in human history"; als in einem Jahrzehnt substituierbar identifiziert Gates nach </w:t>
      </w:r>
      <w:r>
        <w:rPr>
          <w:rFonts w:ascii="Arial" w:hAnsi="Arial"/>
          <w:b w:val="0"/>
          <w:i/>
          <w:sz w:val="19"/>
        </w:rPr>
        <w:t>Bloomberg</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die Berufsfelder </w:t>
      </w:r>
      <w:r>
        <w:rPr>
          <w:rFonts w:ascii="Arial" w:hAnsi="Arial"/>
          <w:b w:val="0"/>
          <w:i/>
          <w:sz w:val="19"/>
        </w:rPr>
        <w:t>Recht</w:t>
      </w:r>
      <w:r>
        <w:rPr>
          <w:rFonts w:ascii="Arial" w:hAnsi="Arial"/>
          <w:b w:val="0"/>
          <w:i w:val="0"/>
          <w:sz w:val="19"/>
        </w:rPr>
        <w:t xml:space="preserve">, </w:t>
      </w:r>
      <w:r>
        <w:rPr>
          <w:rFonts w:ascii="Arial" w:hAnsi="Arial"/>
          <w:b w:val="0"/>
          <w:i/>
          <w:sz w:val="19"/>
        </w:rPr>
        <w:t>Medizin</w:t>
      </w:r>
      <w:r>
        <w:rPr>
          <w:rFonts w:ascii="Arial" w:hAnsi="Arial"/>
          <w:b w:val="0"/>
          <w:i w:val="0"/>
          <w:sz w:val="19"/>
        </w:rPr>
        <w:t xml:space="preserve">, </w:t>
      </w:r>
      <w:r>
        <w:rPr>
          <w:rFonts w:ascii="Arial" w:hAnsi="Arial"/>
          <w:b w:val="0"/>
          <w:i/>
          <w:sz w:val="19"/>
        </w:rPr>
        <w:t>Kundenservice</w:t>
      </w:r>
      <w:r>
        <w:rPr>
          <w:rFonts w:ascii="Arial" w:hAnsi="Arial"/>
          <w:b w:val="0"/>
          <w:i w:val="0"/>
          <w:sz w:val="19"/>
        </w:rPr>
        <w:t xml:space="preserve">, </w:t>
      </w:r>
      <w:r>
        <w:rPr>
          <w:rFonts w:ascii="Arial" w:hAnsi="Arial"/>
          <w:b w:val="0"/>
          <w:i/>
          <w:sz w:val="19"/>
        </w:rPr>
        <w:t>Softwareentwicklung</w:t>
      </w:r>
      <w:r>
        <w:rPr>
          <w:rFonts w:ascii="Arial" w:hAnsi="Arial"/>
          <w:b w:val="0"/>
          <w:i w:val="0"/>
          <w:sz w:val="19"/>
        </w:rPr>
        <w:t xml:space="preserve"> und </w:t>
      </w:r>
      <w:r>
        <w:rPr>
          <w:rFonts w:ascii="Arial" w:hAnsi="Arial"/>
          <w:b w:val="0"/>
          <w:i/>
          <w:sz w:val="19"/>
        </w:rPr>
        <w:t>Fertigung</w:t>
      </w:r>
      <w:r>
        <w:rPr>
          <w:rFonts w:ascii="Arial" w:hAnsi="Arial"/>
          <w:b w:val="0"/>
          <w:i w:val="0"/>
          <w:sz w:val="19"/>
        </w:rPr>
        <w:t>, wobei Bürojobs (</w:t>
      </w:r>
      <w:r>
        <w:rPr>
          <w:rFonts w:ascii="Arial" w:hAnsi="Arial"/>
          <w:b w:val="0"/>
          <w:i/>
          <w:sz w:val="19"/>
        </w:rPr>
        <w:t>Customer Support</w:t>
      </w:r>
      <w:r>
        <w:rPr>
          <w:rFonts w:ascii="Arial" w:hAnsi="Arial"/>
          <w:b w:val="0"/>
          <w:i w:val="0"/>
          <w:sz w:val="19"/>
        </w:rPr>
        <w:t xml:space="preserve">, </w:t>
      </w:r>
      <w:r>
        <w:rPr>
          <w:rFonts w:ascii="Arial" w:hAnsi="Arial"/>
          <w:b w:val="0"/>
          <w:i/>
          <w:sz w:val="19"/>
        </w:rPr>
        <w:t>Software Engineering</w:t>
      </w:r>
      <w:r>
        <w:rPr>
          <w:rFonts w:ascii="Arial" w:hAnsi="Arial"/>
          <w:b w:val="0"/>
          <w:i w:val="0"/>
          <w:sz w:val="19"/>
        </w:rPr>
        <w:t xml:space="preserve">, </w:t>
      </w:r>
      <w:r>
        <w:rPr>
          <w:rFonts w:ascii="Arial" w:hAnsi="Arial"/>
          <w:b w:val="0"/>
          <w:i/>
          <w:sz w:val="19"/>
        </w:rPr>
        <w:t>Paralegal</w:t>
      </w:r>
      <w:r>
        <w:rPr>
          <w:rFonts w:ascii="Arial" w:hAnsi="Arial"/>
          <w:b w:val="0"/>
          <w:i w:val="0"/>
          <w:sz w:val="19"/>
        </w:rPr>
        <w:t xml:space="preserve">) zuerst verschwinden sollen und </w:t>
      </w:r>
      <w:r>
        <w:rPr>
          <w:rFonts w:ascii="Arial" w:hAnsi="Arial"/>
          <w:b w:val="0"/>
          <w:i/>
          <w:sz w:val="19"/>
        </w:rPr>
        <w:t>Bauwirtschaft</w:t>
      </w:r>
      <w:r>
        <w:rPr>
          <w:rFonts w:ascii="Arial" w:hAnsi="Arial"/>
          <w:b w:val="0"/>
          <w:i w:val="0"/>
          <w:sz w:val="19"/>
        </w:rPr>
        <w:t xml:space="preserve"> und </w:t>
      </w:r>
      <w:r>
        <w:rPr>
          <w:rFonts w:ascii="Arial" w:hAnsi="Arial"/>
          <w:b w:val="0"/>
          <w:i/>
          <w:sz w:val="19"/>
        </w:rPr>
        <w:t>Gastgewerbe</w:t>
      </w:r>
      <w:r>
        <w:rPr>
          <w:rFonts w:ascii="Arial" w:hAnsi="Arial"/>
          <w:b w:val="0"/>
          <w:i w:val="0"/>
          <w:sz w:val="19"/>
        </w:rPr>
        <w:t xml:space="preserve"> mit einem </w:t>
      </w:r>
      <w:r>
        <w:rPr>
          <w:rFonts w:ascii="Arial" w:hAnsi="Arial"/>
          <w:b w:val="0"/>
          <w:i/>
          <w:sz w:val="19"/>
        </w:rPr>
        <w:t>Roboter</w:t>
      </w:r>
      <w:r>
        <w:rPr>
          <w:rFonts w:ascii="Arial" w:hAnsi="Arial"/>
          <w:b w:val="0"/>
          <w:i w:val="0"/>
          <w:sz w:val="19"/>
        </w:rPr>
        <w:t xml:space="preserve">-Übergang bis Ende des Jahrzehnts folgten (Konjunktivpflicht nach § 4.2 Claude.md). Der Aufsatz trägt drei Politikvorschläge vor. Erstens fordert Gates den Aufbau neuer </w:t>
      </w:r>
      <w:r>
        <w:rPr>
          <w:rFonts w:ascii="Arial" w:hAnsi="Arial"/>
          <w:b w:val="0"/>
          <w:i/>
          <w:sz w:val="19"/>
        </w:rPr>
        <w:t>nationaler und internationaler Institutionen</w:t>
      </w:r>
      <w:r>
        <w:rPr>
          <w:rFonts w:ascii="Arial" w:hAnsi="Arial"/>
          <w:b w:val="0"/>
          <w:i w:val="0"/>
          <w:sz w:val="19"/>
        </w:rPr>
        <w:t xml:space="preserve">, die den KI-Übergang aktiv steuern und die Anpassung der sozialen Sicherungssysteme, der Bildungsangebote und der Wettbewerbsordnung koordinieren. Zweitens schlägt Gates ein Prinzip </w:t>
      </w:r>
      <w:r>
        <w:rPr>
          <w:rFonts w:ascii="Arial" w:hAnsi="Arial"/>
          <w:b w:val="0"/>
          <w:i/>
          <w:sz w:val="19"/>
        </w:rPr>
        <w:t>„Human Reserved"</w:t>
      </w:r>
      <w:r>
        <w:rPr>
          <w:rFonts w:ascii="Arial" w:hAnsi="Arial"/>
          <w:b w:val="0"/>
          <w:i w:val="0"/>
          <w:sz w:val="19"/>
        </w:rPr>
        <w:t xml:space="preserve"> vor: bestimmte Tätigkeitsfelder werden bewusst dem menschlichen Ausführungsprimat vorbehalten, auch wenn KI-Systeme die Aufgaben technisch leisten könnten; die Analogie ist das eines Naturschutzgebiets („nature reserve"), also einer politisch gesetzten Ausnahme im Sinne eines gesellschaftlichen Gutes. Nach dem in </w:t>
      </w:r>
      <w:r>
        <w:rPr>
          <w:rFonts w:ascii="Arial" w:hAnsi="Arial"/>
          <w:b w:val="0"/>
          <w:i/>
          <w:sz w:val="19"/>
        </w:rPr>
        <w:t>Axios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 wiedergegebenen Selbstauskunftszitat hat Gates die </w:t>
      </w:r>
      <w:r>
        <w:rPr>
          <w:rFonts w:ascii="Arial" w:hAnsi="Arial"/>
          <w:b w:val="0"/>
          <w:i/>
          <w:sz w:val="19"/>
        </w:rPr>
        <w:t>Human-Reserved</w:t>
      </w:r>
      <w:r>
        <w:rPr>
          <w:rFonts w:ascii="Arial" w:hAnsi="Arial"/>
          <w:b w:val="0"/>
          <w:i w:val="0"/>
          <w:sz w:val="19"/>
        </w:rPr>
        <w:t xml:space="preserve">-Konstruktion „mit dem Chatbot </w:t>
      </w:r>
      <w:r>
        <w:rPr>
          <w:rFonts w:ascii="Arial" w:hAnsi="Arial"/>
          <w:b w:val="0"/>
          <w:i/>
          <w:sz w:val="19"/>
        </w:rPr>
        <w:t>Claude</w:t>
      </w:r>
      <w:r>
        <w:rPr>
          <w:rFonts w:ascii="Arial" w:hAnsi="Arial"/>
          <w:b w:val="0"/>
          <w:i w:val="0"/>
          <w:sz w:val="19"/>
        </w:rPr>
        <w:t xml:space="preserve"> durchgespielt" und darin einen Zielanteil von </w:t>
      </w:r>
      <w:r>
        <w:rPr>
          <w:rFonts w:ascii="Arial" w:hAnsi="Arial"/>
          <w:b w:val="0"/>
          <w:i/>
          <w:sz w:val="19"/>
        </w:rPr>
        <w:t>„bis zu 40 Prozent"</w:t>
      </w:r>
      <w:r>
        <w:rPr>
          <w:rFonts w:ascii="Arial" w:hAnsi="Arial"/>
          <w:b w:val="0"/>
          <w:i w:val="0"/>
          <w:sz w:val="19"/>
        </w:rPr>
        <w:t xml:space="preserve"> der Arbeit für Menschen als „so hoch wie ich es hinbekomme" markiert; als Instrumente werden verkürzte Arbeitszeiten und ein früherer Renteneintritt genannt. Als konkrete Beispiele nennt Gates </w:t>
      </w:r>
      <w:r>
        <w:rPr>
          <w:rFonts w:ascii="Arial" w:hAnsi="Arial"/>
          <w:b w:val="0"/>
          <w:i/>
          <w:sz w:val="19"/>
        </w:rPr>
        <w:t>Kinderbetreuung</w:t>
      </w:r>
      <w:r>
        <w:rPr>
          <w:rFonts w:ascii="Arial" w:hAnsi="Arial"/>
          <w:b w:val="0"/>
          <w:i w:val="0"/>
          <w:sz w:val="19"/>
        </w:rPr>
        <w:t xml:space="preserve">, den </w:t>
      </w:r>
      <w:r>
        <w:rPr>
          <w:rFonts w:ascii="Arial" w:hAnsi="Arial"/>
          <w:b w:val="0"/>
          <w:i/>
          <w:sz w:val="19"/>
        </w:rPr>
        <w:t>Schöffendienst</w:t>
      </w:r>
      <w:r>
        <w:rPr>
          <w:rFonts w:ascii="Arial" w:hAnsi="Arial"/>
          <w:b w:val="0"/>
          <w:i w:val="0"/>
          <w:sz w:val="19"/>
        </w:rPr>
        <w:t xml:space="preserve"> (jury service) sowie eine schwerpunktverlagerte Rolle in </w:t>
      </w:r>
      <w:r>
        <w:rPr>
          <w:rFonts w:ascii="Arial" w:hAnsi="Arial"/>
          <w:b w:val="0"/>
          <w:i/>
          <w:sz w:val="19"/>
        </w:rPr>
        <w:t>Bildung</w:t>
      </w:r>
      <w:r>
        <w:rPr>
          <w:rFonts w:ascii="Arial" w:hAnsi="Arial"/>
          <w:b w:val="0"/>
          <w:i w:val="0"/>
          <w:sz w:val="19"/>
        </w:rPr>
        <w:t xml:space="preserve"> und </w:t>
      </w:r>
      <w:r>
        <w:rPr>
          <w:rFonts w:ascii="Arial" w:hAnsi="Arial"/>
          <w:b w:val="0"/>
          <w:i/>
          <w:sz w:val="19"/>
        </w:rPr>
        <w:t>Gesundheitswesen</w:t>
      </w:r>
      <w:r>
        <w:rPr>
          <w:rFonts w:ascii="Arial" w:hAnsi="Arial"/>
          <w:b w:val="0"/>
          <w:i w:val="0"/>
          <w:sz w:val="19"/>
        </w:rPr>
        <w:t xml:space="preserve"> (Menschen unterstützt durch KI, nicht ersetzt durch KI); ergänzend illustriert er den </w:t>
      </w:r>
      <w:r>
        <w:rPr>
          <w:rFonts w:ascii="Arial" w:hAnsi="Arial"/>
          <w:b w:val="0"/>
          <w:i/>
          <w:sz w:val="19"/>
        </w:rPr>
        <w:t>ökonomischen</w:t>
      </w:r>
      <w:r>
        <w:rPr>
          <w:rFonts w:ascii="Arial" w:hAnsi="Arial"/>
          <w:b w:val="0"/>
          <w:i w:val="0"/>
          <w:sz w:val="19"/>
        </w:rPr>
        <w:t xml:space="preserve"> Grund („You can't tell a 55-year-old who has worked in construction their whole career that they need to go work at an elder care facility") und den </w:t>
      </w:r>
      <w:r>
        <w:rPr>
          <w:rFonts w:ascii="Arial" w:hAnsi="Arial"/>
          <w:b w:val="0"/>
          <w:i/>
          <w:sz w:val="19"/>
        </w:rPr>
        <w:t>würdegeleiteten</w:t>
      </w:r>
      <w:r>
        <w:rPr>
          <w:rFonts w:ascii="Arial" w:hAnsi="Arial"/>
          <w:b w:val="0"/>
          <w:i w:val="0"/>
          <w:sz w:val="19"/>
        </w:rPr>
        <w:t xml:space="preserve"> Grund (das Überbringen einer terminalen Diagnose). Drittens plädiert Gates für eine </w:t>
      </w:r>
      <w:r>
        <w:rPr>
          <w:rFonts w:ascii="Arial" w:hAnsi="Arial"/>
          <w:b w:val="0"/>
          <w:i/>
          <w:sz w:val="19"/>
        </w:rPr>
        <w:t>Umkehr der steuerlichen Anreize</w:t>
      </w:r>
      <w:r>
        <w:rPr>
          <w:rFonts w:ascii="Arial" w:hAnsi="Arial"/>
          <w:b w:val="0"/>
          <w:i w:val="0"/>
          <w:sz w:val="19"/>
        </w:rPr>
        <w:t xml:space="preserve">: Solange Löhne Sozialabgaben und Lohnsteuern auslösen, während der Kauf eines </w:t>
      </w:r>
      <w:r>
        <w:rPr>
          <w:rFonts w:ascii="Arial" w:hAnsi="Arial"/>
          <w:b w:val="0"/>
          <w:i/>
          <w:sz w:val="19"/>
        </w:rPr>
        <w:t>Roboters</w:t>
      </w:r>
      <w:r>
        <w:rPr>
          <w:rFonts w:ascii="Arial" w:hAnsi="Arial"/>
          <w:b w:val="0"/>
          <w:i w:val="0"/>
          <w:sz w:val="19"/>
        </w:rPr>
        <w:t xml:space="preserve"> oder eines </w:t>
      </w:r>
      <w:r>
        <w:rPr>
          <w:rFonts w:ascii="Arial" w:hAnsi="Arial"/>
          <w:b w:val="0"/>
          <w:i/>
          <w:sz w:val="19"/>
        </w:rPr>
        <w:t>KI-Token-Kontingents</w:t>
      </w:r>
      <w:r>
        <w:rPr>
          <w:rFonts w:ascii="Arial" w:hAnsi="Arial"/>
          <w:b w:val="0"/>
          <w:i w:val="0"/>
          <w:sz w:val="19"/>
        </w:rPr>
        <w:t xml:space="preserve"> als Betriebsausgabe absetzbar sei, subventioniere das Steuerrecht die Substitution; Gates schlägt deshalb eine Abgabe auf </w:t>
      </w:r>
      <w:r>
        <w:rPr>
          <w:rFonts w:ascii="Arial" w:hAnsi="Arial"/>
          <w:b w:val="0"/>
          <w:i/>
          <w:sz w:val="19"/>
        </w:rPr>
        <w:t>Roboter</w:t>
      </w:r>
      <w:r>
        <w:rPr>
          <w:rFonts w:ascii="Arial" w:hAnsi="Arial"/>
          <w:b w:val="0"/>
          <w:i w:val="0"/>
          <w:sz w:val="19"/>
        </w:rPr>
        <w:t xml:space="preserve"> und </w:t>
      </w:r>
      <w:r>
        <w:rPr>
          <w:rFonts w:ascii="Arial" w:hAnsi="Arial"/>
          <w:b w:val="0"/>
          <w:i/>
          <w:sz w:val="19"/>
        </w:rPr>
        <w:t>KI-Token</w:t>
      </w:r>
      <w:r>
        <w:rPr>
          <w:rFonts w:ascii="Arial" w:hAnsi="Arial"/>
          <w:b w:val="0"/>
          <w:i w:val="0"/>
          <w:sz w:val="19"/>
        </w:rPr>
        <w:t xml:space="preserve"> vor, deren Aufkommen in </w:t>
      </w:r>
      <w:r>
        <w:rPr>
          <w:rFonts w:ascii="Arial" w:hAnsi="Arial"/>
          <w:b w:val="0"/>
          <w:i/>
          <w:sz w:val="19"/>
        </w:rPr>
        <w:t>Umschulung</w:t>
      </w:r>
      <w:r>
        <w:rPr>
          <w:rFonts w:ascii="Arial" w:hAnsi="Arial"/>
          <w:b w:val="0"/>
          <w:i w:val="0"/>
          <w:sz w:val="19"/>
        </w:rPr>
        <w:t xml:space="preserve"> und in die </w:t>
      </w:r>
      <w:r>
        <w:rPr>
          <w:rFonts w:ascii="Arial" w:hAnsi="Arial"/>
          <w:b w:val="0"/>
          <w:i/>
          <w:sz w:val="19"/>
        </w:rPr>
        <w:t>soziale Sicherung</w:t>
      </w:r>
      <w:r>
        <w:rPr>
          <w:rFonts w:ascii="Arial" w:hAnsi="Arial"/>
          <w:b w:val="0"/>
          <w:i w:val="0"/>
          <w:sz w:val="19"/>
        </w:rPr>
        <w:t xml:space="preserve"> fließen soll. In der </w:t>
      </w:r>
      <w:r>
        <w:rPr>
          <w:rFonts w:ascii="Arial" w:hAnsi="Arial"/>
          <w:b w:val="0"/>
          <w:i/>
          <w:sz w:val="19"/>
        </w:rPr>
        <w:t>Tom's-Hardware</w:t>
      </w:r>
      <w:r>
        <w:rPr>
          <w:rFonts w:ascii="Arial" w:hAnsi="Arial"/>
          <w:b w:val="0"/>
          <w:i w:val="0"/>
          <w:sz w:val="19"/>
        </w:rPr>
        <w:t xml:space="preserve">-Zusammenfassung wird die Formel zusätzlich zugespitzt („targeted so it does not slow down the purely beneficial uses of AI, like making medicine and education cheaper"), sodass das Instrument in der Selbstdarstellung </w:t>
      </w:r>
      <w:r>
        <w:rPr>
          <w:rFonts w:ascii="Arial" w:hAnsi="Arial"/>
          <w:b w:val="0"/>
          <w:i/>
          <w:sz w:val="19"/>
        </w:rPr>
        <w:t>substitutionsbezogen</w:t>
      </w:r>
      <w:r>
        <w:rPr>
          <w:rFonts w:ascii="Arial" w:hAnsi="Arial"/>
          <w:b w:val="0"/>
          <w:i w:val="0"/>
          <w:sz w:val="19"/>
        </w:rPr>
        <w:t xml:space="preserve"> — nicht </w:t>
      </w:r>
      <w:r>
        <w:rPr>
          <w:rFonts w:ascii="Arial" w:hAnsi="Arial"/>
          <w:b w:val="0"/>
          <w:i/>
          <w:sz w:val="19"/>
        </w:rPr>
        <w:t>ergänzungsbezogen</w:t>
      </w:r>
      <w:r>
        <w:rPr>
          <w:rFonts w:ascii="Arial" w:hAnsi="Arial"/>
          <w:b w:val="0"/>
          <w:i w:val="0"/>
          <w:sz w:val="19"/>
        </w:rPr>
        <w:t xml:space="preserve"> — anknüpft. Für die in § 4.5 aufgenommene Debattenkonstellation ist der Vorstoß in dreifacher Hinsicht relevant. Erstens verbindet Gates in einer einzigen publizistischen Setzung drei Anknüpfungspfade, die die legislative US-Debatte bislang isoliert behandelt hat: bestandsorientierte Umverteilung (Sanders — </w:t>
      </w:r>
      <w:r>
        <w:rPr>
          <w:rFonts w:ascii="Arial" w:hAnsi="Arial"/>
          <w:b w:val="0"/>
          <w:i/>
          <w:sz w:val="19"/>
        </w:rPr>
        <w:t>American A.I. Sovereign Wealth Fund Act</w:t>
      </w:r>
      <w:r>
        <w:rPr>
          <w:rFonts w:ascii="Arial" w:hAnsi="Arial"/>
          <w:b w:val="0"/>
          <w:i w:val="0"/>
          <w:sz w:val="19"/>
        </w:rPr>
        <w:t xml:space="preserve">, § 4.5, Juni 2026), flussorientierte Nutzungsabgabe (Casar — </w:t>
      </w:r>
      <w:r>
        <w:rPr>
          <w:rFonts w:ascii="Arial" w:hAnsi="Arial"/>
          <w:b w:val="0"/>
          <w:i/>
          <w:sz w:val="19"/>
        </w:rPr>
        <w:t>AI Tax and Work Protection Act</w:t>
      </w:r>
      <w:r>
        <w:rPr>
          <w:rFonts w:ascii="Arial" w:hAnsi="Arial"/>
          <w:b w:val="0"/>
          <w:i w:val="0"/>
          <w:sz w:val="19"/>
        </w:rPr>
        <w:t>, § 4.5, August 2026) und arbeitsrechtliche Leitplanken (</w:t>
      </w:r>
      <w:r>
        <w:rPr>
          <w:rFonts w:ascii="Arial" w:hAnsi="Arial"/>
          <w:b w:val="0"/>
          <w:i/>
          <w:sz w:val="19"/>
        </w:rPr>
        <w:t>No Robot Bosses Act</w:t>
      </w:r>
      <w:r>
        <w:rPr>
          <w:rFonts w:ascii="Arial" w:hAnsi="Arial"/>
          <w:b w:val="0"/>
          <w:i w:val="0"/>
          <w:sz w:val="19"/>
        </w:rPr>
        <w:t xml:space="preserve">, unten, Dezember 2025); ein prominenter privatwirtschaftlicher Fürsprecher rahmt die drei Pfade damit als ein einheitliches Politik-Portfolio, was die Debatte in eine über die einzelnen Legislativ-Initiativen hinausgehende Ordnung setzt. Zweitens knüpft die </w:t>
      </w:r>
      <w:r>
        <w:rPr>
          <w:rFonts w:ascii="Arial" w:hAnsi="Arial"/>
          <w:b w:val="0"/>
          <w:i/>
          <w:sz w:val="19"/>
        </w:rPr>
        <w:t>Human-Reserved</w:t>
      </w:r>
      <w:r>
        <w:rPr>
          <w:rFonts w:ascii="Arial" w:hAnsi="Arial"/>
          <w:b w:val="0"/>
          <w:i w:val="0"/>
          <w:sz w:val="19"/>
        </w:rPr>
        <w:t xml:space="preserve">-Konstruktion an der ältesten Streitkategorie der Typ-Diskussion nach § 2.1 an — der zielgerichteten Ersatzabgabe (Typ 5) — und ergänzt sie um eine </w:t>
      </w:r>
      <w:r>
        <w:rPr>
          <w:rFonts w:ascii="Arial" w:hAnsi="Arial"/>
          <w:b w:val="0"/>
          <w:i/>
          <w:sz w:val="19"/>
        </w:rPr>
        <w:t>nicht-fiskalische</w:t>
      </w:r>
      <w:r>
        <w:rPr>
          <w:rFonts w:ascii="Arial" w:hAnsi="Arial"/>
          <w:b w:val="0"/>
          <w:i w:val="0"/>
          <w:sz w:val="19"/>
        </w:rPr>
        <w:t xml:space="preserve"> Vollzugsvariante: Statt die Substitution finanziell zu belasten, wird sie in reservierten Feldern </w:t>
      </w:r>
      <w:r>
        <w:rPr>
          <w:rFonts w:ascii="Arial" w:hAnsi="Arial"/>
          <w:b w:val="0"/>
          <w:i/>
          <w:sz w:val="19"/>
        </w:rPr>
        <w:t>untersagt</w:t>
      </w:r>
      <w:r>
        <w:rPr>
          <w:rFonts w:ascii="Arial" w:hAnsi="Arial"/>
          <w:b w:val="0"/>
          <w:i w:val="0"/>
          <w:sz w:val="19"/>
        </w:rPr>
        <w:t xml:space="preserve"> oder </w:t>
      </w:r>
      <w:r>
        <w:rPr>
          <w:rFonts w:ascii="Arial" w:hAnsi="Arial"/>
          <w:b w:val="0"/>
          <w:i/>
          <w:sz w:val="19"/>
        </w:rPr>
        <w:t>schwer erschwert</w:t>
      </w:r>
      <w:r>
        <w:rPr>
          <w:rFonts w:ascii="Arial" w:hAnsi="Arial"/>
          <w:b w:val="0"/>
          <w:i w:val="0"/>
          <w:sz w:val="19"/>
        </w:rPr>
        <w:t xml:space="preserve">. Für den in § 9.1 diskutierten Kausalattributions- und Nachweispfad heißt das, dass die Bemessungs- und Mess-Fragen von der </w:t>
      </w:r>
      <w:r>
        <w:rPr>
          <w:rFonts w:ascii="Arial" w:hAnsi="Arial"/>
          <w:b w:val="0"/>
          <w:i/>
          <w:sz w:val="19"/>
        </w:rPr>
        <w:t>Abgabe</w:t>
      </w:r>
      <w:r>
        <w:rPr>
          <w:rFonts w:ascii="Arial" w:hAnsi="Arial"/>
          <w:b w:val="0"/>
          <w:i w:val="0"/>
          <w:sz w:val="19"/>
        </w:rPr>
        <w:t xml:space="preserve">-Konstruktion auf eine </w:t>
      </w:r>
      <w:r>
        <w:rPr>
          <w:rFonts w:ascii="Arial" w:hAnsi="Arial"/>
          <w:b w:val="0"/>
          <w:i/>
          <w:sz w:val="19"/>
        </w:rPr>
        <w:t>Perimeter</w:t>
      </w:r>
      <w:r>
        <w:rPr>
          <w:rFonts w:ascii="Arial" w:hAnsi="Arial"/>
          <w:b w:val="0"/>
          <w:i w:val="0"/>
          <w:sz w:val="19"/>
        </w:rPr>
        <w:t xml:space="preserve">-Konstruktion verlagert werden — mit spiegelbildlichen Abgrenzungs- und Umgehungsproblemen: Ein „Human Reserved"-Perimeter setzt zwingend eine gesetzlich präzise Definition der geschützten Tätigkeiten voraus, ohne die er in denselben Kausalattributions-Streit gerät wie eine Ersatzabgabe nach Typ 5. Drittens verstärkt der Vorstoß die im </w:t>
      </w:r>
      <w:r>
        <w:rPr>
          <w:rFonts w:ascii="Arial" w:hAnsi="Arial"/>
          <w:b w:val="0"/>
          <w:i/>
          <w:sz w:val="19"/>
        </w:rPr>
        <w:t>OpenAI-Strategiepapier</w:t>
      </w:r>
      <w:r>
        <w:rPr>
          <w:rFonts w:ascii="Arial" w:hAnsi="Arial"/>
          <w:b w:val="0"/>
          <w:i w:val="0"/>
          <w:sz w:val="19"/>
        </w:rPr>
        <w:t xml:space="preserve"> (April 2026) angelegte, im </w:t>
      </w:r>
      <w:r>
        <w:rPr>
          <w:rFonts w:ascii="Arial" w:hAnsi="Arial"/>
          <w:b w:val="0"/>
          <w:i/>
          <w:sz w:val="19"/>
        </w:rPr>
        <w:t>OpenAI-Gegenvorschlag</w:t>
      </w:r>
      <w:r>
        <w:rPr>
          <w:rFonts w:ascii="Arial" w:hAnsi="Arial"/>
          <w:b w:val="0"/>
          <w:i w:val="0"/>
          <w:sz w:val="19"/>
        </w:rPr>
        <w:t xml:space="preserve"> (Juli 2026) präzisierte und im </w:t>
      </w:r>
      <w:r>
        <w:rPr>
          <w:rFonts w:ascii="Arial" w:hAnsi="Arial"/>
          <w:b w:val="0"/>
          <w:i/>
          <w:sz w:val="19"/>
        </w:rPr>
        <w:t>Stanford Digital Economy Lab</w:t>
      </w:r>
      <w:r>
        <w:rPr>
          <w:rFonts w:ascii="Arial" w:hAnsi="Arial"/>
          <w:b w:val="0"/>
          <w:i w:val="0"/>
          <w:sz w:val="19"/>
        </w:rPr>
        <w:t xml:space="preserve">-Statement („We Must Act Now", 13. Juli 2026) getragene Bewegung, dass zentrale US-Tech-Persönlichkeiten die politische Regulierung ihres eigenen Geschäftsmodells inzwischen aktiv fordern — allerdings mit einer inhaltlich weiterreichenden Konstruktion als OpenAI (Human-Reserved-Perimeter, tokenpreis-basierte Abgabe, verkürzte Arbeitszeit) und ohne den bei OpenAI enthaltenen Selbstverpflichtungs-Ansatz (5-%-Equity-Dotierung). Für die Deutschland-These (§ 8.3) ist der Vorstoß ein Referenzpunkt in doppelter Richtung: Die </w:t>
      </w:r>
      <w:r>
        <w:rPr>
          <w:rFonts w:ascii="Arial" w:hAnsi="Arial"/>
          <w:b w:val="0"/>
          <w:i/>
          <w:sz w:val="19"/>
        </w:rPr>
        <w:t>Token-basierte</w:t>
      </w:r>
      <w:r>
        <w:rPr>
          <w:rFonts w:ascii="Arial" w:hAnsi="Arial"/>
          <w:b w:val="0"/>
          <w:i w:val="0"/>
          <w:sz w:val="19"/>
        </w:rPr>
        <w:t xml:space="preserve"> Abgabe an inländischer KI-Nutzung (Casar-Konstruktion in § 4.5) findet mit Gates einen prominenten publizistischen Fürsprecher, was die europäische Anknüpfungsfähigkeit einer wertschöpfungs- statt bestandsorientierten Zugriffslogik (§ 5.1, § 8.3) im transatlantischen Diskurs zusätzlich stützt; zugleich führt das </w:t>
      </w:r>
      <w:r>
        <w:rPr>
          <w:rFonts w:ascii="Arial" w:hAnsi="Arial"/>
          <w:b w:val="0"/>
          <w:i/>
          <w:sz w:val="19"/>
        </w:rPr>
        <w:t>Human-Reserved</w:t>
      </w:r>
      <w:r>
        <w:rPr>
          <w:rFonts w:ascii="Arial" w:hAnsi="Arial"/>
          <w:b w:val="0"/>
          <w:i w:val="0"/>
          <w:sz w:val="19"/>
        </w:rPr>
        <w:t xml:space="preserve">-Konzept eine bislang in der deutschen Debatte weitgehend unadressierte </w:t>
      </w:r>
      <w:r>
        <w:rPr>
          <w:rFonts w:ascii="Arial" w:hAnsi="Arial"/>
          <w:b w:val="0"/>
          <w:i/>
          <w:sz w:val="19"/>
        </w:rPr>
        <w:t>ordnungspolitische</w:t>
      </w:r>
      <w:r>
        <w:rPr>
          <w:rFonts w:ascii="Arial" w:hAnsi="Arial"/>
          <w:b w:val="0"/>
          <w:i w:val="0"/>
          <w:sz w:val="19"/>
        </w:rPr>
        <w:t xml:space="preserve"> Kategorie ein — die politische Sicherung menschlicher Zuständigkeit für bestimmte Tätigkeitsfelder —, deren europäische Aufnahme (etwa in der GKV-Regelversorgung, im Bildungswesen oder im Justizvollzug) für die in § 7 (Gesundheit) und § 8.4 (Systemstabilität) skizzierten Zusammenhänge einen weiteren Prüfstein setzen würde. Ob und in welcher Form der Gates-Vorstoß in konkrete Gesetzentwürfe übersetzt wird, ist offen; publizistisch schließt er die im Papier bereits dokumentierte Sequenz (Sanders → OpenAI → Casar → Bloomberg-Editorial) um eine dritte private Politikstimme, deren </w:t>
      </w:r>
      <w:r>
        <w:rPr>
          <w:rFonts w:ascii="Arial" w:hAnsi="Arial"/>
          <w:b w:val="0"/>
          <w:i/>
          <w:sz w:val="19"/>
        </w:rPr>
        <w:t>Doppelinstrument</w:t>
      </w:r>
      <w:r>
        <w:rPr>
          <w:rFonts w:ascii="Arial" w:hAnsi="Arial"/>
          <w:b w:val="0"/>
          <w:i w:val="0"/>
          <w:sz w:val="19"/>
        </w:rPr>
        <w:t xml:space="preserve"> (Perimeter plus Abgabe) über die bislang referierten Vorschläge hinausgeht.</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pPr>
        <w:jc w:val="both"/>
      </w:pPr>
      <w:r>
        <w:rPr>
          <w:rFonts w:ascii="Arial" w:hAnsi="Arial"/>
          <w:b/>
          <w:i w:val="0"/>
          <w:sz w:val="19"/>
        </w:rPr>
        <w:t>SPD-Bundestagsfraktion — Klausurbeschluss zu KI-Gewinnen und Sozialstaatsfinanzierung (4. September 2026):</w:t>
      </w:r>
      <w:r>
        <w:rPr>
          <w:rFonts w:ascii="Arial" w:hAnsi="Arial"/>
          <w:b w:val="0"/>
          <w:i w:val="0"/>
          <w:sz w:val="19"/>
        </w:rPr>
        <w:t xml:space="preserve"> Zwei Tage nach dem </w:t>
      </w:r>
      <w:r>
        <w:rPr>
          <w:rFonts w:ascii="Arial" w:hAnsi="Arial"/>
          <w:b w:val="0"/>
          <w:i/>
          <w:sz w:val="19"/>
        </w:rPr>
        <w:t>G20</w:t>
      </w:r>
      <w:r>
        <w:rPr>
          <w:rFonts w:ascii="Arial" w:hAnsi="Arial"/>
          <w:b w:val="0"/>
          <w:i w:val="0"/>
          <w:sz w:val="19"/>
        </w:rPr>
        <w:t>-</w:t>
      </w:r>
      <w:r>
        <w:rPr>
          <w:rFonts w:ascii="Arial" w:hAnsi="Arial"/>
          <w:b w:val="0"/>
          <w:i/>
          <w:sz w:val="19"/>
        </w:rPr>
        <w:t>Carolina-Principles</w:t>
      </w:r>
      <w:r>
        <w:rPr>
          <w:rFonts w:ascii="Arial" w:hAnsi="Arial"/>
          <w:b w:val="0"/>
          <w:i w:val="0"/>
          <w:sz w:val="19"/>
        </w:rPr>
        <w:t xml:space="preserve">-Vorstoß der US-Regierung (unten in diesem Abschnitt) und drei Wochen nach der ausformulierten Regierungsantwort auf die AfD-Kleine-Anfrage vom 20. August 2026 (§ 4.2) hat die </w:t>
      </w:r>
      <w:r>
        <w:rPr>
          <w:rFonts w:ascii="Arial" w:hAnsi="Arial"/>
          <w:b w:val="0"/>
          <w:i/>
          <w:sz w:val="19"/>
        </w:rPr>
        <w:t>SPD-Bundestagsfraktion</w:t>
      </w:r>
      <w:r>
        <w:rPr>
          <w:rFonts w:ascii="Arial" w:hAnsi="Arial"/>
          <w:b w:val="0"/>
          <w:i w:val="0"/>
          <w:sz w:val="19"/>
        </w:rPr>
        <w:t xml:space="preserve"> nach übereinstimmender Berichterstattung von </w:t>
      </w:r>
      <w:r>
        <w:rPr>
          <w:rFonts w:ascii="Arial" w:hAnsi="Arial"/>
          <w:b w:val="0"/>
          <w:i/>
          <w:sz w:val="19"/>
        </w:rPr>
        <w:t>ms-aktuell.de</w:t>
      </w:r>
      <w:r>
        <w:rPr>
          <w:rFonts w:ascii="Arial" w:hAnsi="Arial"/>
          <w:b w:val="0"/>
          <w:i w:val="0"/>
          <w:sz w:val="19"/>
        </w:rPr>
        <w:t xml:space="preserve"> (</w:t>
      </w:r>
      <w:r>
        <w:rPr>
          <w:rFonts w:ascii="Arial" w:hAnsi="Arial"/>
          <w:b w:val="0"/>
          <w:i/>
          <w:sz w:val="19"/>
        </w:rPr>
        <w:t>„SPD will KI-Gewinne für Sozialstaat stärker heranziehen"</w:t>
      </w:r>
      <w:r>
        <w:rPr>
          <w:rFonts w:ascii="Arial" w:hAnsi="Arial"/>
          <w:b w:val="0"/>
          <w:i w:val="0"/>
          <w:sz w:val="19"/>
        </w:rPr>
        <w:t xml:space="preserve">, 4. September 2026), </w:t>
      </w:r>
      <w:r>
        <w:rPr>
          <w:rFonts w:ascii="Arial" w:hAnsi="Arial"/>
          <w:b w:val="0"/>
          <w:i/>
          <w:sz w:val="19"/>
        </w:rPr>
        <w:t>finanzen.at</w:t>
      </w:r>
      <w:r>
        <w:rPr>
          <w:rFonts w:ascii="Arial" w:hAnsi="Arial"/>
          <w:b w:val="0"/>
          <w:i w:val="0"/>
          <w:sz w:val="19"/>
        </w:rPr>
        <w:t xml:space="preserve"> (</w:t>
      </w:r>
      <w:r>
        <w:rPr>
          <w:rFonts w:ascii="Arial" w:hAnsi="Arial"/>
          <w:b w:val="0"/>
          <w:i/>
          <w:sz w:val="19"/>
        </w:rPr>
        <w:t>„SPD-Fraktion: KI-Gewinne klug und gerecht verteilen"</w:t>
      </w:r>
      <w:r>
        <w:rPr>
          <w:rFonts w:ascii="Arial" w:hAnsi="Arial"/>
          <w:b w:val="0"/>
          <w:i w:val="0"/>
          <w:sz w:val="19"/>
        </w:rPr>
        <w:t xml:space="preserve">, 4. September 2026), </w:t>
      </w:r>
      <w:r>
        <w:rPr>
          <w:rFonts w:ascii="Arial" w:hAnsi="Arial"/>
          <w:b w:val="0"/>
          <w:i/>
          <w:sz w:val="19"/>
        </w:rPr>
        <w:t>nachrichten-heute.net</w:t>
      </w:r>
      <w:r>
        <w:rPr>
          <w:rFonts w:ascii="Arial" w:hAnsi="Arial"/>
          <w:b w:val="0"/>
          <w:i w:val="0"/>
          <w:sz w:val="19"/>
        </w:rPr>
        <w:t xml:space="preserve"> (</w:t>
      </w:r>
      <w:r>
        <w:rPr>
          <w:rFonts w:ascii="Arial" w:hAnsi="Arial"/>
          <w:b w:val="0"/>
          <w:i/>
          <w:sz w:val="19"/>
        </w:rPr>
        <w:t>„SPD will KI-Gewinne stärker besteuern"</w:t>
      </w:r>
      <w:r>
        <w:rPr>
          <w:rFonts w:ascii="Arial" w:hAnsi="Arial"/>
          <w:b w:val="0"/>
          <w:i w:val="0"/>
          <w:sz w:val="19"/>
        </w:rPr>
        <w:t xml:space="preserve">, 4. September 2026), </w:t>
      </w:r>
      <w:r>
        <w:rPr>
          <w:rFonts w:ascii="Arial" w:hAnsi="Arial"/>
          <w:b w:val="0"/>
          <w:i/>
          <w:sz w:val="19"/>
        </w:rPr>
        <w:t>it-fachportal.de</w:t>
      </w:r>
      <w:r>
        <w:rPr>
          <w:rFonts w:ascii="Arial" w:hAnsi="Arial"/>
          <w:b w:val="0"/>
          <w:i w:val="0"/>
          <w:sz w:val="19"/>
        </w:rPr>
        <w:t xml:space="preserve"> (4. September 2026), </w:t>
      </w:r>
      <w:r>
        <w:rPr>
          <w:rFonts w:ascii="Arial" w:hAnsi="Arial"/>
          <w:b w:val="0"/>
          <w:i/>
          <w:sz w:val="19"/>
        </w:rPr>
        <w:t>it-journal.de</w:t>
      </w:r>
      <w:r>
        <w:rPr>
          <w:rFonts w:ascii="Arial" w:hAnsi="Arial"/>
          <w:b w:val="0"/>
          <w:i w:val="0"/>
          <w:sz w:val="19"/>
        </w:rPr>
        <w:t xml:space="preserve"> (4. September 2026) und </w:t>
      </w:r>
      <w:r>
        <w:rPr>
          <w:rFonts w:ascii="Arial" w:hAnsi="Arial"/>
          <w:b w:val="0"/>
          <w:i/>
          <w:sz w:val="19"/>
        </w:rPr>
        <w:t>city-news.de</w:t>
      </w:r>
      <w:r>
        <w:rPr>
          <w:rFonts w:ascii="Arial" w:hAnsi="Arial"/>
          <w:b w:val="0"/>
          <w:i w:val="0"/>
          <w:sz w:val="19"/>
        </w:rPr>
        <w:t xml:space="preserve"> (4. September 2026) zum Abschluss ihrer zweitägigen Klausurtagung in Berlin (3./4. September 2026) ein Positionspapier zur wirtschaftlichen und fiskalischen Einordnung der KI-Nutzung verabschiedet. Fraktionsvorsitzender </w:t>
      </w:r>
      <w:r>
        <w:rPr>
          <w:rFonts w:ascii="Arial" w:hAnsi="Arial"/>
          <w:b w:val="0"/>
          <w:i/>
          <w:sz w:val="19"/>
        </w:rPr>
        <w:t>Matthias Miersch</w:t>
      </w:r>
      <w:r>
        <w:rPr>
          <w:rFonts w:ascii="Arial" w:hAnsi="Arial"/>
          <w:b w:val="0"/>
          <w:i w:val="0"/>
          <w:sz w:val="19"/>
        </w:rPr>
        <w:t xml:space="preserve"> hat die Kernthesen gegenüber der </w:t>
      </w:r>
      <w:r>
        <w:rPr>
          <w:rFonts w:ascii="Arial" w:hAnsi="Arial"/>
          <w:b w:val="0"/>
          <w:i/>
          <w:sz w:val="19"/>
        </w:rPr>
        <w:t>Rheinischen Post</w:t>
      </w:r>
      <w:r>
        <w:rPr>
          <w:rFonts w:ascii="Arial" w:hAnsi="Arial"/>
          <w:b w:val="0"/>
          <w:i w:val="0"/>
          <w:sz w:val="19"/>
        </w:rPr>
        <w:t xml:space="preserve"> mit dem Leitzitat referiert: „KI könne Arbeitsplätze besser machen. Die Gewinne des Fortschritts müssten bei allen ankommen." (Konjunktivpflicht nach § 4.2 Claude.md, da der Papiertext zum Redaktionsschluss nicht vollständig öffentlich vorliegt.) Substantiell führt das Papier vier Instrumente zusammen: Erstens eine ausdrückliche </w:t>
      </w:r>
      <w:r>
        <w:rPr>
          <w:rFonts w:ascii="Arial" w:hAnsi="Arial"/>
          <w:b w:val="0"/>
          <w:i/>
          <w:sz w:val="19"/>
        </w:rPr>
        <w:t>Änderung der Gewerbesteuer-Bemessung</w:t>
      </w:r>
      <w:r>
        <w:rPr>
          <w:rFonts w:ascii="Arial" w:hAnsi="Arial"/>
          <w:b w:val="0"/>
          <w:i w:val="0"/>
          <w:sz w:val="19"/>
        </w:rPr>
        <w:t xml:space="preserve"> mit dem Ziel, Kommunen an den Standorten von </w:t>
      </w:r>
      <w:r>
        <w:rPr>
          <w:rFonts w:ascii="Arial" w:hAnsi="Arial"/>
          <w:b w:val="0"/>
          <w:i/>
          <w:sz w:val="19"/>
        </w:rPr>
        <w:t>Rechenzentren</w:t>
      </w:r>
      <w:r>
        <w:rPr>
          <w:rFonts w:ascii="Arial" w:hAnsi="Arial"/>
          <w:b w:val="0"/>
          <w:i w:val="0"/>
          <w:sz w:val="19"/>
        </w:rPr>
        <w:t xml:space="preserve"> stärker an der dort realisierten KI-Wertschöpfung zu beteiligen („Deshalb werden wir die Bemessung der Gewerbesteuer hier ändern"); zweitens eine höhere Besteuerung großer </w:t>
      </w:r>
      <w:r>
        <w:rPr>
          <w:rFonts w:ascii="Arial" w:hAnsi="Arial"/>
          <w:b w:val="0"/>
          <w:i/>
          <w:sz w:val="19"/>
        </w:rPr>
        <w:t>Tech-Konzerne</w:t>
      </w:r>
      <w:r>
        <w:rPr>
          <w:rFonts w:ascii="Arial" w:hAnsi="Arial"/>
          <w:b w:val="0"/>
          <w:i w:val="0"/>
          <w:sz w:val="19"/>
        </w:rPr>
        <w:t xml:space="preserve"> („large tech companies fairly taxed"); drittens die Verbreiterung der Sozialstaats-Finanzierungsbasis über Kapitaleinkünfte, Produktivitätsgewinne und weitere Wertschöpfungsquellen, wenn nach einer KI-Einführung Lohnsteuer-Einnahmen wegbrächen; viertens eine — nach den vorliegenden Rezeptionen erstmalige — deployerseitige </w:t>
      </w:r>
      <w:r>
        <w:rPr>
          <w:rFonts w:ascii="Arial" w:hAnsi="Arial"/>
          <w:b w:val="0"/>
          <w:i/>
          <w:sz w:val="19"/>
        </w:rPr>
        <w:t>KI-Ausbildungsgarantie</w:t>
      </w:r>
      <w:r>
        <w:rPr>
          <w:rFonts w:ascii="Arial" w:hAnsi="Arial"/>
          <w:b w:val="0"/>
          <w:i w:val="0"/>
          <w:sz w:val="19"/>
        </w:rPr>
        <w:t xml:space="preserve"> für größere Betriebe: „Sinkt nach einer KI-Einführung die Zahl qualifizierter Einstiegsstellen deutlich, müsse der Betrieb bezahlte Berufseinstiegsprogramme, zusätzliche Ausbildungsplätze oder vergleichbare Lernstellen schaffen. Tue er das nicht, zahle er in einen branchenbezogenen </w:t>
      </w:r>
      <w:r>
        <w:rPr>
          <w:rFonts w:ascii="Arial" w:hAnsi="Arial"/>
          <w:b w:val="0"/>
          <w:i/>
          <w:sz w:val="19"/>
        </w:rPr>
        <w:t>Nachwuchsfonds</w:t>
      </w:r>
      <w:r>
        <w:rPr>
          <w:rFonts w:ascii="Arial" w:hAnsi="Arial"/>
          <w:b w:val="0"/>
          <w:i w:val="0"/>
          <w:sz w:val="19"/>
        </w:rPr>
        <w:t xml:space="preserve"> ein." Für die in diesem Abschnitt aufgenommene Debattenkonstellation ist der Vorstoß in vier Hinsichten bemerkenswert. Erstens dokumentiert er die erste in einem offiziellen Fraktionsbeschluss festgehaltene Positionierung einer </w:t>
      </w:r>
      <w:r>
        <w:rPr>
          <w:rFonts w:ascii="Arial" w:hAnsi="Arial"/>
          <w:b w:val="0"/>
          <w:i/>
          <w:sz w:val="19"/>
        </w:rPr>
        <w:t>regierungstragenden</w:t>
      </w:r>
      <w:r>
        <w:rPr>
          <w:rFonts w:ascii="Arial" w:hAnsi="Arial"/>
          <w:b w:val="0"/>
          <w:i w:val="0"/>
          <w:sz w:val="19"/>
        </w:rPr>
        <w:t xml:space="preserve"> Bundestagsfraktion zu KI-spezifischen Fiskal- und Ausbildungsinstrumenten und markiert damit auf der innerdeutschen Ebene eine merkliche Verschiebung gegenüber der noch dreiundzwanzig Tage älteren, empirisch-abwartenden Antwort der </w:t>
      </w:r>
      <w:r>
        <w:rPr>
          <w:rFonts w:ascii="Arial" w:hAnsi="Arial"/>
          <w:b w:val="0"/>
          <w:i/>
          <w:sz w:val="19"/>
        </w:rPr>
        <w:t>Bundesregierung</w:t>
      </w:r>
      <w:r>
        <w:rPr>
          <w:rFonts w:ascii="Arial" w:hAnsi="Arial"/>
          <w:b w:val="0"/>
          <w:i w:val="0"/>
          <w:sz w:val="19"/>
        </w:rPr>
        <w:t xml:space="preserve"> auf die AfD-Kleine-Anfrage (§ 4.2, 20. August 2026), die fiskalische Instrumente ausdrücklich </w:t>
      </w:r>
      <w:r>
        <w:rPr>
          <w:rFonts w:ascii="Arial" w:hAnsi="Arial"/>
          <w:b w:val="0"/>
          <w:i/>
          <w:sz w:val="19"/>
        </w:rPr>
        <w:t>nicht</w:t>
      </w:r>
      <w:r>
        <w:rPr>
          <w:rFonts w:ascii="Arial" w:hAnsi="Arial"/>
          <w:b w:val="0"/>
          <w:i w:val="0"/>
          <w:sz w:val="19"/>
        </w:rPr>
        <w:t xml:space="preserve"> adressiert. Zweitens präzisiert die </w:t>
      </w:r>
      <w:r>
        <w:rPr>
          <w:rFonts w:ascii="Arial" w:hAnsi="Arial"/>
          <w:b w:val="0"/>
          <w:i/>
          <w:sz w:val="19"/>
        </w:rPr>
        <w:t>Gewerbesteuer</w:t>
      </w:r>
      <w:r>
        <w:rPr>
          <w:rFonts w:ascii="Arial" w:hAnsi="Arial"/>
          <w:b w:val="0"/>
          <w:i w:val="0"/>
          <w:sz w:val="19"/>
        </w:rPr>
        <w:t xml:space="preserve">-Anknüpfung an Rechenzentren die im Papier bereits als </w:t>
      </w:r>
      <w:r>
        <w:rPr>
          <w:rFonts w:ascii="Arial" w:hAnsi="Arial"/>
          <w:b w:val="0"/>
          <w:i/>
          <w:sz w:val="19"/>
        </w:rPr>
        <w:t>Plattform-Digitalabgabe</w:t>
      </w:r>
      <w:r>
        <w:rPr>
          <w:rFonts w:ascii="Arial" w:hAnsi="Arial"/>
          <w:b w:val="0"/>
          <w:i w:val="0"/>
          <w:sz w:val="19"/>
        </w:rPr>
        <w:t xml:space="preserve"> dokumentierte Weimer-Initiative (§ 4.4, Februar–April 2026) und die im Koalitionsausschuss verhandelten Wertschöpfungs­überlegungen (§ 5.1) um eine bereits im deutschen Steuerrecht verankerte Bemessungsgrundlage, die sich in den bestehenden kommunalen Vollzug einfügt, ohne eine neue Steuer im Sinne von Art. 105 GG zu erfordern (§ 4.3, verfassungsrechtliche Fragen); der Zugriffspunkt bleibt damit strukturell näher an den bestehenden Ertrag- und Standortabgaben als an einer bundesrechtlichen Roboter- oder KI-Nutzungsabgabe. Drittens setzt die </w:t>
      </w:r>
      <w:r>
        <w:rPr>
          <w:rFonts w:ascii="Arial" w:hAnsi="Arial"/>
          <w:b w:val="0"/>
          <w:i/>
          <w:sz w:val="19"/>
        </w:rPr>
        <w:t>KI-Ausbildungsgarantie mit Nachwuchsfonds</w:t>
      </w:r>
      <w:r>
        <w:rPr>
          <w:rFonts w:ascii="Arial" w:hAnsi="Arial"/>
          <w:b w:val="0"/>
          <w:i w:val="0"/>
          <w:sz w:val="19"/>
        </w:rPr>
        <w:t xml:space="preserve"> auf der </w:t>
      </w:r>
      <w:r>
        <w:rPr>
          <w:rFonts w:ascii="Arial" w:hAnsi="Arial"/>
          <w:b w:val="0"/>
          <w:i/>
          <w:sz w:val="19"/>
        </w:rPr>
        <w:t>Deployer</w:t>
      </w:r>
      <w:r>
        <w:rPr>
          <w:rFonts w:ascii="Arial" w:hAnsi="Arial"/>
          <w:b w:val="0"/>
          <w:i w:val="0"/>
          <w:sz w:val="19"/>
        </w:rPr>
        <w:t xml:space="preserve">-Ebene an — der Betrieb, der KI einsetzt, ist Adressat — und schließt inhaltlich unmittelbar an den </w:t>
      </w:r>
      <w:r>
        <w:rPr>
          <w:rFonts w:ascii="Arial" w:hAnsi="Arial"/>
          <w:b w:val="0"/>
          <w:i/>
          <w:sz w:val="19"/>
        </w:rPr>
        <w:t>AI Tax and Work Protection Act</w:t>
      </w:r>
      <w:r>
        <w:rPr>
          <w:rFonts w:ascii="Arial" w:hAnsi="Arial"/>
          <w:b w:val="0"/>
          <w:i w:val="0"/>
          <w:sz w:val="19"/>
        </w:rPr>
        <w:t xml:space="preserve"> der US-Repräsentanten </w:t>
      </w:r>
      <w:r>
        <w:rPr>
          <w:rFonts w:ascii="Arial" w:hAnsi="Arial"/>
          <w:b w:val="0"/>
          <w:i/>
          <w:sz w:val="19"/>
        </w:rPr>
        <w:t>Casar/Foushee/Jacobs</w:t>
      </w:r>
      <w:r>
        <w:rPr>
          <w:rFonts w:ascii="Arial" w:hAnsi="Arial"/>
          <w:b w:val="0"/>
          <w:i w:val="0"/>
          <w:sz w:val="19"/>
        </w:rPr>
        <w:t xml:space="preserve"> (§ 4.5, 7. August 2026) an, dessen </w:t>
      </w:r>
      <w:r>
        <w:rPr>
          <w:rFonts w:ascii="Arial" w:hAnsi="Arial"/>
          <w:b w:val="0"/>
          <w:i/>
          <w:sz w:val="19"/>
        </w:rPr>
        <w:t>whichever-is-higher</w:t>
      </w:r>
      <w:r>
        <w:rPr>
          <w:rFonts w:ascii="Arial" w:hAnsi="Arial"/>
          <w:b w:val="0"/>
          <w:i w:val="0"/>
          <w:sz w:val="19"/>
        </w:rPr>
        <w:t xml:space="preserve">-Konstruktion ebenfalls die Substitutionsentscheidung des Anwenders belastet, sowie an die südkoreanische Deployer-Beitragsgesetzgebung (§ 6.1); anders als bei Casar wird das Aufkommen jedoch nicht in einen bundesweiten Umverteilungsfonds, sondern in </w:t>
      </w:r>
      <w:r>
        <w:rPr>
          <w:rFonts w:ascii="Arial" w:hAnsi="Arial"/>
          <w:b w:val="0"/>
          <w:i/>
          <w:sz w:val="19"/>
        </w:rPr>
        <w:t>branchenbezogene</w:t>
      </w:r>
      <w:r>
        <w:rPr>
          <w:rFonts w:ascii="Arial" w:hAnsi="Arial"/>
          <w:b w:val="0"/>
          <w:i w:val="0"/>
          <w:sz w:val="19"/>
        </w:rPr>
        <w:t xml:space="preserve"> Nachwuchsstrukturen geleitet, was den Vorstoß nahe an die Logik der deutschen Sozialpartnerschaft und der Umlagesysteme in einzelnen Branchen (Bauwirtschaft, Winter-/Schlechtwettergeld, Insolvenzgeldumlage) rückt. Viertens fügt der Vorstoß der in Kapitel 8 entwickelten Deutschland-These (§ 8.3) einen innerdeutschen Referenzpunkt hinzu: Die Kombination aus </w:t>
      </w:r>
      <w:r>
        <w:rPr>
          <w:rFonts w:ascii="Arial" w:hAnsi="Arial"/>
          <w:b w:val="0"/>
          <w:i/>
          <w:sz w:val="19"/>
        </w:rPr>
        <w:t>Standort</w:t>
      </w:r>
      <w:r>
        <w:rPr>
          <w:rFonts w:ascii="Arial" w:hAnsi="Arial"/>
          <w:b w:val="0"/>
          <w:i w:val="0"/>
          <w:sz w:val="19"/>
        </w:rPr>
        <w:t xml:space="preserve">-Anknüpfung (Gewerbesteuer bei Rechenzentren), </w:t>
      </w:r>
      <w:r>
        <w:rPr>
          <w:rFonts w:ascii="Arial" w:hAnsi="Arial"/>
          <w:b w:val="0"/>
          <w:i/>
          <w:sz w:val="19"/>
        </w:rPr>
        <w:t>Deployer</w:t>
      </w:r>
      <w:r>
        <w:rPr>
          <w:rFonts w:ascii="Arial" w:hAnsi="Arial"/>
          <w:b w:val="0"/>
          <w:i w:val="0"/>
          <w:sz w:val="19"/>
        </w:rPr>
        <w:t xml:space="preserve">-Verpflichtung (Ausbildungsgarantie mit Nachwuchsfonds) und Verbreiterung der Sozialstaats-Finanzierungsbasis (Wertschöpfung, Kapitaleinkünfte) folgt konzeptionell einer wertschöpfungs- statt bestandsorientierten Zugriffslogik und rückt damit näher an die im Papier präferierte Kombination aus Wertschöpfungsabgabe (§ 5.1) und Teilhabefonds (§ 5.4, § 8.3) als an die Sanders-Bestandslogik des </w:t>
      </w:r>
      <w:r>
        <w:rPr>
          <w:rFonts w:ascii="Arial" w:hAnsi="Arial"/>
          <w:b w:val="0"/>
          <w:i/>
          <w:sz w:val="19"/>
        </w:rPr>
        <w:t>American A.I. Sovereign Wealth Fund Act</w:t>
      </w:r>
      <w:r>
        <w:rPr>
          <w:rFonts w:ascii="Arial" w:hAnsi="Arial"/>
          <w:b w:val="0"/>
          <w:i w:val="0"/>
          <w:sz w:val="19"/>
        </w:rPr>
        <w:t xml:space="preserve"> (§ 4.5, Juni 2026). Ob und in welcher Form das Papier in konkrete Gesetzentwürfe übersetzt wird, ist offen; als Fraktionsbeschluss einer regierungstragenden Partei entfaltet er zunächst innerkoalitionäre Bindungswirkung und dokumentiert, dass die in § 4.4 (Plattform-Digitalabgabe), § 5.1 (Wertschöpfungsabgabe) und § 8.3 (Teilhabefonds) skizzierten Bausteine erstmals in einer offiziellen Fraktionslinie zusammengeführt worden sind.</w:t>
      </w:r>
    </w:p>
    <w:p>
      <w:pPr>
        <w:jc w:val="both"/>
      </w:pPr>
      <w:r>
        <w:rPr>
          <w:rFonts w:ascii="Arial" w:hAnsi="Arial"/>
          <w:b/>
          <w:i w:val="0"/>
          <w:sz w:val="19"/>
        </w:rPr>
        <w:t>Bundeskabinett — Regierungsentwurf zur Gewerbesteuer-Zerlegung bei Rechenzentren im *Einkommensteuerreformgesetz 2027* (Kabinettsbefassung 2. September 2026):</w:t>
      </w:r>
      <w:r>
        <w:rPr>
          <w:rFonts w:ascii="Arial" w:hAnsi="Arial"/>
          <w:b w:val="0"/>
          <w:i w:val="0"/>
          <w:sz w:val="19"/>
        </w:rPr>
        <w:t xml:space="preserve"> Zwei Tage vor dem oben referierten </w:t>
      </w:r>
      <w:r>
        <w:rPr>
          <w:rFonts w:ascii="Arial" w:hAnsi="Arial"/>
          <w:b w:val="0"/>
          <w:i/>
          <w:sz w:val="19"/>
        </w:rPr>
        <w:t>SPD-Klausurbeschluss</w:t>
      </w:r>
      <w:r>
        <w:rPr>
          <w:rFonts w:ascii="Arial" w:hAnsi="Arial"/>
          <w:b w:val="0"/>
          <w:i w:val="0"/>
          <w:sz w:val="19"/>
        </w:rPr>
        <w:t xml:space="preserve"> und zeitgleich zur Positionierung des </w:t>
      </w:r>
      <w:r>
        <w:rPr>
          <w:rFonts w:ascii="Arial" w:hAnsi="Arial"/>
          <w:b w:val="0"/>
          <w:i/>
          <w:sz w:val="19"/>
        </w:rPr>
        <w:t>Bundesverbandes Digitale Wirtschaft</w:t>
      </w:r>
      <w:r>
        <w:rPr>
          <w:rFonts w:ascii="Arial" w:hAnsi="Arial"/>
          <w:b w:val="0"/>
          <w:i w:val="0"/>
          <w:sz w:val="19"/>
        </w:rPr>
        <w:t xml:space="preserve"> hat die </w:t>
      </w:r>
      <w:r>
        <w:rPr>
          <w:rFonts w:ascii="Arial" w:hAnsi="Arial"/>
          <w:b w:val="0"/>
          <w:i/>
          <w:sz w:val="19"/>
        </w:rPr>
        <w:t>Bundesregierung</w:t>
      </w:r>
      <w:r>
        <w:rPr>
          <w:rFonts w:ascii="Arial" w:hAnsi="Arial"/>
          <w:b w:val="0"/>
          <w:i w:val="0"/>
          <w:sz w:val="19"/>
        </w:rPr>
        <w:t xml:space="preserve"> auf der Grundlage eines </w:t>
      </w:r>
      <w:r>
        <w:rPr>
          <w:rFonts w:ascii="Arial" w:hAnsi="Arial"/>
          <w:b w:val="0"/>
          <w:i/>
          <w:sz w:val="19"/>
        </w:rPr>
        <w:t>Regierungsentwurfs</w:t>
      </w:r>
      <w:r>
        <w:rPr>
          <w:rFonts w:ascii="Arial" w:hAnsi="Arial"/>
          <w:b w:val="0"/>
          <w:i w:val="0"/>
          <w:sz w:val="19"/>
        </w:rPr>
        <w:t xml:space="preserve"> aus dem </w:t>
      </w:r>
      <w:r>
        <w:rPr>
          <w:rFonts w:ascii="Arial" w:hAnsi="Arial"/>
          <w:b w:val="0"/>
          <w:i/>
          <w:sz w:val="19"/>
        </w:rPr>
        <w:t>Bundesministerium der Finanzen</w:t>
      </w:r>
      <w:r>
        <w:rPr>
          <w:rFonts w:ascii="Arial" w:hAnsi="Arial"/>
          <w:b w:val="0"/>
          <w:i w:val="0"/>
          <w:sz w:val="19"/>
        </w:rPr>
        <w:t xml:space="preserve"> vom 18. August 2026 in der Kabinettssitzung am </w:t>
      </w:r>
      <w:r>
        <w:rPr>
          <w:rFonts w:ascii="Arial" w:hAnsi="Arial"/>
          <w:b w:val="0"/>
          <w:i/>
          <w:sz w:val="19"/>
        </w:rPr>
        <w:t>2. September 2026</w:t>
      </w:r>
      <w:r>
        <w:rPr>
          <w:rFonts w:ascii="Arial" w:hAnsi="Arial"/>
          <w:b w:val="0"/>
          <w:i w:val="0"/>
          <w:sz w:val="19"/>
        </w:rPr>
        <w:t xml:space="preserve"> nach übereinstimmender Berichterstattung von </w:t>
      </w:r>
      <w:r>
        <w:rPr>
          <w:rFonts w:ascii="Arial" w:hAnsi="Arial"/>
          <w:b w:val="0"/>
          <w:i/>
          <w:sz w:val="19"/>
        </w:rPr>
        <w:t>heise online</w:t>
      </w:r>
      <w:r>
        <w:rPr>
          <w:rFonts w:ascii="Arial" w:hAnsi="Arial"/>
          <w:b w:val="0"/>
          <w:i w:val="0"/>
          <w:sz w:val="19"/>
        </w:rPr>
        <w:t xml:space="preserve"> (</w:t>
      </w:r>
      <w:r>
        <w:rPr>
          <w:rFonts w:ascii="Arial" w:hAnsi="Arial"/>
          <w:b w:val="0"/>
          <w:i/>
          <w:sz w:val="19"/>
        </w:rPr>
        <w:t>„Steuer-Coup gegen Bürgerproteste: Milliarden-Umschichtung für Rechenzentren"</w:t>
      </w:r>
      <w:r>
        <w:rPr>
          <w:rFonts w:ascii="Arial" w:hAnsi="Arial"/>
          <w:b w:val="0"/>
          <w:i w:val="0"/>
          <w:sz w:val="19"/>
        </w:rPr>
        <w:t xml:space="preserve">, 3. September 2026), </w:t>
      </w:r>
      <w:r>
        <w:rPr>
          <w:rFonts w:ascii="Arial" w:hAnsi="Arial"/>
          <w:b w:val="0"/>
          <w:i/>
          <w:sz w:val="19"/>
        </w:rPr>
        <w:t>wirtschaft-tv.com</w:t>
      </w:r>
      <w:r>
        <w:rPr>
          <w:rFonts w:ascii="Arial" w:hAnsi="Arial"/>
          <w:b w:val="0"/>
          <w:i w:val="0"/>
          <w:sz w:val="19"/>
        </w:rPr>
        <w:t xml:space="preserve"> (</w:t>
      </w:r>
      <w:r>
        <w:rPr>
          <w:rFonts w:ascii="Arial" w:hAnsi="Arial"/>
          <w:b w:val="0"/>
          <w:i/>
          <w:sz w:val="19"/>
        </w:rPr>
        <w:t>„Was sich zwischen Kindergeld und Spitzensteuersatz versteckt — die versteckte KI-Reform im Steuergesetz"</w:t>
      </w:r>
      <w:r>
        <w:rPr>
          <w:rFonts w:ascii="Arial" w:hAnsi="Arial"/>
          <w:b w:val="0"/>
          <w:i w:val="0"/>
          <w:sz w:val="19"/>
        </w:rPr>
        <w:t xml:space="preserve">, 3. September 2026) und </w:t>
      </w:r>
      <w:r>
        <w:rPr>
          <w:rFonts w:ascii="Arial" w:hAnsi="Arial"/>
          <w:b w:val="0"/>
          <w:i/>
          <w:sz w:val="19"/>
        </w:rPr>
        <w:t>niederlausitz-aktuell.de</w:t>
      </w:r>
      <w:r>
        <w:rPr>
          <w:rFonts w:ascii="Arial" w:hAnsi="Arial"/>
          <w:b w:val="0"/>
          <w:i w:val="0"/>
          <w:sz w:val="19"/>
        </w:rPr>
        <w:t xml:space="preserve"> (</w:t>
      </w:r>
      <w:r>
        <w:rPr>
          <w:rFonts w:ascii="Arial" w:hAnsi="Arial"/>
          <w:b w:val="0"/>
          <w:i/>
          <w:sz w:val="19"/>
        </w:rPr>
        <w:t>„Gewerbesteuer für Rechenzentren — Zerlegung nach Anschlussleistung"</w:t>
      </w:r>
      <w:r>
        <w:rPr>
          <w:rFonts w:ascii="Arial" w:hAnsi="Arial"/>
          <w:b w:val="0"/>
          <w:i w:val="0"/>
          <w:sz w:val="19"/>
        </w:rPr>
        <w:t xml:space="preserve">, 29. August 2026) einen sondergesetzlichen </w:t>
      </w:r>
      <w:r>
        <w:rPr>
          <w:rFonts w:ascii="Arial" w:hAnsi="Arial"/>
          <w:b w:val="0"/>
          <w:i/>
          <w:sz w:val="19"/>
        </w:rPr>
        <w:t>Zerlegungsmaßstab</w:t>
      </w:r>
      <w:r>
        <w:rPr>
          <w:rFonts w:ascii="Arial" w:hAnsi="Arial"/>
          <w:b w:val="0"/>
          <w:i w:val="0"/>
          <w:sz w:val="19"/>
        </w:rPr>
        <w:t xml:space="preserve"> für Rechenzentren als </w:t>
      </w:r>
      <w:r>
        <w:rPr>
          <w:rFonts w:ascii="Arial" w:hAnsi="Arial"/>
          <w:b w:val="0"/>
          <w:i/>
          <w:sz w:val="19"/>
        </w:rPr>
        <w:t>Artikel 3</w:t>
      </w:r>
      <w:r>
        <w:rPr>
          <w:rFonts w:ascii="Arial" w:hAnsi="Arial"/>
          <w:b w:val="0"/>
          <w:i w:val="0"/>
          <w:sz w:val="19"/>
        </w:rPr>
        <w:t xml:space="preserve"> des </w:t>
      </w:r>
      <w:r>
        <w:rPr>
          <w:rFonts w:ascii="Arial" w:hAnsi="Arial"/>
          <w:b w:val="0"/>
          <w:i/>
          <w:sz w:val="19"/>
        </w:rPr>
        <w:t>Einkommensteuerreformgesetzes 2027</w:t>
      </w:r>
      <w:r>
        <w:rPr>
          <w:rFonts w:ascii="Arial" w:hAnsi="Arial"/>
          <w:b w:val="0"/>
          <w:i w:val="0"/>
          <w:sz w:val="19"/>
        </w:rPr>
        <w:t xml:space="preserve"> aufgerufen (Konjunktivpflicht nach § 4.2 Claude.md, weil der Kabinettsbeschluss zum Redaktionsschluss noch nicht in einer bundesministeriell publizierten Fassung vorliegt und die Bundestags-/Bundesrats-Beratungen bevorstehen). Substantiell soll die </w:t>
      </w:r>
      <w:r>
        <w:rPr>
          <w:rFonts w:ascii="Arial" w:hAnsi="Arial"/>
          <w:b w:val="0"/>
          <w:i/>
          <w:sz w:val="19"/>
        </w:rPr>
        <w:t>Zerlegung</w:t>
      </w:r>
      <w:r>
        <w:rPr>
          <w:rFonts w:ascii="Arial" w:hAnsi="Arial"/>
          <w:b w:val="0"/>
          <w:i w:val="0"/>
          <w:sz w:val="19"/>
        </w:rPr>
        <w:t xml:space="preserve"> der </w:t>
      </w:r>
      <w:r>
        <w:rPr>
          <w:rFonts w:ascii="Arial" w:hAnsi="Arial"/>
          <w:b w:val="0"/>
          <w:i/>
          <w:sz w:val="19"/>
        </w:rPr>
        <w:t>Gewerbesteuer</w:t>
      </w:r>
      <w:r>
        <w:rPr>
          <w:rFonts w:ascii="Arial" w:hAnsi="Arial"/>
          <w:b w:val="0"/>
          <w:i w:val="0"/>
          <w:sz w:val="19"/>
        </w:rPr>
        <w:t xml:space="preserve"> zwischen den Betriebsstättengemeinden für den ausschließlichen Betrieb von </w:t>
      </w:r>
      <w:r>
        <w:rPr>
          <w:rFonts w:ascii="Arial" w:hAnsi="Arial"/>
          <w:b w:val="0"/>
          <w:i/>
          <w:sz w:val="19"/>
        </w:rPr>
        <w:t>Rechenzentren</w:t>
      </w:r>
      <w:r>
        <w:rPr>
          <w:rFonts w:ascii="Arial" w:hAnsi="Arial"/>
          <w:b w:val="0"/>
          <w:i w:val="0"/>
          <w:sz w:val="19"/>
        </w:rPr>
        <w:t xml:space="preserve"> künftig nach </w:t>
      </w:r>
      <w:r>
        <w:rPr>
          <w:rFonts w:ascii="Arial" w:hAnsi="Arial"/>
          <w:b w:val="0"/>
          <w:i/>
          <w:sz w:val="19"/>
        </w:rPr>
        <w:t>§ 29 Abs. 1 Nr. 4 GewStG-E</w:t>
      </w:r>
      <w:r>
        <w:rPr>
          <w:rFonts w:ascii="Arial" w:hAnsi="Arial"/>
          <w:b w:val="0"/>
          <w:i w:val="0"/>
          <w:sz w:val="19"/>
        </w:rPr>
        <w:t xml:space="preserve"> nur noch zu </w:t>
      </w:r>
      <w:r>
        <w:rPr>
          <w:rFonts w:ascii="Arial" w:hAnsi="Arial"/>
          <w:b w:val="0"/>
          <w:i/>
          <w:sz w:val="19"/>
        </w:rPr>
        <w:t>zehn Prozent</w:t>
      </w:r>
      <w:r>
        <w:rPr>
          <w:rFonts w:ascii="Arial" w:hAnsi="Arial"/>
          <w:b w:val="0"/>
          <w:i w:val="0"/>
          <w:sz w:val="19"/>
        </w:rPr>
        <w:t xml:space="preserve"> nach den in der jeweiligen Gemeinde gezahlten Arbeitslöhnen und zu </w:t>
      </w:r>
      <w:r>
        <w:rPr>
          <w:rFonts w:ascii="Arial" w:hAnsi="Arial"/>
          <w:b w:val="0"/>
          <w:i/>
          <w:sz w:val="19"/>
        </w:rPr>
        <w:t>neunzig Prozent</w:t>
      </w:r>
      <w:r>
        <w:rPr>
          <w:rFonts w:ascii="Arial" w:hAnsi="Arial"/>
          <w:b w:val="0"/>
          <w:i w:val="0"/>
          <w:sz w:val="19"/>
        </w:rPr>
        <w:t xml:space="preserve"> nach der jeweiligen </w:t>
      </w:r>
      <w:r>
        <w:rPr>
          <w:rFonts w:ascii="Arial" w:hAnsi="Arial"/>
          <w:b w:val="0"/>
          <w:i/>
          <w:sz w:val="19"/>
        </w:rPr>
        <w:t>nicht redundanten elektrischen Nennanschlussleistung</w:t>
      </w:r>
      <w:r>
        <w:rPr>
          <w:rFonts w:ascii="Arial" w:hAnsi="Arial"/>
          <w:b w:val="0"/>
          <w:i w:val="0"/>
          <w:sz w:val="19"/>
        </w:rPr>
        <w:t xml:space="preserve"> der Anlage erfolgen (10-zu-90-Verhältnis; Vorbild ist der bereits geltende Zerlegungsschlüssel für Windenergieanlagen mit einem 1-zu-9-Verhältnis zwischen Arbeitslöhnen und installierter elektrischer Leistung); die Neuregelung soll erstmals für den </w:t>
      </w:r>
      <w:r>
        <w:rPr>
          <w:rFonts w:ascii="Arial" w:hAnsi="Arial"/>
          <w:b w:val="0"/>
          <w:i/>
          <w:sz w:val="19"/>
        </w:rPr>
        <w:t>Erhebungszeitraum 2027</w:t>
      </w:r>
      <w:r>
        <w:rPr>
          <w:rFonts w:ascii="Arial" w:hAnsi="Arial"/>
          <w:b w:val="0"/>
          <w:i w:val="0"/>
          <w:sz w:val="19"/>
        </w:rPr>
        <w:t xml:space="preserve"> gelten. Die Anknüpfung setzt an einem in der Vollzugspraxis bereits erprobten kommunalen Verteilungsschlüssel an und ist damit </w:t>
      </w:r>
      <w:r>
        <w:rPr>
          <w:rFonts w:ascii="Arial" w:hAnsi="Arial"/>
          <w:b w:val="0"/>
          <w:i/>
          <w:sz w:val="19"/>
        </w:rPr>
        <w:t>keine</w:t>
      </w:r>
      <w:r>
        <w:rPr>
          <w:rFonts w:ascii="Arial" w:hAnsi="Arial"/>
          <w:b w:val="0"/>
          <w:i w:val="0"/>
          <w:sz w:val="19"/>
        </w:rPr>
        <w:t xml:space="preserve"> neue Steuer im Sinne von Art. 105 GG (§ 4.3); ausdrücklich wird die </w:t>
      </w:r>
      <w:r>
        <w:rPr>
          <w:rFonts w:ascii="Arial" w:hAnsi="Arial"/>
          <w:b w:val="0"/>
          <w:i/>
          <w:sz w:val="19"/>
        </w:rPr>
        <w:t>Nennanschlussleistung</w:t>
      </w:r>
      <w:r>
        <w:rPr>
          <w:rFonts w:ascii="Arial" w:hAnsi="Arial"/>
          <w:b w:val="0"/>
          <w:i w:val="0"/>
          <w:sz w:val="19"/>
        </w:rPr>
        <w:t xml:space="preserve"> — nicht die vom </w:t>
      </w:r>
      <w:r>
        <w:rPr>
          <w:rFonts w:ascii="Arial" w:hAnsi="Arial"/>
          <w:b w:val="0"/>
          <w:i/>
          <w:sz w:val="19"/>
        </w:rPr>
        <w:t>Bitkom</w:t>
      </w:r>
      <w:r>
        <w:rPr>
          <w:rFonts w:ascii="Arial" w:hAnsi="Arial"/>
          <w:b w:val="0"/>
          <w:i w:val="0"/>
          <w:sz w:val="19"/>
        </w:rPr>
        <w:t xml:space="preserve"> alternativ vorgeschlagene </w:t>
      </w:r>
      <w:r>
        <w:rPr>
          <w:rFonts w:ascii="Arial" w:hAnsi="Arial"/>
          <w:b w:val="0"/>
          <w:i/>
          <w:sz w:val="19"/>
        </w:rPr>
        <w:t>IT-Nennlast</w:t>
      </w:r>
      <w:r>
        <w:rPr>
          <w:rFonts w:ascii="Arial" w:hAnsi="Arial"/>
          <w:b w:val="0"/>
          <w:i w:val="0"/>
          <w:sz w:val="19"/>
        </w:rPr>
        <w:t xml:space="preserve"> — als „objektiver und praktikabler" Bemessungsanker gewählt. Nach der von der </w:t>
      </w:r>
      <w:r>
        <w:rPr>
          <w:rFonts w:ascii="Arial" w:hAnsi="Arial"/>
          <w:b w:val="0"/>
          <w:i/>
          <w:sz w:val="19"/>
        </w:rPr>
        <w:t>DIHK</w:t>
      </w:r>
      <w:r>
        <w:rPr>
          <w:rFonts w:ascii="Arial" w:hAnsi="Arial"/>
          <w:b w:val="0"/>
          <w:i w:val="0"/>
          <w:sz w:val="19"/>
        </w:rPr>
        <w:t xml:space="preserve"> (Referat Gewerbesteuer, Jens Gewinnus, DIHK-Publikation </w:t>
      </w:r>
      <w:r>
        <w:rPr>
          <w:rFonts w:ascii="Arial" w:hAnsi="Arial"/>
          <w:b w:val="0"/>
          <w:i/>
          <w:sz w:val="19"/>
        </w:rPr>
        <w:t>„Gewerbesteuer in der Rechenzentrumsstrategie der Bundesregierung"</w:t>
      </w:r>
      <w:r>
        <w:rPr>
          <w:rFonts w:ascii="Arial" w:hAnsi="Arial"/>
          <w:b w:val="0"/>
          <w:i w:val="0"/>
          <w:sz w:val="19"/>
        </w:rPr>
        <w:t xml:space="preserve">, 30. März 2026) im Vorfeld dokumentierten Reformlogik zielt der Schlüssel darauf, </w:t>
      </w:r>
      <w:r>
        <w:rPr>
          <w:rFonts w:ascii="Arial" w:hAnsi="Arial"/>
          <w:b w:val="0"/>
          <w:i/>
          <w:sz w:val="19"/>
        </w:rPr>
        <w:t>Standortgemeinden</w:t>
      </w:r>
      <w:r>
        <w:rPr>
          <w:rFonts w:ascii="Arial" w:hAnsi="Arial"/>
          <w:b w:val="0"/>
          <w:i w:val="0"/>
          <w:sz w:val="19"/>
        </w:rPr>
        <w:t xml:space="preserve"> stärker und gleichmäßiger am Aufkommen aus Rechenzentren zu beteiligen und dadurch die </w:t>
      </w:r>
      <w:r>
        <w:rPr>
          <w:rFonts w:ascii="Arial" w:hAnsi="Arial"/>
          <w:b w:val="0"/>
          <w:i/>
          <w:sz w:val="19"/>
        </w:rPr>
        <w:t>Akzeptanz zur Ansiedlung</w:t>
      </w:r>
      <w:r>
        <w:rPr>
          <w:rFonts w:ascii="Arial" w:hAnsi="Arial"/>
          <w:b w:val="0"/>
          <w:i w:val="0"/>
          <w:sz w:val="19"/>
        </w:rPr>
        <w:t xml:space="preserve"> zu erhöhen — ein Aufkommens- und ein Standort­steuerungsanliegen, das strukturell an die </w:t>
      </w:r>
      <w:r>
        <w:rPr>
          <w:rFonts w:ascii="Arial" w:hAnsi="Arial"/>
          <w:b w:val="0"/>
          <w:i/>
          <w:sz w:val="19"/>
        </w:rPr>
        <w:t>Wertschöpfungsabgabe</w:t>
      </w:r>
      <w:r>
        <w:rPr>
          <w:rFonts w:ascii="Arial" w:hAnsi="Arial"/>
          <w:b w:val="0"/>
          <w:i w:val="0"/>
          <w:sz w:val="19"/>
        </w:rPr>
        <w:t xml:space="preserve"> (§ 5.1) anschließt, aber ohne bundesrechtliche Neusteuer auskommt. Für die hier geführte Debatte ist der Vorstoß in drei Hinsichten bemerkenswert. Erstens setzt die </w:t>
      </w:r>
      <w:r>
        <w:rPr>
          <w:rFonts w:ascii="Arial" w:hAnsi="Arial"/>
          <w:b w:val="0"/>
          <w:i/>
          <w:sz w:val="19"/>
        </w:rPr>
        <w:t>Bundesregierung</w:t>
      </w:r>
      <w:r>
        <w:rPr>
          <w:rFonts w:ascii="Arial" w:hAnsi="Arial"/>
          <w:b w:val="0"/>
          <w:i w:val="0"/>
          <w:sz w:val="19"/>
        </w:rPr>
        <w:t xml:space="preserve"> damit den in dem </w:t>
      </w:r>
      <w:r>
        <w:rPr>
          <w:rFonts w:ascii="Arial" w:hAnsi="Arial"/>
          <w:b w:val="0"/>
          <w:i/>
          <w:sz w:val="19"/>
        </w:rPr>
        <w:t>SPD-Klausurbeschluss vom 4. September 2026</w:t>
      </w:r>
      <w:r>
        <w:rPr>
          <w:rFonts w:ascii="Arial" w:hAnsi="Arial"/>
          <w:b w:val="0"/>
          <w:i w:val="0"/>
          <w:sz w:val="19"/>
        </w:rPr>
        <w:t xml:space="preserve"> (oben, in diesem Abschnitt) mit dem Leitsatz „Deshalb werden wir die Bemessung der Gewerbesteuer hier ändern" politisch angekündigten Instrumentenkasten </w:t>
      </w:r>
      <w:r>
        <w:rPr>
          <w:rFonts w:ascii="Arial" w:hAnsi="Arial"/>
          <w:b w:val="0"/>
          <w:i/>
          <w:sz w:val="19"/>
        </w:rPr>
        <w:t>im laufenden Kabinettsverfahren</w:t>
      </w:r>
      <w:r>
        <w:rPr>
          <w:rFonts w:ascii="Arial" w:hAnsi="Arial"/>
          <w:b w:val="0"/>
          <w:i w:val="0"/>
          <w:sz w:val="19"/>
        </w:rPr>
        <w:t xml:space="preserve"> schon vor dem Fraktionsbeschluss materiell in einen </w:t>
      </w:r>
      <w:r>
        <w:rPr>
          <w:rFonts w:ascii="Arial" w:hAnsi="Arial"/>
          <w:b w:val="0"/>
          <w:i/>
          <w:sz w:val="19"/>
        </w:rPr>
        <w:t>Gesetzestext</w:t>
      </w:r>
      <w:r>
        <w:rPr>
          <w:rFonts w:ascii="Arial" w:hAnsi="Arial"/>
          <w:b w:val="0"/>
          <w:i w:val="0"/>
          <w:sz w:val="19"/>
        </w:rPr>
        <w:t xml:space="preserve"> um; die Reihenfolge (Regierungsentwurf → Kabinettsbefassung → Fraktionspositionierung → parlamentarisches Verfahren) unterstreicht, dass das Instrument aus der Regierungsspur kommt und die </w:t>
      </w:r>
      <w:r>
        <w:rPr>
          <w:rFonts w:ascii="Arial" w:hAnsi="Arial"/>
          <w:b w:val="0"/>
          <w:i/>
          <w:sz w:val="19"/>
        </w:rPr>
        <w:t>SPD-Fraktion</w:t>
      </w:r>
      <w:r>
        <w:rPr>
          <w:rFonts w:ascii="Arial" w:hAnsi="Arial"/>
          <w:b w:val="0"/>
          <w:i w:val="0"/>
          <w:sz w:val="19"/>
        </w:rPr>
        <w:t xml:space="preserve"> es politisch flankiert. Zweitens etabliert die Gewichtung </w:t>
      </w:r>
      <w:r>
        <w:rPr>
          <w:rFonts w:ascii="Arial" w:hAnsi="Arial"/>
          <w:b w:val="0"/>
          <w:i/>
          <w:sz w:val="19"/>
        </w:rPr>
        <w:t>elektrischer Anschlussleistung</w:t>
      </w:r>
      <w:r>
        <w:rPr>
          <w:rFonts w:ascii="Arial" w:hAnsi="Arial"/>
          <w:b w:val="0"/>
          <w:i w:val="0"/>
          <w:sz w:val="19"/>
        </w:rPr>
        <w:t xml:space="preserve"> als 90-Prozent-Anteil an der Zerlegung erstmals einen kommunal-fiskalischen Zugriff, dessen Bemessung </w:t>
      </w:r>
      <w:r>
        <w:rPr>
          <w:rFonts w:ascii="Arial" w:hAnsi="Arial"/>
          <w:b w:val="0"/>
          <w:i/>
          <w:sz w:val="19"/>
        </w:rPr>
        <w:t>direkt an der KI-Infrastrukturkapazität</w:t>
      </w:r>
      <w:r>
        <w:rPr>
          <w:rFonts w:ascii="Arial" w:hAnsi="Arial"/>
          <w:b w:val="0"/>
          <w:i w:val="0"/>
          <w:sz w:val="19"/>
        </w:rPr>
        <w:t xml:space="preserve"> ansetzt und damit als deutscher Beitrag zur in Kapitel 8 (§ 8.2) entwickelten </w:t>
      </w:r>
      <w:r>
        <w:rPr>
          <w:rFonts w:ascii="Arial" w:hAnsi="Arial"/>
          <w:b w:val="0"/>
          <w:i/>
          <w:sz w:val="19"/>
        </w:rPr>
        <w:t>Rohstoff-Analogie</w:t>
      </w:r>
      <w:r>
        <w:rPr>
          <w:rFonts w:ascii="Arial" w:hAnsi="Arial"/>
          <w:b w:val="0"/>
          <w:i w:val="0"/>
          <w:sz w:val="19"/>
        </w:rPr>
        <w:t xml:space="preserve"> (Compute als kritische Ressource der KI-Wertschöpfung) verstanden werden kann. Drittens beantwortet die Konstruktion die in § 4.3 dokumentierten </w:t>
      </w:r>
      <w:r>
        <w:rPr>
          <w:rFonts w:ascii="Arial" w:hAnsi="Arial"/>
          <w:b w:val="0"/>
          <w:i/>
          <w:sz w:val="19"/>
        </w:rPr>
        <w:t>verfassungsrechtlichen</w:t>
      </w:r>
      <w:r>
        <w:rPr>
          <w:rFonts w:ascii="Arial" w:hAnsi="Arial"/>
          <w:b w:val="0"/>
          <w:i w:val="0"/>
          <w:sz w:val="19"/>
        </w:rPr>
        <w:t xml:space="preserve"> Bedenken gegen eine neue </w:t>
      </w:r>
      <w:r>
        <w:rPr>
          <w:rFonts w:ascii="Arial" w:hAnsi="Arial"/>
          <w:b w:val="0"/>
          <w:i/>
          <w:sz w:val="19"/>
        </w:rPr>
        <w:t>Robotersteuer</w:t>
      </w:r>
      <w:r>
        <w:rPr>
          <w:rFonts w:ascii="Arial" w:hAnsi="Arial"/>
          <w:b w:val="0"/>
          <w:i w:val="0"/>
          <w:sz w:val="19"/>
        </w:rPr>
        <w:t xml:space="preserve"> pragmatisch: Sie greift auf einen bereits im </w:t>
      </w:r>
      <w:r>
        <w:rPr>
          <w:rFonts w:ascii="Arial" w:hAnsi="Arial"/>
          <w:b w:val="0"/>
          <w:i/>
          <w:sz w:val="19"/>
        </w:rPr>
        <w:t>Gewerbesteuergesetz</w:t>
      </w:r>
      <w:r>
        <w:rPr>
          <w:rFonts w:ascii="Arial" w:hAnsi="Arial"/>
          <w:b w:val="0"/>
          <w:i w:val="0"/>
          <w:sz w:val="19"/>
        </w:rPr>
        <w:t xml:space="preserve"> verankerten </w:t>
      </w:r>
      <w:r>
        <w:rPr>
          <w:rFonts w:ascii="Arial" w:hAnsi="Arial"/>
          <w:b w:val="0"/>
          <w:i/>
          <w:sz w:val="19"/>
        </w:rPr>
        <w:t>Zerlegungsschlüssel</w:t>
      </w:r>
      <w:r>
        <w:rPr>
          <w:rFonts w:ascii="Arial" w:hAnsi="Arial"/>
          <w:b w:val="0"/>
          <w:i w:val="0"/>
          <w:sz w:val="19"/>
        </w:rPr>
        <w:t xml:space="preserve"> zurück und verlagert damit die Diskussion vom „Ob" einer neuen Steuer auf das „Wie" der </w:t>
      </w:r>
      <w:r>
        <w:rPr>
          <w:rFonts w:ascii="Arial" w:hAnsi="Arial"/>
          <w:b w:val="0"/>
          <w:i/>
          <w:sz w:val="19"/>
        </w:rPr>
        <w:t>innerkommunalen Aufkommensverteilung</w:t>
      </w:r>
      <w:r>
        <w:rPr>
          <w:rFonts w:ascii="Arial" w:hAnsi="Arial"/>
          <w:b w:val="0"/>
          <w:i w:val="0"/>
          <w:sz w:val="19"/>
        </w:rPr>
        <w:t xml:space="preserve"> — eine Anknüpfungstechnik, die politisch schneller mehrheitsfähig ist als eine bundesgesetzliche KI- oder Roboter-Sonderabgabe (Typ 1 der Typologie in § 2.1). Flankierend hat der </w:t>
      </w:r>
      <w:r>
        <w:rPr>
          <w:rFonts w:ascii="Arial" w:hAnsi="Arial"/>
          <w:b w:val="0"/>
          <w:i/>
          <w:sz w:val="19"/>
        </w:rPr>
        <w:t>Bundesverband Digitale Wirtschaft</w:t>
      </w:r>
      <w:r>
        <w:rPr>
          <w:rFonts w:ascii="Arial" w:hAnsi="Arial"/>
          <w:b w:val="0"/>
          <w:i w:val="0"/>
          <w:sz w:val="19"/>
        </w:rPr>
        <w:t xml:space="preserve"> (BVDW, Präsident </w:t>
      </w:r>
      <w:r>
        <w:rPr>
          <w:rFonts w:ascii="Arial" w:hAnsi="Arial"/>
          <w:b w:val="0"/>
          <w:i/>
          <w:sz w:val="19"/>
        </w:rPr>
        <w:t>Dirk Freytag</w:t>
      </w:r>
      <w:r>
        <w:rPr>
          <w:rFonts w:ascii="Arial" w:hAnsi="Arial"/>
          <w:b w:val="0"/>
          <w:i w:val="0"/>
          <w:sz w:val="19"/>
        </w:rPr>
        <w:t xml:space="preserve">) am </w:t>
      </w:r>
      <w:r>
        <w:rPr>
          <w:rFonts w:ascii="Arial" w:hAnsi="Arial"/>
          <w:b w:val="0"/>
          <w:i/>
          <w:sz w:val="19"/>
        </w:rPr>
        <w:t>2. September 2026</w:t>
      </w:r>
      <w:r>
        <w:rPr>
          <w:rFonts w:ascii="Arial" w:hAnsi="Arial"/>
          <w:b w:val="0"/>
          <w:i w:val="0"/>
          <w:sz w:val="19"/>
        </w:rPr>
        <w:t xml:space="preserve"> mit dem Positionspapier </w:t>
      </w:r>
      <w:r>
        <w:rPr>
          <w:rFonts w:ascii="Arial" w:hAnsi="Arial"/>
          <w:b w:val="0"/>
          <w:i/>
          <w:sz w:val="19"/>
        </w:rPr>
        <w:t>„Digitalabgabe: Risiken für Innovation und Wettbewerbsfähigkeit"</w:t>
      </w:r>
      <w:r>
        <w:rPr>
          <w:rFonts w:ascii="Arial" w:hAnsi="Arial"/>
          <w:b w:val="0"/>
          <w:i w:val="0"/>
          <w:sz w:val="19"/>
        </w:rPr>
        <w:t xml:space="preserve"> die im Koalitionsvertrag verankerte </w:t>
      </w:r>
      <w:r>
        <w:rPr>
          <w:rFonts w:ascii="Arial" w:hAnsi="Arial"/>
          <w:b w:val="0"/>
          <w:i/>
          <w:sz w:val="19"/>
        </w:rPr>
        <w:t>nationale Digitalabgabe</w:t>
      </w:r>
      <w:r>
        <w:rPr>
          <w:rFonts w:ascii="Arial" w:hAnsi="Arial"/>
          <w:b w:val="0"/>
          <w:i w:val="0"/>
          <w:sz w:val="19"/>
        </w:rPr>
        <w:t xml:space="preserve"> als „pauschal, umsatzbasiert" und deshalb ungeeignet zurückgewiesen; empfohlen wird stattdessen die konsequente Anwendung von </w:t>
      </w:r>
      <w:r>
        <w:rPr>
          <w:rFonts w:ascii="Arial" w:hAnsi="Arial"/>
          <w:b w:val="0"/>
          <w:i/>
          <w:sz w:val="19"/>
        </w:rPr>
        <w:t>DMA</w:t>
      </w:r>
      <w:r>
        <w:rPr>
          <w:rFonts w:ascii="Arial" w:hAnsi="Arial"/>
          <w:b w:val="0"/>
          <w:i w:val="0"/>
          <w:sz w:val="19"/>
        </w:rPr>
        <w:t xml:space="preserve"> und </w:t>
      </w:r>
      <w:r>
        <w:rPr>
          <w:rFonts w:ascii="Arial" w:hAnsi="Arial"/>
          <w:b w:val="0"/>
          <w:i/>
          <w:sz w:val="19"/>
        </w:rPr>
        <w:t>DSA</w:t>
      </w:r>
      <w:r>
        <w:rPr>
          <w:rFonts w:ascii="Arial" w:hAnsi="Arial"/>
          <w:b w:val="0"/>
          <w:i w:val="0"/>
          <w:sz w:val="19"/>
        </w:rPr>
        <w:t xml:space="preserve"> sowie die Weiterentwicklung der </w:t>
      </w:r>
      <w:r>
        <w:rPr>
          <w:rFonts w:ascii="Arial" w:hAnsi="Arial"/>
          <w:b w:val="0"/>
          <w:i/>
          <w:sz w:val="19"/>
        </w:rPr>
        <w:t>OECD</w:t>
      </w:r>
      <w:r>
        <w:rPr>
          <w:rFonts w:ascii="Arial" w:hAnsi="Arial"/>
          <w:b w:val="0"/>
          <w:i w:val="0"/>
          <w:sz w:val="19"/>
        </w:rPr>
        <w:t>-</w:t>
      </w:r>
      <w:r>
        <w:rPr>
          <w:rFonts w:ascii="Arial" w:hAnsi="Arial"/>
          <w:b w:val="0"/>
          <w:i/>
          <w:sz w:val="19"/>
        </w:rPr>
        <w:t>Pillar-1/2</w:t>
      </w:r>
      <w:r>
        <w:rPr>
          <w:rFonts w:ascii="Arial" w:hAnsi="Arial"/>
          <w:b w:val="0"/>
          <w:i w:val="0"/>
          <w:sz w:val="19"/>
        </w:rPr>
        <w:t xml:space="preserve">-Initiativen (§ 6.4). Die </w:t>
      </w:r>
      <w:r>
        <w:rPr>
          <w:rFonts w:ascii="Arial" w:hAnsi="Arial"/>
          <w:b w:val="0"/>
          <w:i/>
          <w:sz w:val="19"/>
        </w:rPr>
        <w:t>Freie Demokratische Partei</w:t>
      </w:r>
      <w:r>
        <w:rPr>
          <w:rFonts w:ascii="Arial" w:hAnsi="Arial"/>
          <w:b w:val="0"/>
          <w:i w:val="0"/>
          <w:sz w:val="19"/>
        </w:rPr>
        <w:t xml:space="preserve"> (FDP-Generalsekretär </w:t>
      </w:r>
      <w:r>
        <w:rPr>
          <w:rFonts w:ascii="Arial" w:hAnsi="Arial"/>
          <w:b w:val="0"/>
          <w:i/>
          <w:sz w:val="19"/>
        </w:rPr>
        <w:t>Martin Hagen</w:t>
      </w:r>
      <w:r>
        <w:rPr>
          <w:rFonts w:ascii="Arial" w:hAnsi="Arial"/>
          <w:b w:val="0"/>
          <w:i w:val="0"/>
          <w:sz w:val="19"/>
        </w:rPr>
        <w:t xml:space="preserve">) hat den </w:t>
      </w:r>
      <w:r>
        <w:rPr>
          <w:rFonts w:ascii="Arial" w:hAnsi="Arial"/>
          <w:b w:val="0"/>
          <w:i/>
          <w:sz w:val="19"/>
        </w:rPr>
        <w:t>SPD-Klausurbeschluss</w:t>
      </w:r>
      <w:r>
        <w:rPr>
          <w:rFonts w:ascii="Arial" w:hAnsi="Arial"/>
          <w:b w:val="0"/>
          <w:i w:val="0"/>
          <w:sz w:val="19"/>
        </w:rPr>
        <w:t xml:space="preserve"> am </w:t>
      </w:r>
      <w:r>
        <w:rPr>
          <w:rFonts w:ascii="Arial" w:hAnsi="Arial"/>
          <w:b w:val="0"/>
          <w:i/>
          <w:sz w:val="19"/>
        </w:rPr>
        <w:t>3. September 2026</w:t>
      </w:r>
      <w:r>
        <w:rPr>
          <w:rFonts w:ascii="Arial" w:hAnsi="Arial"/>
          <w:b w:val="0"/>
          <w:i w:val="0"/>
          <w:sz w:val="19"/>
        </w:rPr>
        <w:t xml:space="preserve"> nach </w:t>
      </w:r>
      <w:r>
        <w:rPr>
          <w:rFonts w:ascii="Arial" w:hAnsi="Arial"/>
          <w:b w:val="0"/>
          <w:i/>
          <w:sz w:val="19"/>
        </w:rPr>
        <w:t>it-fachportal.de</w:t>
      </w:r>
      <w:r>
        <w:rPr>
          <w:rFonts w:ascii="Arial" w:hAnsi="Arial"/>
          <w:b w:val="0"/>
          <w:i w:val="0"/>
          <w:sz w:val="19"/>
        </w:rPr>
        <w:t xml:space="preserve">-Berichterstattung mit den Argumenten „Deutschland ist Hochsteuerland" und „maximal 20 Prozent" Steuerbelastung für unternehmerische Einkünfte zurückgewiesen und vor einer Gefährdung von </w:t>
      </w:r>
      <w:r>
        <w:rPr>
          <w:rFonts w:ascii="Arial" w:hAnsi="Arial"/>
          <w:b w:val="0"/>
          <w:i/>
          <w:sz w:val="19"/>
        </w:rPr>
        <w:t>KI-Unternehmensgründungen</w:t>
      </w:r>
      <w:r>
        <w:rPr>
          <w:rFonts w:ascii="Arial" w:hAnsi="Arial"/>
          <w:b w:val="0"/>
          <w:i w:val="0"/>
          <w:sz w:val="19"/>
        </w:rPr>
        <w:t xml:space="preserve"> gewarnt. Beide Reaktionen dokumentieren, dass innerhalb der deutschen Debatte (i) die </w:t>
      </w:r>
      <w:r>
        <w:rPr>
          <w:rFonts w:ascii="Arial" w:hAnsi="Arial"/>
          <w:b w:val="0"/>
          <w:i/>
          <w:sz w:val="19"/>
        </w:rPr>
        <w:t>Digitalabgabe</w:t>
      </w:r>
      <w:r>
        <w:rPr>
          <w:rFonts w:ascii="Arial" w:hAnsi="Arial"/>
          <w:b w:val="0"/>
          <w:i w:val="0"/>
          <w:sz w:val="19"/>
        </w:rPr>
        <w:t xml:space="preserve">-Linie (§ 4.4, Weimer-Vorstoß) und die </w:t>
      </w:r>
      <w:r>
        <w:rPr>
          <w:rFonts w:ascii="Arial" w:hAnsi="Arial"/>
          <w:b w:val="0"/>
          <w:i/>
          <w:sz w:val="19"/>
        </w:rPr>
        <w:t>Gewerbesteuer-Anknüpfung</w:t>
      </w:r>
      <w:r>
        <w:rPr>
          <w:rFonts w:ascii="Arial" w:hAnsi="Arial"/>
          <w:b w:val="0"/>
          <w:i w:val="0"/>
          <w:sz w:val="19"/>
        </w:rPr>
        <w:t xml:space="preserve">-Linie (dieser Absatz) inzwischen als </w:t>
      </w:r>
      <w:r>
        <w:rPr>
          <w:rFonts w:ascii="Arial" w:hAnsi="Arial"/>
          <w:b w:val="0"/>
          <w:i/>
          <w:sz w:val="19"/>
        </w:rPr>
        <w:t>getrennte</w:t>
      </w:r>
      <w:r>
        <w:rPr>
          <w:rFonts w:ascii="Arial" w:hAnsi="Arial"/>
          <w:b w:val="0"/>
          <w:i w:val="0"/>
          <w:sz w:val="19"/>
        </w:rPr>
        <w:t xml:space="preserve"> Instrumente­stränge geführt werden und (ii) die parteipolitische </w:t>
      </w:r>
      <w:r>
        <w:rPr>
          <w:rFonts w:ascii="Arial" w:hAnsi="Arial"/>
          <w:b w:val="0"/>
          <w:i/>
          <w:sz w:val="19"/>
        </w:rPr>
        <w:t>Ausgewogenheit</w:t>
      </w:r>
      <w:r>
        <w:rPr>
          <w:rFonts w:ascii="Arial" w:hAnsi="Arial"/>
          <w:b w:val="0"/>
          <w:i w:val="0"/>
          <w:sz w:val="19"/>
        </w:rPr>
        <w:t xml:space="preserve"> — Regierungs­koalition (Union/SPD) vs. FDP-Opposition — im Papier explizit abgebildet ist. Die Übertragbarkeit auf andere KI-relevante </w:t>
      </w:r>
      <w:r>
        <w:rPr>
          <w:rFonts w:ascii="Arial" w:hAnsi="Arial"/>
          <w:b w:val="0"/>
          <w:i/>
          <w:sz w:val="19"/>
        </w:rPr>
        <w:t>Infrastrukturklassen</w:t>
      </w:r>
      <w:r>
        <w:rPr>
          <w:rFonts w:ascii="Arial" w:hAnsi="Arial"/>
          <w:b w:val="0"/>
          <w:i w:val="0"/>
          <w:sz w:val="19"/>
        </w:rPr>
        <w:t xml:space="preserve"> (etwa </w:t>
      </w:r>
      <w:r>
        <w:rPr>
          <w:rFonts w:ascii="Arial" w:hAnsi="Arial"/>
          <w:b w:val="0"/>
          <w:i/>
          <w:sz w:val="19"/>
        </w:rPr>
        <w:t>Batteriespeicher</w:t>
      </w:r>
      <w:r>
        <w:rPr>
          <w:rFonts w:ascii="Arial" w:hAnsi="Arial"/>
          <w:b w:val="0"/>
          <w:i w:val="0"/>
          <w:sz w:val="19"/>
        </w:rPr>
        <w:t xml:space="preserve">, </w:t>
      </w:r>
      <w:r>
        <w:rPr>
          <w:rFonts w:ascii="Arial" w:hAnsi="Arial"/>
          <w:b w:val="0"/>
          <w:i/>
          <w:sz w:val="19"/>
        </w:rPr>
        <w:t>Ladeinfrastruktur</w:t>
      </w:r>
      <w:r>
        <w:rPr>
          <w:rFonts w:ascii="Arial" w:hAnsi="Arial"/>
          <w:b w:val="0"/>
          <w:i w:val="0"/>
          <w:sz w:val="19"/>
        </w:rPr>
        <w:t xml:space="preserve">, </w:t>
      </w:r>
      <w:r>
        <w:rPr>
          <w:rFonts w:ascii="Arial" w:hAnsi="Arial"/>
          <w:b w:val="0"/>
          <w:i/>
          <w:sz w:val="19"/>
        </w:rPr>
        <w:t>Modulhersteller</w:t>
      </w:r>
      <w:r>
        <w:rPr>
          <w:rFonts w:ascii="Arial" w:hAnsi="Arial"/>
          <w:b w:val="0"/>
          <w:i w:val="0"/>
          <w:sz w:val="19"/>
        </w:rPr>
        <w:t xml:space="preserve">) sowie die verfahrens­rechtliche Absicherung im </w:t>
      </w:r>
      <w:r>
        <w:rPr>
          <w:rFonts w:ascii="Arial" w:hAnsi="Arial"/>
          <w:b w:val="0"/>
          <w:i/>
          <w:sz w:val="19"/>
        </w:rPr>
        <w:t>Zerlegungsmaßstab</w:t>
      </w:r>
      <w:r>
        <w:rPr>
          <w:rFonts w:ascii="Arial" w:hAnsi="Arial"/>
          <w:b w:val="0"/>
          <w:i w:val="0"/>
          <w:sz w:val="19"/>
        </w:rPr>
        <w:t xml:space="preserve"> nach </w:t>
      </w:r>
      <w:r>
        <w:rPr>
          <w:rFonts w:ascii="Arial" w:hAnsi="Arial"/>
          <w:b w:val="0"/>
          <w:i/>
          <w:sz w:val="19"/>
        </w:rPr>
        <w:t>§ 29 GewStG</w:t>
      </w:r>
      <w:r>
        <w:rPr>
          <w:rFonts w:ascii="Arial" w:hAnsi="Arial"/>
          <w:b w:val="0"/>
          <w:i w:val="0"/>
          <w:sz w:val="19"/>
        </w:rPr>
        <w:t xml:space="preserve"> bleiben in der weiteren parlamentarischen Beratung zu klären.</w:t>
      </w:r>
    </w:p>
    <w:p>
      <w:pPr>
        <w:jc w:val="both"/>
      </w:pPr>
      <w:r>
        <w:rPr>
          <w:rFonts w:ascii="Arial" w:hAnsi="Arial"/>
          <w:b/>
          <w:i w:val="0"/>
          <w:sz w:val="19"/>
        </w:rPr>
        <w:t>G20-Digital/Innovation-Ministerial in Chapel Hill — *Carolina Principles* (1./2. September 2026):</w:t>
      </w:r>
      <w:r>
        <w:rPr>
          <w:rFonts w:ascii="Arial" w:hAnsi="Arial"/>
          <w:b w:val="0"/>
          <w:i w:val="0"/>
          <w:sz w:val="19"/>
        </w:rPr>
        <w:t xml:space="preserve"> Am 1. September 2026 hat das </w:t>
      </w:r>
      <w:r>
        <w:rPr>
          <w:rFonts w:ascii="Arial" w:hAnsi="Arial"/>
          <w:b w:val="0"/>
          <w:i/>
          <w:sz w:val="19"/>
        </w:rPr>
        <w:t>White House Office of Science and Technology Policy</w:t>
      </w:r>
      <w:r>
        <w:rPr>
          <w:rFonts w:ascii="Arial" w:hAnsi="Arial"/>
          <w:b w:val="0"/>
          <w:i w:val="0"/>
          <w:sz w:val="19"/>
        </w:rPr>
        <w:t xml:space="preserve"> unter </w:t>
      </w:r>
      <w:r>
        <w:rPr>
          <w:rFonts w:ascii="Arial" w:hAnsi="Arial"/>
          <w:b w:val="0"/>
          <w:i/>
          <w:sz w:val="19"/>
        </w:rPr>
        <w:t>Michael Kratsios</w:t>
      </w:r>
      <w:r>
        <w:rPr>
          <w:rFonts w:ascii="Arial" w:hAnsi="Arial"/>
          <w:b w:val="0"/>
          <w:i w:val="0"/>
          <w:sz w:val="19"/>
        </w:rPr>
        <w:t xml:space="preserve"> gemeinsam mit </w:t>
      </w:r>
      <w:r>
        <w:rPr>
          <w:rFonts w:ascii="Arial" w:hAnsi="Arial"/>
          <w:b w:val="0"/>
          <w:i/>
          <w:sz w:val="19"/>
        </w:rPr>
        <w:t>Commerce Secretary</w:t>
      </w:r>
      <w:r>
        <w:rPr>
          <w:rFonts w:ascii="Arial" w:hAnsi="Arial"/>
          <w:b w:val="0"/>
          <w:i w:val="0"/>
          <w:sz w:val="19"/>
        </w:rPr>
        <w:t xml:space="preserve"> </w:t>
      </w:r>
      <w:r>
        <w:rPr>
          <w:rFonts w:ascii="Arial" w:hAnsi="Arial"/>
          <w:b w:val="0"/>
          <w:i/>
          <w:sz w:val="19"/>
        </w:rPr>
        <w:t>Howard Lutnick</w:t>
      </w:r>
      <w:r>
        <w:rPr>
          <w:rFonts w:ascii="Arial" w:hAnsi="Arial"/>
          <w:b w:val="0"/>
          <w:i w:val="0"/>
          <w:sz w:val="19"/>
        </w:rPr>
        <w:t xml:space="preserve"> im Rahmen der US-</w:t>
      </w:r>
      <w:r>
        <w:rPr>
          <w:rFonts w:ascii="Arial" w:hAnsi="Arial"/>
          <w:b w:val="0"/>
          <w:i/>
          <w:sz w:val="19"/>
        </w:rPr>
        <w:t>G20</w:t>
      </w:r>
      <w:r>
        <w:rPr>
          <w:rFonts w:ascii="Arial" w:hAnsi="Arial"/>
          <w:b w:val="0"/>
          <w:i w:val="0"/>
          <w:sz w:val="19"/>
        </w:rPr>
        <w:t xml:space="preserve">-Präsidentschaft 2026 in </w:t>
      </w:r>
      <w:r>
        <w:rPr>
          <w:rFonts w:ascii="Arial" w:hAnsi="Arial"/>
          <w:b w:val="0"/>
          <w:i/>
          <w:sz w:val="19"/>
        </w:rPr>
        <w:t>Chapel Hill</w:t>
      </w:r>
      <w:r>
        <w:rPr>
          <w:rFonts w:ascii="Arial" w:hAnsi="Arial"/>
          <w:b w:val="0"/>
          <w:i w:val="0"/>
          <w:sz w:val="19"/>
        </w:rPr>
        <w:t xml:space="preserve">, </w:t>
      </w:r>
      <w:r>
        <w:rPr>
          <w:rFonts w:ascii="Arial" w:hAnsi="Arial"/>
          <w:b w:val="0"/>
          <w:i/>
          <w:sz w:val="19"/>
        </w:rPr>
        <w:t>North Carolina</w:t>
      </w:r>
      <w:r>
        <w:rPr>
          <w:rFonts w:ascii="Arial" w:hAnsi="Arial"/>
          <w:b w:val="0"/>
          <w:i w:val="0"/>
          <w:sz w:val="19"/>
        </w:rPr>
        <w:t xml:space="preserve"> ein zweitägiges Digital/Innovation-Ministerial eröffnet und den Teilnehmerstaaten eine Selbstverpflichtung </w:t>
      </w:r>
      <w:r>
        <w:rPr>
          <w:rFonts w:ascii="Arial" w:hAnsi="Arial"/>
          <w:b w:val="0"/>
          <w:i/>
          <w:sz w:val="19"/>
        </w:rPr>
        <w:t>„Carolina Principles"</w:t>
      </w:r>
      <w:r>
        <w:rPr>
          <w:rFonts w:ascii="Arial" w:hAnsi="Arial"/>
          <w:b w:val="0"/>
          <w:i w:val="0"/>
          <w:sz w:val="19"/>
        </w:rPr>
        <w:t xml:space="preserve"> zur Unterzeichnung vorgelegt (nach übereinstimmender Berichterstattung von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Quartz</w:t>
      </w:r>
      <w:r>
        <w:rPr>
          <w:rFonts w:ascii="Arial" w:hAnsi="Arial"/>
          <w:b w:val="0"/>
          <w:i w:val="0"/>
          <w:sz w:val="19"/>
        </w:rPr>
        <w:t xml:space="preserve"> [1. September 2026], </w:t>
      </w:r>
      <w:r>
        <w:rPr>
          <w:rFonts w:ascii="Arial" w:hAnsi="Arial"/>
          <w:b w:val="0"/>
          <w:i/>
          <w:sz w:val="19"/>
        </w:rPr>
        <w:t>Rappler</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und </w:t>
      </w:r>
      <w:r>
        <w:rPr>
          <w:rFonts w:ascii="Arial" w:hAnsi="Arial"/>
          <w:b w:val="0"/>
          <w:i/>
          <w:sz w:val="19"/>
        </w:rPr>
        <w:t>Geo.tv</w:t>
      </w:r>
      <w:r>
        <w:rPr>
          <w:rFonts w:ascii="Arial" w:hAnsi="Arial"/>
          <w:b w:val="0"/>
          <w:i w:val="0"/>
          <w:sz w:val="19"/>
        </w:rPr>
        <w:t xml:space="preserve">, jeweils 1./2. September 2026); anwesend waren nach </w:t>
      </w:r>
      <w:r>
        <w:rPr>
          <w:rFonts w:ascii="Arial" w:hAnsi="Arial"/>
          <w:b w:val="0"/>
          <w:i/>
          <w:sz w:val="19"/>
        </w:rPr>
        <w:t>TechXplore</w:t>
      </w:r>
      <w:r>
        <w:rPr>
          <w:rFonts w:ascii="Arial" w:hAnsi="Arial"/>
          <w:b w:val="0"/>
          <w:i w:val="0"/>
          <w:sz w:val="19"/>
        </w:rPr>
        <w:t xml:space="preserve">-Bericht Ministerien aus </w:t>
      </w:r>
      <w:r>
        <w:rPr>
          <w:rFonts w:ascii="Arial" w:hAnsi="Arial"/>
          <w:b w:val="0"/>
          <w:i/>
          <w:sz w:val="19"/>
        </w:rPr>
        <w:t>Japan</w:t>
      </w:r>
      <w:r>
        <w:rPr>
          <w:rFonts w:ascii="Arial" w:hAnsi="Arial"/>
          <w:b w:val="0"/>
          <w:i w:val="0"/>
          <w:sz w:val="19"/>
        </w:rPr>
        <w:t xml:space="preserve">, </w:t>
      </w:r>
      <w:r>
        <w:rPr>
          <w:rFonts w:ascii="Arial" w:hAnsi="Arial"/>
          <w:b w:val="0"/>
          <w:i/>
          <w:sz w:val="19"/>
        </w:rPr>
        <w:t>Deutschland</w:t>
      </w:r>
      <w:r>
        <w:rPr>
          <w:rFonts w:ascii="Arial" w:hAnsi="Arial"/>
          <w:b w:val="0"/>
          <w:i w:val="0"/>
          <w:sz w:val="19"/>
        </w:rPr>
        <w:t xml:space="preserve">, </w:t>
      </w:r>
      <w:r>
        <w:rPr>
          <w:rFonts w:ascii="Arial" w:hAnsi="Arial"/>
          <w:b w:val="0"/>
          <w:i/>
          <w:sz w:val="19"/>
        </w:rPr>
        <w:t>Frankreich</w:t>
      </w:r>
      <w:r>
        <w:rPr>
          <w:rFonts w:ascii="Arial" w:hAnsi="Arial"/>
          <w:b w:val="0"/>
          <w:i w:val="0"/>
          <w:sz w:val="19"/>
        </w:rPr>
        <w:t xml:space="preserve">, </w:t>
      </w:r>
      <w:r>
        <w:rPr>
          <w:rFonts w:ascii="Arial" w:hAnsi="Arial"/>
          <w:b w:val="0"/>
          <w:i/>
          <w:sz w:val="19"/>
        </w:rPr>
        <w:t>Indien</w:t>
      </w:r>
      <w:r>
        <w:rPr>
          <w:rFonts w:ascii="Arial" w:hAnsi="Arial"/>
          <w:b w:val="0"/>
          <w:i w:val="0"/>
          <w:sz w:val="19"/>
        </w:rPr>
        <w:t xml:space="preserve"> und </w:t>
      </w:r>
      <w:r>
        <w:rPr>
          <w:rFonts w:ascii="Arial" w:hAnsi="Arial"/>
          <w:b w:val="0"/>
          <w:i/>
          <w:sz w:val="19"/>
        </w:rPr>
        <w:t>Südkorea</w:t>
      </w:r>
      <w:r>
        <w:rPr>
          <w:rFonts w:ascii="Arial" w:hAnsi="Arial"/>
          <w:b w:val="0"/>
          <w:i w:val="0"/>
          <w:sz w:val="19"/>
        </w:rPr>
        <w:t xml:space="preserve">, auf Anbieterseite unter anderem </w:t>
      </w:r>
      <w:r>
        <w:rPr>
          <w:rFonts w:ascii="Arial" w:hAnsi="Arial"/>
          <w:b w:val="0"/>
          <w:i/>
          <w:sz w:val="19"/>
        </w:rPr>
        <w:t>Elon Musk</w:t>
      </w:r>
      <w:r>
        <w:rPr>
          <w:rFonts w:ascii="Arial" w:hAnsi="Arial"/>
          <w:b w:val="0"/>
          <w:i w:val="0"/>
          <w:sz w:val="19"/>
        </w:rPr>
        <w:t xml:space="preserve"> (Tesla / xAI), </w:t>
      </w:r>
      <w:r>
        <w:rPr>
          <w:rFonts w:ascii="Arial" w:hAnsi="Arial"/>
          <w:b w:val="0"/>
          <w:i/>
          <w:sz w:val="19"/>
        </w:rPr>
        <w:t>Mark Zuckerberg</w:t>
      </w:r>
      <w:r>
        <w:rPr>
          <w:rFonts w:ascii="Arial" w:hAnsi="Arial"/>
          <w:b w:val="0"/>
          <w:i w:val="0"/>
          <w:sz w:val="19"/>
        </w:rPr>
        <w:t xml:space="preserve"> (Meta), </w:t>
      </w:r>
      <w:r>
        <w:rPr>
          <w:rFonts w:ascii="Arial" w:hAnsi="Arial"/>
          <w:b w:val="0"/>
          <w:i/>
          <w:sz w:val="19"/>
        </w:rPr>
        <w:t>Dina Powell McCormick</w:t>
      </w:r>
      <w:r>
        <w:rPr>
          <w:rFonts w:ascii="Arial" w:hAnsi="Arial"/>
          <w:b w:val="0"/>
          <w:i w:val="0"/>
          <w:sz w:val="19"/>
        </w:rPr>
        <w:t xml:space="preserve"> (Meta), </w:t>
      </w:r>
      <w:r>
        <w:rPr>
          <w:rFonts w:ascii="Arial" w:hAnsi="Arial"/>
          <w:b w:val="0"/>
          <w:i/>
          <w:sz w:val="19"/>
        </w:rPr>
        <w:t>David Sacks</w:t>
      </w:r>
      <w:r>
        <w:rPr>
          <w:rFonts w:ascii="Arial" w:hAnsi="Arial"/>
          <w:b w:val="0"/>
          <w:i w:val="0"/>
          <w:sz w:val="19"/>
        </w:rPr>
        <w:t xml:space="preserve"> (Investor) — Videokonferenz — sowie am Folgetag </w:t>
      </w:r>
      <w:r>
        <w:rPr>
          <w:rFonts w:ascii="Arial" w:hAnsi="Arial"/>
          <w:b w:val="0"/>
          <w:i/>
          <w:sz w:val="19"/>
        </w:rPr>
        <w:t>OpenAI-CEO</w:t>
      </w:r>
      <w:r>
        <w:rPr>
          <w:rFonts w:ascii="Arial" w:hAnsi="Arial"/>
          <w:b w:val="0"/>
          <w:i w:val="0"/>
          <w:sz w:val="19"/>
        </w:rPr>
        <w:t xml:space="preserve"> </w:t>
      </w:r>
      <w:r>
        <w:rPr>
          <w:rFonts w:ascii="Arial" w:hAnsi="Arial"/>
          <w:b w:val="0"/>
          <w:i/>
          <w:sz w:val="19"/>
        </w:rPr>
        <w:t>Sam Altman</w:t>
      </w:r>
      <w:r>
        <w:rPr>
          <w:rFonts w:ascii="Arial" w:hAnsi="Arial"/>
          <w:b w:val="0"/>
          <w:i w:val="0"/>
          <w:sz w:val="19"/>
        </w:rPr>
        <w:t xml:space="preserve"> und </w:t>
      </w:r>
      <w:r>
        <w:rPr>
          <w:rFonts w:ascii="Arial" w:hAnsi="Arial"/>
          <w:b w:val="0"/>
          <w:i/>
          <w:sz w:val="19"/>
        </w:rPr>
        <w:t>NVIDIA-CEO</w:t>
      </w:r>
      <w:r>
        <w:rPr>
          <w:rFonts w:ascii="Arial" w:hAnsi="Arial"/>
          <w:b w:val="0"/>
          <w:i w:val="0"/>
          <w:sz w:val="19"/>
        </w:rPr>
        <w:t xml:space="preserve"> </w:t>
      </w:r>
      <w:r>
        <w:rPr>
          <w:rFonts w:ascii="Arial" w:hAnsi="Arial"/>
          <w:b w:val="0"/>
          <w:i/>
          <w:sz w:val="19"/>
        </w:rPr>
        <w:t>Jensen Huang</w:t>
      </w:r>
      <w:r>
        <w:rPr>
          <w:rFonts w:ascii="Arial" w:hAnsi="Arial"/>
          <w:b w:val="0"/>
          <w:i w:val="0"/>
          <w:sz w:val="19"/>
        </w:rPr>
        <w:t xml:space="preserve"> in Präsenz und </w:t>
      </w:r>
      <w:r>
        <w:rPr>
          <w:rFonts w:ascii="Arial" w:hAnsi="Arial"/>
          <w:b w:val="0"/>
          <w:i/>
          <w:sz w:val="19"/>
        </w:rPr>
        <w:t>Google-DeepMind-CEO</w:t>
      </w:r>
      <w:r>
        <w:rPr>
          <w:rFonts w:ascii="Arial" w:hAnsi="Arial"/>
          <w:b w:val="0"/>
          <w:i w:val="0"/>
          <w:sz w:val="19"/>
        </w:rPr>
        <w:t xml:space="preserve"> </w:t>
      </w:r>
      <w:r>
        <w:rPr>
          <w:rFonts w:ascii="Arial" w:hAnsi="Arial"/>
          <w:b w:val="0"/>
          <w:i/>
          <w:sz w:val="19"/>
        </w:rPr>
        <w:t>Demis Hassabis</w:t>
      </w:r>
      <w:r>
        <w:rPr>
          <w:rFonts w:ascii="Arial" w:hAnsi="Arial"/>
          <w:b w:val="0"/>
          <w:i w:val="0"/>
          <w:sz w:val="19"/>
        </w:rPr>
        <w:t xml:space="preserve">. Substantiell verpflichteten die Grundsätze nach </w:t>
      </w:r>
      <w:r>
        <w:rPr>
          <w:rFonts w:ascii="Arial" w:hAnsi="Arial"/>
          <w:b w:val="0"/>
          <w:i/>
          <w:sz w:val="19"/>
        </w:rPr>
        <w:t>Quartz</w:t>
      </w:r>
      <w:r>
        <w:rPr>
          <w:rFonts w:ascii="Arial" w:hAnsi="Arial"/>
          <w:b w:val="0"/>
          <w:i w:val="0"/>
          <w:sz w:val="19"/>
        </w:rPr>
        <w:t xml:space="preserve">-Zusammenfassung Unterzeichnerstaaten darauf, </w:t>
      </w:r>
      <w:r>
        <w:rPr>
          <w:rFonts w:ascii="Arial" w:hAnsi="Arial"/>
          <w:b w:val="0"/>
          <w:i/>
          <w:sz w:val="19"/>
        </w:rPr>
        <w:t>„neue Regulierung für neuartige Erwägungen vorzuhalten"</w:t>
      </w:r>
      <w:r>
        <w:rPr>
          <w:rFonts w:ascii="Arial" w:hAnsi="Arial"/>
          <w:b w:val="0"/>
          <w:i w:val="0"/>
          <w:sz w:val="19"/>
        </w:rPr>
        <w:t xml:space="preserve"> (</w:t>
      </w:r>
      <w:r>
        <w:rPr>
          <w:rFonts w:ascii="Arial" w:hAnsi="Arial"/>
          <w:b w:val="0"/>
          <w:i/>
          <w:sz w:val="19"/>
        </w:rPr>
        <w:t>„reserve new regulation for novel considerations"</w:t>
      </w:r>
      <w:r>
        <w:rPr>
          <w:rFonts w:ascii="Arial" w:hAnsi="Arial"/>
          <w:b w:val="0"/>
          <w:i w:val="0"/>
          <w:sz w:val="19"/>
        </w:rPr>
        <w:t xml:space="preserve">), Fördermittel auf Grundlagenforschung zu lenken und </w:t>
      </w:r>
      <w:r>
        <w:rPr>
          <w:rFonts w:ascii="Arial" w:hAnsi="Arial"/>
          <w:b w:val="0"/>
          <w:i/>
          <w:sz w:val="19"/>
        </w:rPr>
        <w:t>„commercial opportunities"</w:t>
      </w:r>
      <w:r>
        <w:rPr>
          <w:rFonts w:ascii="Arial" w:hAnsi="Arial"/>
          <w:b w:val="0"/>
          <w:i w:val="0"/>
          <w:sz w:val="19"/>
        </w:rPr>
        <w:t xml:space="preserve"> für aufstrebende Technologien auszubauen; eine namentlich nicht genannte </w:t>
      </w:r>
      <w:r>
        <w:rPr>
          <w:rFonts w:ascii="Arial" w:hAnsi="Arial"/>
          <w:b w:val="0"/>
          <w:i/>
          <w:sz w:val="19"/>
        </w:rPr>
        <w:t>White-House</w:t>
      </w:r>
      <w:r>
        <w:rPr>
          <w:rFonts w:ascii="Arial" w:hAnsi="Arial"/>
          <w:b w:val="0"/>
          <w:i w:val="0"/>
          <w:sz w:val="19"/>
        </w:rPr>
        <w:t xml:space="preserve">-Quelle wird zusätzlich damit zitiert, die USA würden die Mitgliedstaaten drängen, </w:t>
      </w:r>
      <w:r>
        <w:rPr>
          <w:rFonts w:ascii="Arial" w:hAnsi="Arial"/>
          <w:b w:val="0"/>
          <w:i/>
          <w:sz w:val="19"/>
        </w:rPr>
        <w:t>keine neuen Regulierungsorgane</w:t>
      </w:r>
      <w:r>
        <w:rPr>
          <w:rFonts w:ascii="Arial" w:hAnsi="Arial"/>
          <w:b w:val="0"/>
          <w:i w:val="0"/>
          <w:sz w:val="19"/>
        </w:rPr>
        <w:t xml:space="preserve"> für die KI-Aufsicht einzurichten. Kratsios wird in der </w:t>
      </w:r>
      <w:r>
        <w:rPr>
          <w:rFonts w:ascii="Arial" w:hAnsi="Arial"/>
          <w:b w:val="0"/>
          <w:i/>
          <w:sz w:val="19"/>
        </w:rPr>
        <w:t>Al-Jazeera</w:t>
      </w:r>
      <w:r>
        <w:rPr>
          <w:rFonts w:ascii="Arial" w:hAnsi="Arial"/>
          <w:b w:val="0"/>
          <w:i w:val="0"/>
          <w:sz w:val="19"/>
        </w:rPr>
        <w:t xml:space="preserve">-Rezeption sinngemäß dahingehend referiert, </w:t>
      </w:r>
      <w:r>
        <w:rPr>
          <w:rFonts w:ascii="Arial" w:hAnsi="Arial"/>
          <w:b w:val="0"/>
          <w:i/>
          <w:sz w:val="19"/>
        </w:rPr>
        <w:t>Policymakers</w:t>
      </w:r>
      <w:r>
        <w:rPr>
          <w:rFonts w:ascii="Arial" w:hAnsi="Arial"/>
          <w:b w:val="0"/>
          <w:i w:val="0"/>
          <w:sz w:val="19"/>
        </w:rPr>
        <w:t xml:space="preserve"> müssten </w:t>
      </w:r>
      <w:r>
        <w:rPr>
          <w:rFonts w:ascii="Arial" w:hAnsi="Arial"/>
          <w:b w:val="0"/>
          <w:i/>
          <w:sz w:val="19"/>
        </w:rPr>
        <w:t>„each innovation"</w:t>
      </w:r>
      <w:r>
        <w:rPr>
          <w:rFonts w:ascii="Arial" w:hAnsi="Arial"/>
          <w:b w:val="0"/>
          <w:i w:val="0"/>
          <w:sz w:val="19"/>
        </w:rPr>
        <w:t xml:space="preserve"> nicht </w:t>
      </w:r>
      <w:r>
        <w:rPr>
          <w:rFonts w:ascii="Arial" w:hAnsi="Arial"/>
          <w:b w:val="0"/>
          <w:i/>
          <w:sz w:val="19"/>
        </w:rPr>
        <w:t>„in isolation"</w:t>
      </w:r>
      <w:r>
        <w:rPr>
          <w:rFonts w:ascii="Arial" w:hAnsi="Arial"/>
          <w:b w:val="0"/>
          <w:i w:val="0"/>
          <w:sz w:val="19"/>
        </w:rPr>
        <w:t xml:space="preserve"> behandeln und </w:t>
      </w:r>
      <w:r>
        <w:rPr>
          <w:rFonts w:ascii="Arial" w:hAnsi="Arial"/>
          <w:b w:val="0"/>
          <w:i/>
          <w:sz w:val="19"/>
        </w:rPr>
        <w:t>„should not treat emerging technologies as isolated policy problems"</w:t>
      </w:r>
      <w:r>
        <w:rPr>
          <w:rFonts w:ascii="Arial" w:hAnsi="Arial"/>
          <w:b w:val="0"/>
          <w:i w:val="0"/>
          <w:sz w:val="19"/>
        </w:rPr>
        <w:t xml:space="preserve">; Musk sei mit der Formel </w:t>
      </w:r>
      <w:r>
        <w:rPr>
          <w:rFonts w:ascii="Arial" w:hAnsi="Arial"/>
          <w:b w:val="0"/>
          <w:i/>
          <w:sz w:val="19"/>
        </w:rPr>
        <w:t>„default legal as opposed to default illegal"</w:t>
      </w:r>
      <w:r>
        <w:rPr>
          <w:rFonts w:ascii="Arial" w:hAnsi="Arial"/>
          <w:b w:val="0"/>
          <w:i w:val="0"/>
          <w:sz w:val="19"/>
        </w:rPr>
        <w:t xml:space="preserve"> zitiert worden. Nach </w:t>
      </w:r>
      <w:r>
        <w:rPr>
          <w:rFonts w:ascii="Arial" w:hAnsi="Arial"/>
          <w:b w:val="0"/>
          <w:i/>
          <w:sz w:val="19"/>
        </w:rPr>
        <w:t>Al Jazeera</w:t>
      </w:r>
      <w:r>
        <w:rPr>
          <w:rFonts w:ascii="Arial" w:hAnsi="Arial"/>
          <w:b w:val="0"/>
          <w:i w:val="0"/>
          <w:sz w:val="19"/>
        </w:rPr>
        <w:t xml:space="preserve">-Angabe habe Kratsios auch die </w:t>
      </w:r>
      <w:r>
        <w:rPr>
          <w:rFonts w:ascii="Arial" w:hAnsi="Arial"/>
          <w:b w:val="0"/>
          <w:i/>
          <w:sz w:val="19"/>
        </w:rPr>
        <w:t>chinesische</w:t>
      </w:r>
      <w:r>
        <w:rPr>
          <w:rFonts w:ascii="Arial" w:hAnsi="Arial"/>
          <w:b w:val="0"/>
          <w:i w:val="0"/>
          <w:sz w:val="19"/>
        </w:rPr>
        <w:t xml:space="preserve"> Regierung als Unterzeichnerin benannt (Konjunktivpflicht nach § 4.2 Claude.md, da eine unabhängige Bestätigung aus Peking zum Redaktionsschluss nicht vorliegt). Als europäisches Gegen-Framing wird die </w:t>
      </w:r>
      <w:r>
        <w:rPr>
          <w:rFonts w:ascii="Arial" w:hAnsi="Arial"/>
          <w:b w:val="0"/>
          <w:i/>
          <w:sz w:val="19"/>
        </w:rPr>
        <w:t>Vizepräsidentin der EU-Kommission</w:t>
      </w:r>
      <w:r>
        <w:rPr>
          <w:rFonts w:ascii="Arial" w:hAnsi="Arial"/>
          <w:b w:val="0"/>
          <w:i w:val="0"/>
          <w:sz w:val="19"/>
        </w:rPr>
        <w:t xml:space="preserve"> </w:t>
      </w:r>
      <w:r>
        <w:rPr>
          <w:rFonts w:ascii="Arial" w:hAnsi="Arial"/>
          <w:b w:val="0"/>
          <w:i/>
          <w:sz w:val="19"/>
        </w:rPr>
        <w:t>Henna Virkkunen</w:t>
      </w:r>
      <w:r>
        <w:rPr>
          <w:rFonts w:ascii="Arial" w:hAnsi="Arial"/>
          <w:b w:val="0"/>
          <w:i w:val="0"/>
          <w:sz w:val="19"/>
        </w:rPr>
        <w:t xml:space="preserve"> mit dem Ziel referiert, </w:t>
      </w:r>
      <w:r>
        <w:rPr>
          <w:rFonts w:ascii="Arial" w:hAnsi="Arial"/>
          <w:b w:val="0"/>
          <w:i/>
          <w:sz w:val="19"/>
        </w:rPr>
        <w:t>„sicherzustellen, dass KI in Europa sicher und transparent entwickelt, freigegeben und eingesetzt wird"</w:t>
      </w:r>
      <w:r>
        <w:rPr>
          <w:rFonts w:ascii="Arial" w:hAnsi="Arial"/>
          <w:b w:val="0"/>
          <w:i w:val="0"/>
          <w:sz w:val="19"/>
        </w:rPr>
        <w:t xml:space="preserve">; parallel habe die </w:t>
      </w:r>
      <w:r>
        <w:rPr>
          <w:rFonts w:ascii="Arial" w:hAnsi="Arial"/>
          <w:b w:val="0"/>
          <w:i/>
          <w:sz w:val="19"/>
        </w:rPr>
        <w:t>EU-Kommission</w:t>
      </w:r>
      <w:r>
        <w:rPr>
          <w:rFonts w:ascii="Arial" w:hAnsi="Arial"/>
          <w:b w:val="0"/>
          <w:i w:val="0"/>
          <w:sz w:val="19"/>
        </w:rPr>
        <w:t xml:space="preserve"> nach </w:t>
      </w:r>
      <w:r>
        <w:rPr>
          <w:rFonts w:ascii="Arial" w:hAnsi="Arial"/>
          <w:b w:val="0"/>
          <w:i/>
          <w:sz w:val="19"/>
        </w:rPr>
        <w:t>Al-Jazeera</w:t>
      </w:r>
      <w:r>
        <w:rPr>
          <w:rFonts w:ascii="Arial" w:hAnsi="Arial"/>
          <w:b w:val="0"/>
          <w:i w:val="0"/>
          <w:sz w:val="19"/>
        </w:rPr>
        <w:t xml:space="preserve">-Bericht </w:t>
      </w:r>
      <w:r>
        <w:rPr>
          <w:rFonts w:ascii="Arial" w:hAnsi="Arial"/>
          <w:b w:val="0"/>
          <w:i/>
          <w:sz w:val="19"/>
        </w:rPr>
        <w:t>Informationsanfragen</w:t>
      </w:r>
      <w:r>
        <w:rPr>
          <w:rFonts w:ascii="Arial" w:hAnsi="Arial"/>
          <w:b w:val="0"/>
          <w:i w:val="0"/>
          <w:sz w:val="19"/>
        </w:rPr>
        <w:t xml:space="preserve"> an über </w:t>
      </w:r>
      <w:r>
        <w:rPr>
          <w:rFonts w:ascii="Arial" w:hAnsi="Arial"/>
          <w:b w:val="0"/>
          <w:i/>
          <w:sz w:val="19"/>
        </w:rPr>
        <w:t>dreißig</w:t>
      </w:r>
      <w:r>
        <w:rPr>
          <w:rFonts w:ascii="Arial" w:hAnsi="Arial"/>
          <w:b w:val="0"/>
          <w:i w:val="0"/>
          <w:sz w:val="19"/>
        </w:rPr>
        <w:t xml:space="preserve"> KI-Unternehmen weltweit gerichtet, mit Fokus auf </w:t>
      </w:r>
      <w:r>
        <w:rPr>
          <w:rFonts w:ascii="Arial" w:hAnsi="Arial"/>
          <w:b w:val="0"/>
          <w:i/>
          <w:sz w:val="19"/>
        </w:rPr>
        <w:t>Sicherheits</w:t>
      </w:r>
      <w:r>
        <w:rPr>
          <w:rFonts w:ascii="Arial" w:hAnsi="Arial"/>
          <w:b w:val="0"/>
          <w:i w:val="0"/>
          <w:sz w:val="19"/>
        </w:rPr>
        <w:t xml:space="preserve">- und </w:t>
      </w:r>
      <w:r>
        <w:rPr>
          <w:rFonts w:ascii="Arial" w:hAnsi="Arial"/>
          <w:b w:val="0"/>
          <w:i/>
          <w:sz w:val="19"/>
        </w:rPr>
        <w:t>Urheberrechts</w:t>
      </w:r>
      <w:r>
        <w:rPr>
          <w:rFonts w:ascii="Arial" w:hAnsi="Arial"/>
          <w:b w:val="0"/>
          <w:i w:val="0"/>
          <w:sz w:val="19"/>
        </w:rPr>
        <w:t xml:space="preserve">-Konformität. Für die in § 4.5 zusammengeführte Governance- und Debattenkonstellation ist der Vorgang in vier Hinsichten bemerkenswert. Erstens verdichtet er die im </w:t>
      </w:r>
      <w:r>
        <w:rPr>
          <w:rFonts w:ascii="Arial" w:hAnsi="Arial"/>
          <w:b w:val="0"/>
          <w:i/>
          <w:sz w:val="19"/>
        </w:rPr>
        <w:t>National Policy Framework for Artificial Intelligence</w:t>
      </w:r>
      <w:r>
        <w:rPr>
          <w:rFonts w:ascii="Arial" w:hAnsi="Arial"/>
          <w:b w:val="0"/>
          <w:i w:val="0"/>
          <w:sz w:val="19"/>
        </w:rPr>
        <w:t xml:space="preserve"> vom März 2026 skizzierte </w:t>
      </w:r>
      <w:r>
        <w:rPr>
          <w:rFonts w:ascii="Arial" w:hAnsi="Arial"/>
          <w:b w:val="0"/>
          <w:i/>
          <w:sz w:val="19"/>
        </w:rPr>
        <w:t>„light-touch"</w:t>
      </w:r>
      <w:r>
        <w:rPr>
          <w:rFonts w:ascii="Arial" w:hAnsi="Arial"/>
          <w:b w:val="0"/>
          <w:i w:val="0"/>
          <w:sz w:val="19"/>
        </w:rPr>
        <w:t xml:space="preserve">-Präferenz zu einer </w:t>
      </w:r>
      <w:r>
        <w:rPr>
          <w:rFonts w:ascii="Arial" w:hAnsi="Arial"/>
          <w:b w:val="0"/>
          <w:i/>
          <w:sz w:val="19"/>
        </w:rPr>
        <w:t>multilateral-diplomatischen</w:t>
      </w:r>
      <w:r>
        <w:rPr>
          <w:rFonts w:ascii="Arial" w:hAnsi="Arial"/>
          <w:b w:val="0"/>
          <w:i w:val="0"/>
          <w:sz w:val="19"/>
        </w:rPr>
        <w:t xml:space="preserve"> Selbstverpflichtung, die anders als das nationale </w:t>
      </w:r>
      <w:r>
        <w:rPr>
          <w:rFonts w:ascii="Arial" w:hAnsi="Arial"/>
          <w:b w:val="0"/>
          <w:i/>
          <w:sz w:val="19"/>
        </w:rPr>
        <w:t>Federal-Preemption</w:t>
      </w:r>
      <w:r>
        <w:rPr>
          <w:rFonts w:ascii="Arial" w:hAnsi="Arial"/>
          <w:b w:val="0"/>
          <w:i w:val="0"/>
          <w:sz w:val="19"/>
        </w:rPr>
        <w:t xml:space="preserve">-Modell (§ 4.5, Trump-AI-Action-Plan) explizit die Regulierungsentscheidungen anderer Rechtsordnungen adressiert; die </w:t>
      </w:r>
      <w:r>
        <w:rPr>
          <w:rFonts w:ascii="Arial" w:hAnsi="Arial"/>
          <w:b w:val="0"/>
          <w:i/>
          <w:sz w:val="19"/>
        </w:rPr>
        <w:t>G20</w:t>
      </w:r>
      <w:r>
        <w:rPr>
          <w:rFonts w:ascii="Arial" w:hAnsi="Arial"/>
          <w:b w:val="0"/>
          <w:i w:val="0"/>
          <w:sz w:val="19"/>
        </w:rPr>
        <w:t xml:space="preserve">-Ebene wird damit erstmals als </w:t>
      </w:r>
      <w:r>
        <w:rPr>
          <w:rFonts w:ascii="Arial" w:hAnsi="Arial"/>
          <w:b w:val="0"/>
          <w:i/>
          <w:sz w:val="19"/>
        </w:rPr>
        <w:t>Anti-Regulierungs</w:t>
      </w:r>
      <w:r>
        <w:rPr>
          <w:rFonts w:ascii="Arial" w:hAnsi="Arial"/>
          <w:b w:val="0"/>
          <w:i w:val="0"/>
          <w:sz w:val="19"/>
        </w:rPr>
        <w:t xml:space="preserve">-Ordnungsforum in Anspruch genommen. Zweitens tritt der Vorstoß in unmittelbarem inhaltlichen Widerspruch zu der am 2. August 2026 in Kraft gesetzten </w:t>
      </w:r>
      <w:r>
        <w:rPr>
          <w:rFonts w:ascii="Arial" w:hAnsi="Arial"/>
          <w:b w:val="0"/>
          <w:i/>
          <w:sz w:val="19"/>
        </w:rPr>
        <w:t>EU-AI-Act</w:t>
      </w:r>
      <w:r>
        <w:rPr>
          <w:rFonts w:ascii="Arial" w:hAnsi="Arial"/>
          <w:b w:val="0"/>
          <w:i w:val="0"/>
          <w:sz w:val="19"/>
        </w:rPr>
        <w:t xml:space="preserve">-Durchsetzung (§ 4.3), zur </w:t>
      </w:r>
      <w:r>
        <w:rPr>
          <w:rFonts w:ascii="Arial" w:hAnsi="Arial"/>
          <w:b w:val="0"/>
          <w:i/>
          <w:sz w:val="19"/>
        </w:rPr>
        <w:t>Casar</w:t>
      </w:r>
      <w:r>
        <w:rPr>
          <w:rFonts w:ascii="Arial" w:hAnsi="Arial"/>
          <w:b w:val="0"/>
          <w:i w:val="0"/>
          <w:sz w:val="19"/>
        </w:rPr>
        <w:t>-</w:t>
      </w:r>
      <w:r>
        <w:rPr>
          <w:rFonts w:ascii="Arial" w:hAnsi="Arial"/>
          <w:b w:val="0"/>
          <w:i/>
          <w:sz w:val="19"/>
        </w:rPr>
        <w:t>AI-Tax-and-Work-Protection</w:t>
      </w:r>
      <w:r>
        <w:rPr>
          <w:rFonts w:ascii="Arial" w:hAnsi="Arial"/>
          <w:b w:val="0"/>
          <w:i w:val="0"/>
          <w:sz w:val="19"/>
        </w:rPr>
        <w:t xml:space="preserve">-Konstruktion (§ 4.5, 7. August 2026) und zum </w:t>
      </w:r>
      <w:r>
        <w:rPr>
          <w:rFonts w:ascii="Arial" w:hAnsi="Arial"/>
          <w:b w:val="0"/>
          <w:i/>
          <w:sz w:val="19"/>
        </w:rPr>
        <w:t>Bill-Gates</w:t>
      </w:r>
      <w:r>
        <w:rPr>
          <w:rFonts w:ascii="Arial" w:hAnsi="Arial"/>
          <w:b w:val="0"/>
          <w:i w:val="0"/>
          <w:sz w:val="19"/>
        </w:rPr>
        <w:t>-</w:t>
      </w:r>
      <w:r>
        <w:rPr>
          <w:rFonts w:ascii="Arial" w:hAnsi="Arial"/>
          <w:b w:val="0"/>
          <w:i/>
          <w:sz w:val="19"/>
        </w:rPr>
        <w:t>GatesNotes</w:t>
      </w:r>
      <w:r>
        <w:rPr>
          <w:rFonts w:ascii="Arial" w:hAnsi="Arial"/>
          <w:b w:val="0"/>
          <w:i w:val="0"/>
          <w:sz w:val="19"/>
        </w:rPr>
        <w:t xml:space="preserve">-Vorstoß (§ 4.5, 26. August 2026); die transatlantische Debattenkonstellation, die das Papier bislang als Bewegung von Sanders (Juni 2026) über OpenAI (Juli 2026), Casar (August 2026) und Gates (August 2026) rekonstruiert hat, erhält damit eine zeitgleiche institutionelle </w:t>
      </w:r>
      <w:r>
        <w:rPr>
          <w:rFonts w:ascii="Arial" w:hAnsi="Arial"/>
          <w:b w:val="0"/>
          <w:i/>
          <w:sz w:val="19"/>
        </w:rPr>
        <w:t>Gegen-Bewegung</w:t>
      </w:r>
      <w:r>
        <w:rPr>
          <w:rFonts w:ascii="Arial" w:hAnsi="Arial"/>
          <w:b w:val="0"/>
          <w:i w:val="0"/>
          <w:sz w:val="19"/>
        </w:rPr>
        <w:t xml:space="preserve"> aus der US-Exekutive. Drittens präzisiert die </w:t>
      </w:r>
      <w:r>
        <w:rPr>
          <w:rFonts w:ascii="Arial" w:hAnsi="Arial"/>
          <w:b w:val="0"/>
          <w:i/>
          <w:sz w:val="19"/>
        </w:rPr>
        <w:t>Musk</w:t>
      </w:r>
      <w:r>
        <w:rPr>
          <w:rFonts w:ascii="Arial" w:hAnsi="Arial"/>
          <w:b w:val="0"/>
          <w:i w:val="0"/>
          <w:sz w:val="19"/>
        </w:rPr>
        <w:t xml:space="preserve">-Formulierung </w:t>
      </w:r>
      <w:r>
        <w:rPr>
          <w:rFonts w:ascii="Arial" w:hAnsi="Arial"/>
          <w:b w:val="0"/>
          <w:i/>
          <w:sz w:val="19"/>
        </w:rPr>
        <w:t>„default legal as opposed to default illegal"</w:t>
      </w:r>
      <w:r>
        <w:rPr>
          <w:rFonts w:ascii="Arial" w:hAnsi="Arial"/>
          <w:b w:val="0"/>
          <w:i w:val="0"/>
          <w:sz w:val="19"/>
        </w:rPr>
        <w:t xml:space="preserve"> die schon in § 4.5 (Trump-AI-Action-Plan) und § 8.2 (Erste Fortschreibung) beobachtete Verlagerung des ordnungspolitischen Ausgangspunkts von der ex-ante Konformitäts­prüfung zur ex-post Aufsicht — eine Position, die den in § 5.1 und § 8.3 diskutierten wertschöpfungs­orientierten Zugriff strukturell schwächt, weil Bemessungsgrundlagen und Meldepflichten ohne ex-ante Konformitäts­infrastruktur nur eingeschränkt maschinenlesbar bleiben. Viertens verankert der Vorstoß die im OpenAI-Strategiepapier (§ 4.5, April 2026) skizzierte </w:t>
      </w:r>
      <w:r>
        <w:rPr>
          <w:rFonts w:ascii="Arial" w:hAnsi="Arial"/>
          <w:b w:val="0"/>
          <w:i/>
          <w:sz w:val="19"/>
        </w:rPr>
        <w:t>„Regulatory Nihilism"</w:t>
      </w:r>
      <w:r>
        <w:rPr>
          <w:rFonts w:ascii="Arial" w:hAnsi="Arial"/>
          <w:b w:val="0"/>
          <w:i w:val="0"/>
          <w:sz w:val="19"/>
        </w:rPr>
        <w:t xml:space="preserve">-Kritik der </w:t>
      </w:r>
      <w:r>
        <w:rPr>
          <w:rFonts w:ascii="Arial" w:hAnsi="Arial"/>
          <w:b w:val="0"/>
          <w:i/>
          <w:sz w:val="19"/>
        </w:rPr>
        <w:t>Tech-Policy-Press</w:t>
      </w:r>
      <w:r>
        <w:rPr>
          <w:rFonts w:ascii="Arial" w:hAnsi="Arial"/>
          <w:b w:val="0"/>
          <w:i w:val="0"/>
          <w:sz w:val="19"/>
        </w:rPr>
        <w:t xml:space="preserve"> (6. April 2026) auf einer diplomatisch-institutionellen Ebene: Der Substanz nach fordern die </w:t>
      </w:r>
      <w:r>
        <w:rPr>
          <w:rFonts w:ascii="Arial" w:hAnsi="Arial"/>
          <w:b w:val="0"/>
          <w:i/>
          <w:sz w:val="19"/>
        </w:rPr>
        <w:t>Carolina Principles</w:t>
      </w:r>
      <w:r>
        <w:rPr>
          <w:rFonts w:ascii="Arial" w:hAnsi="Arial"/>
          <w:b w:val="0"/>
          <w:i w:val="0"/>
          <w:sz w:val="19"/>
        </w:rPr>
        <w:t xml:space="preserve"> eine Anti-Institutionalisierung der KI-Aufsicht, die die europäische Governance-Architektur (AI-Act-Durchsetzung, Digital-Omnibus-Prozess) und die deutsche Debatte über eine wertschöpfungs­bezogene Anknüpfung (§ 5.1, § 8.3) inhaltlich unterläuft. Für die Deutschland-These (§ 8.3) und die europäische Reformagenda (§ 10.2) verstärkt der Vorgang die Beobachtung, dass eine wertschöpfungs­bezogene inländische KI-Nutzungsabgabe zusätzlich robust gegenüber transatlantischen Anti-Regulierungs­koalitionen konstruiert werden muss, weil die USA nach der zum 2. September 2026 vorliegenden Verhandlungslage aktiv gegen die Etablierung neuer nationaler KI-Regulierungs­institutionen mobilisieren. Zum Redaktionsschluss stand die Zahl der tatsächlich unterzeichnenden Regierungen sowie die formelle Fassung des Framework-Texts nicht öffentlich zur Verfügung; das Ministerial wird nach </w:t>
      </w:r>
      <w:r>
        <w:rPr>
          <w:rFonts w:ascii="Arial" w:hAnsi="Arial"/>
          <w:b w:val="0"/>
          <w:i/>
          <w:sz w:val="19"/>
        </w:rPr>
        <w:t>TechXplore</w:t>
      </w:r>
      <w:r>
        <w:rPr>
          <w:rFonts w:ascii="Arial" w:hAnsi="Arial"/>
          <w:b w:val="0"/>
          <w:i w:val="0"/>
          <w:sz w:val="19"/>
        </w:rPr>
        <w:t xml:space="preserve"> am 2. September 2026 fortgesetzt und mündet nach </w:t>
      </w:r>
      <w:r>
        <w:rPr>
          <w:rFonts w:ascii="Arial" w:hAnsi="Arial"/>
          <w:b w:val="0"/>
          <w:i/>
          <w:sz w:val="19"/>
        </w:rPr>
        <w:t>Chapelboro</w:t>
      </w:r>
      <w:r>
        <w:rPr>
          <w:rFonts w:ascii="Arial" w:hAnsi="Arial"/>
          <w:b w:val="0"/>
          <w:i w:val="0"/>
          <w:sz w:val="19"/>
        </w:rPr>
        <w:t xml:space="preserve"> in einen </w:t>
      </w:r>
      <w:r>
        <w:rPr>
          <w:rFonts w:ascii="Arial" w:hAnsi="Arial"/>
          <w:b w:val="0"/>
          <w:i/>
          <w:sz w:val="19"/>
        </w:rPr>
        <w:t>G20</w:t>
      </w:r>
      <w:r>
        <w:rPr>
          <w:rFonts w:ascii="Arial" w:hAnsi="Arial"/>
          <w:b w:val="0"/>
          <w:i w:val="0"/>
          <w:sz w:val="19"/>
        </w:rPr>
        <w:t xml:space="preserve">-Gipfel am </w:t>
      </w:r>
      <w:r>
        <w:rPr>
          <w:rFonts w:ascii="Arial" w:hAnsi="Arial"/>
          <w:b w:val="0"/>
          <w:i/>
          <w:sz w:val="19"/>
        </w:rPr>
        <w:t>14./15. Dezember 2026</w:t>
      </w:r>
      <w:r>
        <w:rPr>
          <w:rFonts w:ascii="Arial" w:hAnsi="Arial"/>
          <w:b w:val="0"/>
          <w:i w:val="0"/>
          <w:sz w:val="19"/>
        </w:rPr>
        <w:t xml:space="preserve"> in </w:t>
      </w:r>
      <w:r>
        <w:rPr>
          <w:rFonts w:ascii="Arial" w:hAnsi="Arial"/>
          <w:b w:val="0"/>
          <w:i/>
          <w:sz w:val="19"/>
        </w:rPr>
        <w:t>Miami</w:t>
      </w:r>
      <w:r>
        <w:rPr>
          <w:rFonts w:ascii="Arial" w:hAnsi="Arial"/>
          <w:b w:val="0"/>
          <w:i w:val="0"/>
          <w:sz w:val="19"/>
        </w:rPr>
        <w:t xml:space="preserve"> (Konjunktivpflicht nach § 4.2 Claude.md, da Framework-Text und Unterzeichnerkreis unveröffentlicht bleiben).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jc w:val="both"/>
      </w:pPr>
      <w:r>
        <w:rPr>
          <w:rFonts w:ascii="Arial" w:hAnsi="Arial"/>
          <w:b/>
          <w:i w:val="0"/>
          <w:sz w:val="19"/>
        </w:rPr>
        <w:t>Aktualisierung (21. August 2026) — Future Response Fund („미래대응기금"):</w:t>
      </w:r>
      <w:r>
        <w:rPr>
          <w:rFonts w:ascii="Arial" w:hAnsi="Arial"/>
          <w:b w:val="0"/>
          <w:i w:val="0"/>
          <w:sz w:val="19"/>
        </w:rPr>
        <w:t xml:space="preserve"> Nur eine Woche nach dem Lee-Hae-min-Deployer-Beitragspaket vom 14. August 2026 (siehe unmittelbar folgender Absatz) hat das südkoreanische </w:t>
      </w:r>
      <w:r>
        <w:rPr>
          <w:rFonts w:ascii="Arial" w:hAnsi="Arial"/>
          <w:b w:val="0"/>
          <w:i/>
          <w:sz w:val="19"/>
        </w:rPr>
        <w:t>Ministry of Planning and Budget</w:t>
      </w:r>
      <w:r>
        <w:rPr>
          <w:rFonts w:ascii="Arial" w:hAnsi="Arial"/>
          <w:b w:val="0"/>
          <w:i w:val="0"/>
          <w:sz w:val="19"/>
        </w:rPr>
        <w:t xml:space="preserve"> (기획재정부; Minister Park Hong-keun) am 21. August 2026 den Aufbau eines neuen </w:t>
      </w:r>
      <w:r>
        <w:rPr>
          <w:rFonts w:ascii="Arial" w:hAnsi="Arial"/>
          <w:b w:val="0"/>
          <w:i/>
          <w:sz w:val="19"/>
        </w:rPr>
        <w:t>Future Response Fund</w:t>
      </w:r>
      <w:r>
        <w:rPr>
          <w:rFonts w:ascii="Arial" w:hAnsi="Arial"/>
          <w:b w:val="0"/>
          <w:i w:val="0"/>
          <w:sz w:val="19"/>
        </w:rPr>
        <w:t xml:space="preserve"> („미래대응기금") angekündigt, der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sowie der spezialisierten Rezeption von </w:t>
      </w:r>
      <w:r>
        <w:rPr>
          <w:rFonts w:ascii="Arial" w:hAnsi="Arial"/>
          <w:b w:val="0"/>
          <w:i/>
          <w:sz w:val="19"/>
        </w:rPr>
        <w:t>MLex</w:t>
      </w:r>
      <w:r>
        <w:rPr>
          <w:rFonts w:ascii="Arial" w:hAnsi="Arial"/>
          <w:b w:val="0"/>
          <w:i w:val="0"/>
          <w:sz w:val="19"/>
        </w:rPr>
        <w:t xml:space="preserve"> (21. August 2026) mit einem geplanten Anfangsvolumen von mindestens 100 Billionen koreanischen Won (etwa 72 Milliarden US-Dollar; nach </w:t>
      </w:r>
      <w:r>
        <w:rPr>
          <w:rFonts w:ascii="Arial" w:hAnsi="Arial"/>
          <w:b w:val="0"/>
          <w:i/>
          <w:sz w:val="19"/>
        </w:rPr>
        <w:t>KED-Global</w:t>
      </w:r>
      <w:r>
        <w:rPr>
          <w:rFonts w:ascii="Arial" w:hAnsi="Arial"/>
          <w:b w:val="0"/>
          <w:i w:val="0"/>
          <w:sz w:val="19"/>
        </w:rPr>
        <w:t xml:space="preserve">-Bewertung bis zu rund 145 Milliarden US-Dollar über die Laufzeit) aus </w:t>
      </w:r>
      <w:r>
        <w:rPr>
          <w:rFonts w:ascii="Arial" w:hAnsi="Arial"/>
          <w:b w:val="0"/>
          <w:i/>
          <w:sz w:val="19"/>
        </w:rPr>
        <w:t>„Windfall Revenue"</w:t>
      </w:r>
      <w:r>
        <w:rPr>
          <w:rFonts w:ascii="Arial" w:hAnsi="Arial"/>
          <w:b w:val="0"/>
          <w:i w:val="0"/>
          <w:sz w:val="19"/>
        </w:rPr>
        <w:t xml:space="preserve"> gespeist werde — konkret aus Steuereinnahmen, die den 10-Jahres-Durchschnittstrend des inländischen Aufkommens übersteigen und in der laufenden Periode überwiegend aus der halbleiter- und KI-getriebenen Körperschaftsteuer stammen. Der Fonds wird nicht als klassischer Sovereign-Wealth-Fund angelegt, sondern als </w:t>
      </w:r>
      <w:r>
        <w:rPr>
          <w:rFonts w:ascii="Arial" w:hAnsi="Arial"/>
          <w:b w:val="0"/>
          <w:i/>
          <w:sz w:val="19"/>
        </w:rPr>
        <w:t>fiskalisches Reservoir</w:t>
      </w:r>
      <w:r>
        <w:rPr>
          <w:rFonts w:ascii="Arial" w:hAnsi="Arial"/>
          <w:b w:val="0"/>
          <w:i w:val="0"/>
          <w:sz w:val="19"/>
        </w:rPr>
        <w:t xml:space="preserve">, das Überschüsse in Boom-Phasen akkumuliert, in Abschwungphasen supplementiert und der Regierung eine Umschichtung von bis zu 20 % zwischen den Einzelprojekten ohne Zustimmung der </w:t>
      </w:r>
      <w:r>
        <w:rPr>
          <w:rFonts w:ascii="Arial" w:hAnsi="Arial"/>
          <w:b w:val="0"/>
          <w:i/>
          <w:sz w:val="19"/>
        </w:rPr>
        <w:t>Nationalversammlung</w:t>
      </w:r>
      <w:r>
        <w:rPr>
          <w:rFonts w:ascii="Arial" w:hAnsi="Arial"/>
          <w:b w:val="0"/>
          <w:i w:val="0"/>
          <w:sz w:val="19"/>
        </w:rPr>
        <w:t xml:space="preserve"> erlaubt. Investitionsziele: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sowie </w:t>
      </w:r>
      <w:r>
        <w:rPr>
          <w:rFonts w:ascii="Arial" w:hAnsi="Arial"/>
          <w:b w:val="0"/>
          <w:i/>
          <w:sz w:val="19"/>
        </w:rPr>
        <w:t>Bildung und Talent</w:t>
      </w:r>
      <w:r>
        <w:rPr>
          <w:rFonts w:ascii="Arial" w:hAnsi="Arial"/>
          <w:b w:val="0"/>
          <w:i w:val="0"/>
          <w:sz w:val="19"/>
        </w:rPr>
        <w:t xml:space="preserve"> (frühkindliche, hochschulische und lebenslange Bildung, Talent­anziehung). Legislativ vorgesehen: Kabinettsberatung am 1. September 2026, Vorlage an die </w:t>
      </w:r>
      <w:r>
        <w:rPr>
          <w:rFonts w:ascii="Arial" w:hAnsi="Arial"/>
          <w:b w:val="0"/>
          <w:i/>
          <w:sz w:val="19"/>
        </w:rPr>
        <w:t>Nationalversammlung</w:t>
      </w:r>
      <w:r>
        <w:rPr>
          <w:rFonts w:ascii="Arial" w:hAnsi="Arial"/>
          <w:b w:val="0"/>
          <w:i w:val="0"/>
          <w:sz w:val="19"/>
        </w:rPr>
        <w:t xml:space="preserve"> am 3. September 2026 (Konjunktivpflicht nach § 4.2 Claude.md). Damit tritt Südkorea in derselben Steuer- und Sozialreformperiode auf einer </w:t>
      </w:r>
      <w:r>
        <w:rPr>
          <w:rFonts w:ascii="Arial" w:hAnsi="Arial"/>
          <w:b w:val="0"/>
          <w:i/>
          <w:sz w:val="19"/>
        </w:rPr>
        <w:t>dritten</w:t>
      </w:r>
      <w:r>
        <w:rPr>
          <w:rFonts w:ascii="Arial" w:hAnsi="Arial"/>
          <w:b w:val="0"/>
          <w:i w:val="0"/>
          <w:sz w:val="19"/>
        </w:rPr>
        <w:t xml:space="preserve"> Wertschöpfungsschicht in Erscheinung: nach der ertragsseitigen </w:t>
      </w:r>
      <w:r>
        <w:rPr>
          <w:rFonts w:ascii="Arial" w:hAnsi="Arial"/>
          <w:b w:val="0"/>
          <w:i/>
          <w:sz w:val="19"/>
        </w:rPr>
        <w:t>Produktionsförderung</w:t>
      </w:r>
      <w:r>
        <w:rPr>
          <w:rFonts w:ascii="Arial" w:hAnsi="Arial"/>
          <w:b w:val="0"/>
          <w:i w:val="0"/>
          <w:sz w:val="19"/>
        </w:rPr>
        <w:t xml:space="preserve"> auf der Fertigungsschicht (Domestic Production Tax Credit vom 3. August 2026, siehe folgender Absatz), der aufkommenserzeugenden </w:t>
      </w:r>
      <w:r>
        <w:rPr>
          <w:rFonts w:ascii="Arial" w:hAnsi="Arial"/>
          <w:b w:val="0"/>
          <w:i/>
          <w:sz w:val="19"/>
        </w:rPr>
        <w:t>Deployer-Abgabe</w:t>
      </w:r>
      <w:r>
        <w:rPr>
          <w:rFonts w:ascii="Arial" w:hAnsi="Arial"/>
          <w:b w:val="0"/>
          <w:i w:val="0"/>
          <w:sz w:val="19"/>
        </w:rPr>
        <w:t xml:space="preserve"> auf der Beschäftigungs­schicht (AI Transition Response Contribution vom 14. August 2026, siehe folgender Absatz) und nun der </w:t>
      </w:r>
      <w:r>
        <w:rPr>
          <w:rFonts w:ascii="Arial" w:hAnsi="Arial"/>
          <w:b w:val="0"/>
          <w:i/>
          <w:sz w:val="19"/>
        </w:rPr>
        <w:t>fiskalischen Reservoir-Bildung</w:t>
      </w:r>
      <w:r>
        <w:rPr>
          <w:rFonts w:ascii="Arial" w:hAnsi="Arial"/>
          <w:b w:val="0"/>
          <w:i w:val="0"/>
          <w:sz w:val="19"/>
        </w:rPr>
        <w:t xml:space="preserve"> auf der Kapitalertrags­schicht (Future Response Fund vom 21. August 2026). Für die vorliegende Steuerdebatte ist der Vorgang in vier Hinsichten bemerkenswert. Erstens dokumentiert er erstmals in einem OECD-Land eine institutionelle Anerkennung, dass der KI-Buildout eine spezifische </w:t>
      </w:r>
      <w:r>
        <w:rPr>
          <w:rFonts w:ascii="Arial" w:hAnsi="Arial"/>
          <w:b w:val="0"/>
          <w:i/>
          <w:sz w:val="19"/>
        </w:rPr>
        <w:t>fiskalische Windfall</w:t>
      </w:r>
      <w:r>
        <w:rPr>
          <w:rFonts w:ascii="Arial" w:hAnsi="Arial"/>
          <w:b w:val="0"/>
          <w:i w:val="0"/>
          <w:sz w:val="19"/>
        </w:rPr>
        <w:t xml:space="preserve">-Komponente erzeugt, die von der laufenden Konjunktur- und Rentabilitäts­lage der beteiligten Unternehmen abgeleitet und aus dem allgemeinen Haushalt herausgelöst wird — ein Ansatz, der der in § 5.4 diskutierten Staatsfonds- und Dividenden­logik strukturell nahesteht, aber ohne Beteiligung an einzelnen KI-Unternehmen auskommt und damit die in § 8.2 aufgenommene </w:t>
      </w:r>
      <w:r>
        <w:rPr>
          <w:rFonts w:ascii="Arial" w:hAnsi="Arial"/>
          <w:b w:val="0"/>
          <w:i/>
          <w:sz w:val="19"/>
        </w:rPr>
        <w:t>fiskalische Volatilität einer bestands­orientierten Umverteilungs­logik</w:t>
      </w:r>
      <w:r>
        <w:rPr>
          <w:rFonts w:ascii="Arial" w:hAnsi="Arial"/>
          <w:b w:val="0"/>
          <w:i w:val="0"/>
          <w:sz w:val="19"/>
        </w:rPr>
        <w:t xml:space="preserve"> umgeht. Zweitens verankert die Zweckbindung (Jugend / Wachstumsmotoren / Regionen / Bildung) den in § 8.3 (Teilhabefrage) skizzierten Gedanken einer </w:t>
      </w:r>
      <w:r>
        <w:rPr>
          <w:rFonts w:ascii="Arial" w:hAnsi="Arial"/>
          <w:b w:val="0"/>
          <w:i/>
          <w:sz w:val="19"/>
        </w:rPr>
        <w:t>präventiv-investiven Rückverteilung</w:t>
      </w:r>
      <w:r>
        <w:rPr>
          <w:rFonts w:ascii="Arial" w:hAnsi="Arial"/>
          <w:b w:val="0"/>
          <w:i w:val="0"/>
          <w:sz w:val="19"/>
        </w:rPr>
        <w:t xml:space="preserve"> KI-erzeugter Kapitalrenditen; die Jugend-Priorität liefert dabei eine direkte politische Antwort auf die von der Bank of Korea am 18. August 2026 dokumentierte Kohorten­verschiebung (94 % der 285.000 Netto-Jugendbeschäftigungsverluste 2022–2026 in KI-exponierten Sektoren, § 3.5). Drittens etabliert die </w:t>
      </w:r>
      <w:r>
        <w:rPr>
          <w:rFonts w:ascii="Arial" w:hAnsi="Arial"/>
          <w:b w:val="0"/>
          <w:i/>
          <w:sz w:val="19"/>
        </w:rPr>
        <w:t>Fiscal-Reservoir</w:t>
      </w:r>
      <w:r>
        <w:rPr>
          <w:rFonts w:ascii="Arial" w:hAnsi="Arial"/>
          <w:b w:val="0"/>
          <w:i w:val="0"/>
          <w:sz w:val="19"/>
        </w:rPr>
        <w:t xml:space="preserve">-Konstruktion — Überschussakkumulation in Boom-Phasen, Supplementierung in Downturns, 20-%-Umschichtungs­flexibilität — ein Governance-Modell, das der in § 5.4 skizzierten </w:t>
      </w:r>
      <w:r>
        <w:rPr>
          <w:rFonts w:ascii="Arial" w:hAnsi="Arial"/>
          <w:b w:val="0"/>
          <w:i/>
          <w:sz w:val="19"/>
        </w:rPr>
        <w:t>automatisch-fiskalischen Stabilisator</w:t>
      </w:r>
      <w:r>
        <w:rPr>
          <w:rFonts w:ascii="Arial" w:hAnsi="Arial"/>
          <w:b w:val="0"/>
          <w:i w:val="0"/>
          <w:sz w:val="19"/>
        </w:rPr>
        <w:t>-Logik des US-</w:t>
      </w:r>
      <w:r>
        <w:rPr>
          <w:rFonts w:ascii="Arial" w:hAnsi="Arial"/>
          <w:b w:val="0"/>
          <w:i/>
          <w:sz w:val="19"/>
        </w:rPr>
        <w:t>AI Tax and Work Protection Act</w:t>
      </w:r>
      <w:r>
        <w:rPr>
          <w:rFonts w:ascii="Arial" w:hAnsi="Arial"/>
          <w:b w:val="0"/>
          <w:i w:val="0"/>
          <w:sz w:val="19"/>
        </w:rPr>
        <w:t xml:space="preserve"> (H.R. 10044, § 4.5) auf der Ausgaben­seite entspricht, während H.R. 10044 dies auf der Einnahmen­seite tut; beide Ansätze konvergieren auf die Erwartung einer </w:t>
      </w:r>
      <w:r>
        <w:rPr>
          <w:rFonts w:ascii="Arial" w:hAnsi="Arial"/>
          <w:b w:val="0"/>
          <w:i/>
          <w:sz w:val="19"/>
        </w:rPr>
        <w:t>diskontinuierlichen</w:t>
      </w:r>
      <w:r>
        <w:rPr>
          <w:rFonts w:ascii="Arial" w:hAnsi="Arial"/>
          <w:b w:val="0"/>
          <w:i w:val="0"/>
          <w:sz w:val="19"/>
        </w:rPr>
        <w:t xml:space="preserve"> KI-Wirkung, die eine antizyklische fiskalische Reaktionskapazität voraussetzt. Viertens bleibt der südkoreanische Ansatz — anders als der in § 5.4 skizzierte OpenAI-Vorschlag eines norwegisch inspirierten AI-Sovereign-Wealth-Funds — ohne unmittelbare Anteile­beteiligung am KI-Sektor: Der Zugriff erfolgt auf der Ebene der bestehenden Körperschaftsteuer­einnahmen, nicht auf der Ebene des Modell-Eigentums. Für die in Kapitel 8 entwickelte Deutschland-These ist der Vorgang deshalb ein indirekter Bestätigungspunkt: Auch außerhalb einer </w:t>
      </w:r>
      <w:r>
        <w:rPr>
          <w:rFonts w:ascii="Arial" w:hAnsi="Arial"/>
          <w:b w:val="0"/>
          <w:i/>
          <w:sz w:val="19"/>
        </w:rPr>
        <w:t>Wertschöpfungs­abgabe</w:t>
      </w:r>
      <w:r>
        <w:rPr>
          <w:rFonts w:ascii="Arial" w:hAnsi="Arial"/>
          <w:b w:val="0"/>
          <w:i w:val="0"/>
          <w:sz w:val="19"/>
        </w:rPr>
        <w:t xml:space="preserve"> im engeren Sinne (§ 5.1) ist eine institutionalisierte Rückverteilung KI-erzeugter Windfall-Renditen politisch möglich, sobald der fiskalische Grundmechanismus (regelbasierter Trend-Überschuss statt Anbieter-Zwangs­abgabe) sauber definiert ist.</w:t>
      </w:r>
    </w:p>
    <w:p>
      <w:pPr>
        <w:jc w:val="both"/>
      </w:pPr>
      <w:r>
        <w:rPr>
          <w:rFonts w:ascii="Arial" w:hAnsi="Arial"/>
          <w:b/>
          <w:i w:val="0"/>
          <w:sz w:val="19"/>
        </w:rPr>
        <w:t>Aktualisierung (14. August 2026) — AI Transition Response Contribution („AI 전환 대응 분담금"):</w:t>
      </w:r>
      <w:r>
        <w:rPr>
          <w:rFonts w:ascii="Arial" w:hAnsi="Arial"/>
          <w:b w:val="0"/>
          <w:i w:val="0"/>
          <w:sz w:val="19"/>
        </w:rPr>
        <w:t xml:space="preserve"> Nur elf Tage nach der MOEF-Steuerreformvorlage hat die Abgeordnete </w:t>
      </w:r>
      <w:r>
        <w:rPr>
          <w:rFonts w:ascii="Arial" w:hAnsi="Arial"/>
          <w:b w:val="0"/>
          <w:i/>
          <w:sz w:val="19"/>
        </w:rPr>
        <w:t>Lee Hae-min</w:t>
      </w:r>
      <w:r>
        <w:rPr>
          <w:rFonts w:ascii="Arial" w:hAnsi="Arial"/>
          <w:b w:val="0"/>
          <w:i w:val="0"/>
          <w:sz w:val="19"/>
        </w:rPr>
        <w:t xml:space="preserve"> (이해민, </w:t>
      </w:r>
      <w:r>
        <w:rPr>
          <w:rFonts w:ascii="Arial" w:hAnsi="Arial"/>
          <w:b w:val="0"/>
          <w:i/>
          <w:sz w:val="19"/>
        </w:rPr>
        <w:t>Rebuilding Korea Party</w:t>
      </w:r>
      <w:r>
        <w:rPr>
          <w:rFonts w:ascii="Arial" w:hAnsi="Arial"/>
          <w:b w:val="0"/>
          <w:i w:val="0"/>
          <w:sz w:val="19"/>
        </w:rPr>
        <w:t xml:space="preserve"> / 조국혁신당) am 14. August 2026 in der </w:t>
      </w:r>
      <w:r>
        <w:rPr>
          <w:rFonts w:ascii="Arial" w:hAnsi="Arial"/>
          <w:b w:val="0"/>
          <w:i/>
          <w:sz w:val="19"/>
        </w:rPr>
        <w:t>Nationalversammlung</w:t>
      </w:r>
      <w:r>
        <w:rPr>
          <w:rFonts w:ascii="Arial" w:hAnsi="Arial"/>
          <w:b w:val="0"/>
          <w:i w:val="0"/>
          <w:sz w:val="19"/>
        </w:rPr>
        <w:t xml:space="preserve"> gemeinsam mit </w:t>
      </w:r>
      <w:r>
        <w:rPr>
          <w:rFonts w:ascii="Arial" w:hAnsi="Arial"/>
          <w:b w:val="0"/>
          <w:i/>
          <w:sz w:val="19"/>
        </w:rPr>
        <w:t>Lee Joo-hee</w:t>
      </w:r>
      <w:r>
        <w:rPr>
          <w:rFonts w:ascii="Arial" w:hAnsi="Arial"/>
          <w:b w:val="0"/>
          <w:i w:val="0"/>
          <w:sz w:val="19"/>
        </w:rPr>
        <w:t xml:space="preserve"> (이주희, </w:t>
      </w:r>
      <w:r>
        <w:rPr>
          <w:rFonts w:ascii="Arial" w:hAnsi="Arial"/>
          <w:b w:val="0"/>
          <w:i/>
          <w:sz w:val="19"/>
        </w:rPr>
        <w:t>Democratic Party of Korea</w:t>
      </w:r>
      <w:r>
        <w:rPr>
          <w:rFonts w:ascii="Arial" w:hAnsi="Arial"/>
          <w:b w:val="0"/>
          <w:i w:val="0"/>
          <w:sz w:val="19"/>
        </w:rPr>
        <w:t xml:space="preserve"> / 더불어민주당) ein Drei-Gesetzes-Paket vorgelegt, das strukturell in die Gegenrichtung zielt: erstens einen </w:t>
      </w:r>
      <w:r>
        <w:rPr>
          <w:rFonts w:ascii="Arial" w:hAnsi="Arial"/>
          <w:b w:val="0"/>
          <w:i/>
          <w:sz w:val="19"/>
        </w:rPr>
        <w:t>Basic Society Act for AI Transition Response</w:t>
      </w:r>
      <w:r>
        <w:rPr>
          <w:rFonts w:ascii="Arial" w:hAnsi="Arial"/>
          <w:b w:val="0"/>
          <w:i w:val="0"/>
          <w:sz w:val="19"/>
        </w:rPr>
        <w:t xml:space="preserve"> („AI 전환 대응을 위한 기본사회법안"), zweitens eine Änderung des </w:t>
      </w:r>
      <w:r>
        <w:rPr>
          <w:rFonts w:ascii="Arial" w:hAnsi="Arial"/>
          <w:b w:val="0"/>
          <w:i/>
          <w:sz w:val="19"/>
        </w:rPr>
        <w:t>National Finance Act</w:t>
      </w:r>
      <w:r>
        <w:rPr>
          <w:rFonts w:ascii="Arial" w:hAnsi="Arial"/>
          <w:b w:val="0"/>
          <w:i w:val="0"/>
          <w:sz w:val="19"/>
        </w:rPr>
        <w:t xml:space="preserve"> (국가재정법 일부개정법률안) und drittens eine Änderung des </w:t>
      </w:r>
      <w:r>
        <w:rPr>
          <w:rFonts w:ascii="Arial" w:hAnsi="Arial"/>
          <w:b w:val="0"/>
          <w:i/>
          <w:sz w:val="19"/>
        </w:rPr>
        <w:t>Basic Act on Levy Management</w:t>
      </w:r>
      <w:r>
        <w:rPr>
          <w:rFonts w:ascii="Arial" w:hAnsi="Arial"/>
          <w:b w:val="0"/>
          <w:i w:val="0"/>
          <w:sz w:val="19"/>
        </w:rPr>
        <w:t xml:space="preserve"> (부담금 관리 기본법 일부개정법률안). Kernstück ist die Einführung einer </w:t>
      </w:r>
      <w:r>
        <w:rPr>
          <w:rFonts w:ascii="Arial" w:hAnsi="Arial"/>
          <w:b w:val="0"/>
          <w:i/>
          <w:sz w:val="19"/>
        </w:rPr>
        <w:t>AI Transition Response Contribution</w:t>
      </w:r>
      <w:r>
        <w:rPr>
          <w:rFonts w:ascii="Arial" w:hAnsi="Arial"/>
          <w:b w:val="0"/>
          <w:i w:val="0"/>
          <w:sz w:val="19"/>
        </w:rPr>
        <w:t xml:space="preserve"> („AI 전환 대응 분담금"), die nach übereinstimmender Berichterstattung von </w:t>
      </w:r>
      <w:r>
        <w:rPr>
          <w:rFonts w:ascii="Arial" w:hAnsi="Arial"/>
          <w:b w:val="0"/>
          <w:i/>
          <w:sz w:val="19"/>
        </w:rPr>
        <w:t>edaily</w:t>
      </w:r>
      <w:r>
        <w:rPr>
          <w:rFonts w:ascii="Arial" w:hAnsi="Arial"/>
          <w:b w:val="0"/>
          <w:i w:val="0"/>
          <w:sz w:val="19"/>
        </w:rPr>
        <w:t xml:space="preserve">, </w:t>
      </w:r>
      <w:r>
        <w:rPr>
          <w:rFonts w:ascii="Arial" w:hAnsi="Arial"/>
          <w:b w:val="0"/>
          <w:i/>
          <w:sz w:val="19"/>
        </w:rPr>
        <w:t>ZDNet Korea</w:t>
      </w:r>
      <w:r>
        <w:rPr>
          <w:rFonts w:ascii="Arial" w:hAnsi="Arial"/>
          <w:b w:val="0"/>
          <w:i w:val="0"/>
          <w:sz w:val="19"/>
        </w:rPr>
        <w:t xml:space="preserve">, </w:t>
      </w:r>
      <w:r>
        <w:rPr>
          <w:rFonts w:ascii="Arial" w:hAnsi="Arial"/>
          <w:b w:val="0"/>
          <w:i/>
          <w:sz w:val="19"/>
        </w:rPr>
        <w:t>bloter</w:t>
      </w:r>
      <w:r>
        <w:rPr>
          <w:rFonts w:ascii="Arial" w:hAnsi="Arial"/>
          <w:b w:val="0"/>
          <w:i w:val="0"/>
          <w:sz w:val="19"/>
        </w:rPr>
        <w:t xml:space="preserve">, </w:t>
      </w:r>
      <w:r>
        <w:rPr>
          <w:rFonts w:ascii="Arial" w:hAnsi="Arial"/>
          <w:b w:val="0"/>
          <w:i/>
          <w:sz w:val="19"/>
        </w:rPr>
        <w:t>디지털데일리</w:t>
      </w:r>
      <w:r>
        <w:rPr>
          <w:rFonts w:ascii="Arial" w:hAnsi="Arial"/>
          <w:b w:val="0"/>
          <w:i w:val="0"/>
          <w:sz w:val="19"/>
        </w:rPr>
        <w:t xml:space="preserve"> und der englischsprachigen Rezeption von </w:t>
      </w:r>
      <w:r>
        <w:rPr>
          <w:rFonts w:ascii="Arial" w:hAnsi="Arial"/>
          <w:b w:val="0"/>
          <w:i/>
          <w:sz w:val="19"/>
        </w:rPr>
        <w:t>TechTimes</w:t>
      </w:r>
      <w:r>
        <w:rPr>
          <w:rFonts w:ascii="Arial" w:hAnsi="Arial"/>
          <w:b w:val="0"/>
          <w:i w:val="0"/>
          <w:sz w:val="19"/>
        </w:rPr>
        <w:t xml:space="preserve"> (14./15. August 2026) auf jene Arbeitgeber erhoben würde, deren Einsatz von KI und Automatisierung eine wesentliche substituierende Wirkung auf Beschäftigung oder Aufgabenzuschnitt entfaltet; die Konkretisierung des Auslöseschwellenwerts (Beschäftigungs- oder Aufgabenreduktion je Einsatz) bliebe der </w:t>
      </w:r>
      <w:r>
        <w:rPr>
          <w:rFonts w:ascii="Arial" w:hAnsi="Arial"/>
          <w:b w:val="0"/>
          <w:i/>
          <w:sz w:val="19"/>
        </w:rPr>
        <w:t>präsidialen Durchführungsverordnung</w:t>
      </w:r>
      <w:r>
        <w:rPr>
          <w:rFonts w:ascii="Arial" w:hAnsi="Arial"/>
          <w:b w:val="0"/>
          <w:i w:val="0"/>
          <w:sz w:val="19"/>
        </w:rPr>
        <w:t xml:space="preserve"> vorbehalten. Aufkommen fließt in einen neu einzurichtenden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aus dem Umschulung, Kompetenzentwicklung, Vermittlung in neue Beschäftigung und eine Mindest­einkommens­absicherung finanziert werden sollen; Arbeitgeber, die Beschäftigung sichern oder ausweiten sowie besonders belastungsbegrenzte Betriebe können Ermäßigungen oder Befreiungen in Anspruch nehmen. Politisch tritt das Paket unter dem Etikett der </w:t>
      </w:r>
      <w:r>
        <w:rPr>
          <w:rFonts w:ascii="Arial" w:hAnsi="Arial"/>
          <w:b w:val="0"/>
          <w:i/>
          <w:sz w:val="19"/>
        </w:rPr>
        <w:t>Basic Society</w:t>
      </w:r>
      <w:r>
        <w:rPr>
          <w:rFonts w:ascii="Arial" w:hAnsi="Arial"/>
          <w:b w:val="0"/>
          <w:i w:val="0"/>
          <w:sz w:val="19"/>
        </w:rPr>
        <w:t xml:space="preserve"> auf und wird von Lee Hae-min ausdrücklich nicht als Verzögerungs-, sondern als </w:t>
      </w:r>
      <w:r>
        <w:rPr>
          <w:rFonts w:ascii="Arial" w:hAnsi="Arial"/>
          <w:b w:val="0"/>
          <w:i/>
          <w:sz w:val="19"/>
        </w:rPr>
        <w:t>Ausgleichs­instrument</w:t>
      </w:r>
      <w:r>
        <w:rPr>
          <w:rFonts w:ascii="Arial" w:hAnsi="Arial"/>
          <w:b w:val="0"/>
          <w:i w:val="0"/>
          <w:sz w:val="19"/>
        </w:rPr>
        <w:t xml:space="preserve"> der KI-Transformation eingeordnet; die parlamentarische Behandlung steht im Konjunktiv (Konjunktivpflicht nach § 4.2 Claude.md). Für die Steuerdebatte des vorliegenden Papiers ist der Vorschlag in vier Hinsichten bemerkenswert. Erstens verschiebt er die </w:t>
      </w:r>
      <w:r>
        <w:rPr>
          <w:rFonts w:ascii="Arial" w:hAnsi="Arial"/>
          <w:b w:val="0"/>
          <w:i/>
          <w:sz w:val="19"/>
        </w:rPr>
        <w:t>Anknüpfung</w:t>
      </w:r>
      <w:r>
        <w:rPr>
          <w:rFonts w:ascii="Arial" w:hAnsi="Arial"/>
          <w:b w:val="0"/>
          <w:i w:val="0"/>
          <w:sz w:val="19"/>
        </w:rPr>
        <w:t xml:space="preserve"> der Abgabe von der Anbieter- auf die </w:t>
      </w:r>
      <w:r>
        <w:rPr>
          <w:rFonts w:ascii="Arial" w:hAnsi="Arial"/>
          <w:b w:val="0"/>
          <w:i/>
          <w:sz w:val="19"/>
        </w:rPr>
        <w:t>Deployer-Ebene</w:t>
      </w:r>
      <w:r>
        <w:rPr>
          <w:rFonts w:ascii="Arial" w:hAnsi="Arial"/>
          <w:b w:val="0"/>
          <w:i w:val="0"/>
          <w:sz w:val="19"/>
        </w:rPr>
        <w:t xml:space="preserve"> (Arbeitgeber, der KI einsetzt und Beschäftigung reduziert) und ist damit die erste nationale Gesetzgebung, die einen KI-Verdrängungs­beitrag </w:t>
      </w:r>
      <w:r>
        <w:rPr>
          <w:rFonts w:ascii="Arial" w:hAnsi="Arial"/>
          <w:b w:val="0"/>
          <w:i/>
          <w:sz w:val="19"/>
        </w:rPr>
        <w:t>unmittelbar</w:t>
      </w:r>
      <w:r>
        <w:rPr>
          <w:rFonts w:ascii="Arial" w:hAnsi="Arial"/>
          <w:b w:val="0"/>
          <w:i w:val="0"/>
          <w:sz w:val="19"/>
        </w:rPr>
        <w:t xml:space="preserve"> an die Personalentscheidung des Nutzers und nicht an Umsatz, Token-Absatz, Modellvertrieb oder Rechenzentrums-Verbrauch der Anbieterseite koppelt — ein Zugriffspunkt, der der aus § 4.5 und § 9.1 bekannten Deployer-Kausalattribution des US-</w:t>
      </w:r>
      <w:r>
        <w:rPr>
          <w:rFonts w:ascii="Arial" w:hAnsi="Arial"/>
          <w:b w:val="0"/>
          <w:i/>
          <w:sz w:val="19"/>
        </w:rPr>
        <w:t>AI Tax and Work Protection Act</w:t>
      </w:r>
      <w:r>
        <w:rPr>
          <w:rFonts w:ascii="Arial" w:hAnsi="Arial"/>
          <w:b w:val="0"/>
          <w:i w:val="0"/>
          <w:sz w:val="19"/>
        </w:rPr>
        <w:t xml:space="preserve"> strukturell nahe steht, ihn aber vom Anbieter-Excise-Zugriff (H.R. 10044) auf einen reinen </w:t>
      </w:r>
      <w:r>
        <w:rPr>
          <w:rFonts w:ascii="Arial" w:hAnsi="Arial"/>
          <w:b w:val="0"/>
          <w:i/>
          <w:sz w:val="19"/>
        </w:rPr>
        <w:t>Beschäftigungs­kausalitäts</w:t>
      </w:r>
      <w:r>
        <w:rPr>
          <w:rFonts w:ascii="Arial" w:hAnsi="Arial"/>
          <w:b w:val="0"/>
          <w:i w:val="0"/>
          <w:sz w:val="19"/>
        </w:rPr>
        <w:t xml:space="preserve">-Zugriff reduziert. Zweitens fügt Südkorea damit dem in § 6.1 dokumentierten </w:t>
      </w:r>
      <w:r>
        <w:rPr>
          <w:rFonts w:ascii="Arial" w:hAnsi="Arial"/>
          <w:b w:val="0"/>
          <w:i/>
          <w:sz w:val="19"/>
        </w:rPr>
        <w:t>Domestic Production Tax Credit</w:t>
      </w:r>
      <w:r>
        <w:rPr>
          <w:rFonts w:ascii="Arial" w:hAnsi="Arial"/>
          <w:b w:val="0"/>
          <w:i w:val="0"/>
          <w:sz w:val="19"/>
        </w:rPr>
        <w:t xml:space="preserve"> vom 3. August 2026 nur elf Tage später ein </w:t>
      </w:r>
      <w:r>
        <w:rPr>
          <w:rFonts w:ascii="Arial" w:hAnsi="Arial"/>
          <w:b w:val="0"/>
          <w:i/>
          <w:sz w:val="19"/>
        </w:rPr>
        <w:t>Aufkommen­serzeugendes</w:t>
      </w:r>
      <w:r>
        <w:rPr>
          <w:rFonts w:ascii="Arial" w:hAnsi="Arial"/>
          <w:b w:val="0"/>
          <w:i w:val="0"/>
          <w:sz w:val="19"/>
        </w:rPr>
        <w:t xml:space="preserve"> Gegenstück hinzu: Die Robotik-Wertschöpfung wird auf der Fertigungsschicht steuerlich </w:t>
      </w:r>
      <w:r>
        <w:rPr>
          <w:rFonts w:ascii="Arial" w:hAnsi="Arial"/>
          <w:b w:val="0"/>
          <w:i/>
          <w:sz w:val="19"/>
        </w:rPr>
        <w:t>begünstigt</w:t>
      </w:r>
      <w:r>
        <w:rPr>
          <w:rFonts w:ascii="Arial" w:hAnsi="Arial"/>
          <w:b w:val="0"/>
          <w:i w:val="0"/>
          <w:sz w:val="19"/>
        </w:rPr>
        <w:t xml:space="preserve">, während ihre substituierende Anwendung auf der Beschäftigungs­schicht durch eine parafiskalische Abgabe </w:t>
      </w:r>
      <w:r>
        <w:rPr>
          <w:rFonts w:ascii="Arial" w:hAnsi="Arial"/>
          <w:b w:val="0"/>
          <w:i/>
          <w:sz w:val="19"/>
        </w:rPr>
        <w:t>belastet</w:t>
      </w:r>
      <w:r>
        <w:rPr>
          <w:rFonts w:ascii="Arial" w:hAnsi="Arial"/>
          <w:b w:val="0"/>
          <w:i w:val="0"/>
          <w:sz w:val="19"/>
        </w:rPr>
        <w:t xml:space="preserve"> wird — die südkoreanische Politik operiert in derselben Steuerreform­periode auf beiden Seiten der Wertschöpfungskette und liefert damit einen Zwillingsfall zur in § 5.1 und § 8.3 skizzierten Kombination aus Standort­förderung und wertschöpfungs­orientierter Nutzungsabgabe. Drittens folgt die Zweckbindung des </w:t>
      </w:r>
      <w:r>
        <w:rPr>
          <w:rFonts w:ascii="Arial" w:hAnsi="Arial"/>
          <w:b w:val="0"/>
          <w:i/>
          <w:sz w:val="19"/>
        </w:rPr>
        <w:t>Basic Society Support Fund</w:t>
      </w:r>
      <w:r>
        <w:rPr>
          <w:rFonts w:ascii="Arial" w:hAnsi="Arial"/>
          <w:b w:val="0"/>
          <w:i w:val="0"/>
          <w:sz w:val="19"/>
        </w:rPr>
        <w:t xml:space="preserve"> — Umschulung, Wiedereingliederung, Mindest­einkommens­absicherung — funktional dem in § 5.1, § 5.2 und § 10.2 diskutierten Verwendungszweck der Wertschöpfungsabgabe und liegt näher an der bundesdeutschen Wertschöpfungs­abgabe- und Bürgerversicherungs­debatte als am US-Vorbild der </w:t>
      </w:r>
      <w:r>
        <w:rPr>
          <w:rFonts w:ascii="Arial" w:hAnsi="Arial"/>
          <w:b w:val="0"/>
          <w:i/>
          <w:sz w:val="19"/>
        </w:rPr>
        <w:t>Work Protection Administration</w:t>
      </w:r>
      <w:r>
        <w:rPr>
          <w:rFonts w:ascii="Arial" w:hAnsi="Arial"/>
          <w:b w:val="0"/>
          <w:i w:val="0"/>
          <w:sz w:val="19"/>
        </w:rPr>
        <w:t xml:space="preserve"> (§ 4.5). Viertens setzt der Auslösemechanismus (Beschäftigungs- oder Aufgabenreduktion) die in § 9.1 diskutierte </w:t>
      </w:r>
      <w:r>
        <w:rPr>
          <w:rFonts w:ascii="Arial" w:hAnsi="Arial"/>
          <w:b w:val="0"/>
          <w:i/>
          <w:sz w:val="19"/>
        </w:rPr>
        <w:t>Deployer-Kausal­attribution</w:t>
      </w:r>
      <w:r>
        <w:rPr>
          <w:rFonts w:ascii="Arial" w:hAnsi="Arial"/>
          <w:b w:val="0"/>
          <w:i w:val="0"/>
          <w:sz w:val="19"/>
        </w:rPr>
        <w:t xml:space="preserve"> in operatives Recht um und bietet damit — bei parlamentarischer Verabschiedung — eine erste empirisch beobachtbare Verwaltungspraxis für die Attributionsfrage, die in der deutschen Debatte bislang als offen gilt. Politisch bleibt die Umsetzung an die Zustimmung der Nationalversammlung, die </w:t>
      </w:r>
      <w:r>
        <w:rPr>
          <w:rFonts w:ascii="Arial" w:hAnsi="Arial"/>
          <w:b w:val="0"/>
          <w:i/>
          <w:sz w:val="19"/>
        </w:rPr>
        <w:t>präsidiale Durchführungsverordnung</w:t>
      </w:r>
      <w:r>
        <w:rPr>
          <w:rFonts w:ascii="Arial" w:hAnsi="Arial"/>
          <w:b w:val="0"/>
          <w:i w:val="0"/>
          <w:sz w:val="19"/>
        </w:rPr>
        <w:t xml:space="preserve"> zum Auslöseschwellenwert und die Novellierung des Verwaltungs- und Erhebungsapparats gebunden.</w:t>
      </w:r>
    </w:p>
    <w:p>
      <w:pPr>
        <w:jc w:val="both"/>
      </w:pPr>
      <w:r>
        <w:rPr>
          <w:rFonts w:ascii="Arial" w:hAnsi="Arial"/>
          <w:b/>
          <w:i w:val="0"/>
          <w:sz w:val="19"/>
        </w:rPr>
        <w:t>Aktualisierung (4. September 2026) — CEO-Gipfel zum „AI for All"-Projekt (전 국민 AI, *Alle für KI*): Beta November 2026, Launch Dezember 2026:</w:t>
      </w:r>
      <w:r>
        <w:rPr>
          <w:rFonts w:ascii="Arial" w:hAnsi="Arial"/>
          <w:b w:val="0"/>
          <w:i w:val="0"/>
          <w:sz w:val="19"/>
        </w:rPr>
        <w:t xml:space="preserve"> Sechs Tage nach der Konsortialauswahl vom 28. August 2026 haben die Vorstandsvorsitzenden der drei ausgewählten Betreiberkonsortien — </w:t>
      </w:r>
      <w:r>
        <w:rPr>
          <w:rFonts w:ascii="Arial" w:hAnsi="Arial"/>
          <w:b w:val="0"/>
          <w:i/>
          <w:sz w:val="19"/>
        </w:rPr>
        <w:t>Jung Shi-na</w:t>
      </w:r>
      <w:r>
        <w:rPr>
          <w:rFonts w:ascii="Arial" w:hAnsi="Arial"/>
          <w:b w:val="0"/>
          <w:i w:val="0"/>
          <w:sz w:val="19"/>
        </w:rPr>
        <w:t xml:space="preserve"> (</w:t>
      </w:r>
      <w:r>
        <w:rPr>
          <w:rFonts w:ascii="Arial" w:hAnsi="Arial"/>
          <w:b w:val="0"/>
          <w:i/>
          <w:sz w:val="19"/>
        </w:rPr>
        <w:t>Kakao</w:t>
      </w:r>
      <w:r>
        <w:rPr>
          <w:rFonts w:ascii="Arial" w:hAnsi="Arial"/>
          <w:b w:val="0"/>
          <w:i w:val="0"/>
          <w:sz w:val="19"/>
        </w:rPr>
        <w:t xml:space="preserve">), </w:t>
      </w:r>
      <w:r>
        <w:rPr>
          <w:rFonts w:ascii="Arial" w:hAnsi="Arial"/>
          <w:b w:val="0"/>
          <w:i/>
          <w:sz w:val="19"/>
        </w:rPr>
        <w:t>Kim Young-shub</w:t>
      </w:r>
      <w:r>
        <w:rPr>
          <w:rFonts w:ascii="Arial" w:hAnsi="Arial"/>
          <w:b w:val="0"/>
          <w:i w:val="0"/>
          <w:sz w:val="19"/>
        </w:rPr>
        <w:t xml:space="preserve"> / </w:t>
      </w:r>
      <w:r>
        <w:rPr>
          <w:rFonts w:ascii="Arial" w:hAnsi="Arial"/>
          <w:b w:val="0"/>
          <w:i/>
          <w:sz w:val="19"/>
        </w:rPr>
        <w:t>Park Yoon-young</w:t>
      </w:r>
      <w:r>
        <w:rPr>
          <w:rFonts w:ascii="Arial" w:hAnsi="Arial"/>
          <w:b w:val="0"/>
          <w:i w:val="0"/>
          <w:sz w:val="19"/>
        </w:rPr>
        <w:t xml:space="preserve"> (</w:t>
      </w:r>
      <w:r>
        <w:rPr>
          <w:rFonts w:ascii="Arial" w:hAnsi="Arial"/>
          <w:b w:val="0"/>
          <w:i/>
          <w:sz w:val="19"/>
        </w:rPr>
        <w:t>KT</w:t>
      </w:r>
      <w:r>
        <w:rPr>
          <w:rFonts w:ascii="Arial" w:hAnsi="Arial"/>
          <w:b w:val="0"/>
          <w:i w:val="0"/>
          <w:sz w:val="19"/>
        </w:rPr>
        <w:t xml:space="preserve">) und </w:t>
      </w:r>
      <w:r>
        <w:rPr>
          <w:rFonts w:ascii="Arial" w:hAnsi="Arial"/>
          <w:b w:val="0"/>
          <w:i/>
          <w:sz w:val="19"/>
        </w:rPr>
        <w:t>Jung Jae-heon</w:t>
      </w:r>
      <w:r>
        <w:rPr>
          <w:rFonts w:ascii="Arial" w:hAnsi="Arial"/>
          <w:b w:val="0"/>
          <w:i w:val="0"/>
          <w:sz w:val="19"/>
        </w:rPr>
        <w:t xml:space="preserve"> (</w:t>
      </w:r>
      <w:r>
        <w:rPr>
          <w:rFonts w:ascii="Arial" w:hAnsi="Arial"/>
          <w:b w:val="0"/>
          <w:i/>
          <w:sz w:val="19"/>
        </w:rPr>
        <w:t>SK Telecom</w:t>
      </w:r>
      <w:r>
        <w:rPr>
          <w:rFonts w:ascii="Arial" w:hAnsi="Arial"/>
          <w:b w:val="0"/>
          <w:i w:val="0"/>
          <w:sz w:val="19"/>
        </w:rPr>
        <w:t xml:space="preserve">) — am </w:t>
      </w:r>
      <w:r>
        <w:rPr>
          <w:rFonts w:ascii="Arial" w:hAnsi="Arial"/>
          <w:b w:val="0"/>
          <w:i/>
          <w:sz w:val="19"/>
        </w:rPr>
        <w:t>4. September 2026</w:t>
      </w:r>
      <w:r>
        <w:rPr>
          <w:rFonts w:ascii="Arial" w:hAnsi="Arial"/>
          <w:b w:val="0"/>
          <w:i w:val="0"/>
          <w:sz w:val="19"/>
        </w:rPr>
        <w:t xml:space="preserve"> auf einer öffentlichen Vorstellungs­veranstaltung des südkoreanischen </w:t>
      </w:r>
      <w:r>
        <w:rPr>
          <w:rFonts w:ascii="Arial" w:hAnsi="Arial"/>
          <w:b w:val="0"/>
          <w:i/>
          <w:sz w:val="19"/>
        </w:rPr>
        <w:t>Ministry of Science and ICT</w:t>
      </w:r>
      <w:r>
        <w:rPr>
          <w:rFonts w:ascii="Arial" w:hAnsi="Arial"/>
          <w:b w:val="0"/>
          <w:i w:val="0"/>
          <w:sz w:val="19"/>
        </w:rPr>
        <w:t xml:space="preserve"> (</w:t>
      </w:r>
      <w:r>
        <w:rPr>
          <w:rFonts w:ascii="Arial" w:hAnsi="Arial"/>
          <w:b w:val="0"/>
          <w:i/>
          <w:sz w:val="19"/>
        </w:rPr>
        <w:t>MSIT</w:t>
      </w:r>
      <w:r>
        <w:rPr>
          <w:rFonts w:ascii="Arial" w:hAnsi="Arial"/>
          <w:b w:val="0"/>
          <w:i w:val="0"/>
          <w:sz w:val="19"/>
        </w:rPr>
        <w:t xml:space="preserve">) den Zeitplan des staatlich finanzierten </w:t>
      </w:r>
      <w:r>
        <w:rPr>
          <w:rFonts w:ascii="Arial" w:hAnsi="Arial"/>
          <w:b w:val="0"/>
          <w:i/>
          <w:sz w:val="19"/>
        </w:rPr>
        <w:t>Alle-für-KI</w:t>
      </w:r>
      <w:r>
        <w:rPr>
          <w:rFonts w:ascii="Arial" w:hAnsi="Arial"/>
          <w:b w:val="0"/>
          <w:i w:val="0"/>
          <w:sz w:val="19"/>
        </w:rPr>
        <w:t xml:space="preserve">-Programms (전 국민 AI, „AI for All") nach übereinstimmender Berichterstattung von </w:t>
      </w:r>
      <w:r>
        <w:rPr>
          <w:rFonts w:ascii="Arial" w:hAnsi="Arial"/>
          <w:b w:val="0"/>
          <w:i/>
          <w:sz w:val="19"/>
        </w:rPr>
        <w:t>The Asia Business Daily</w:t>
      </w:r>
      <w:r>
        <w:rPr>
          <w:rFonts w:ascii="Arial" w:hAnsi="Arial"/>
          <w:b w:val="0"/>
          <w:i w:val="0"/>
          <w:sz w:val="19"/>
        </w:rPr>
        <w:t xml:space="preserve"> (</w:t>
      </w:r>
      <w:r>
        <w:rPr>
          <w:rFonts w:ascii="Arial" w:hAnsi="Arial"/>
          <w:b w:val="0"/>
          <w:i/>
          <w:sz w:val="19"/>
        </w:rPr>
        <w:t>„SKT, KT, and Kakao CEOs Gather… 'Everyone's Free AI' to Launch This Year, Ushering in the Era of 'One Person, Multiple Agents'"</w:t>
      </w:r>
      <w:r>
        <w:rPr>
          <w:rFonts w:ascii="Arial" w:hAnsi="Arial"/>
          <w:b w:val="0"/>
          <w:i w:val="0"/>
          <w:sz w:val="19"/>
        </w:rPr>
        <w:t xml:space="preserve">, 4. September 2026), </w:t>
      </w:r>
      <w:r>
        <w:rPr>
          <w:rFonts w:ascii="Arial" w:hAnsi="Arial"/>
          <w:b w:val="0"/>
          <w:i/>
          <w:sz w:val="19"/>
        </w:rPr>
        <w:t>The Investor</w:t>
      </w:r>
      <w:r>
        <w:rPr>
          <w:rFonts w:ascii="Arial" w:hAnsi="Arial"/>
          <w:b w:val="0"/>
          <w:i w:val="0"/>
          <w:sz w:val="19"/>
        </w:rPr>
        <w:t xml:space="preserve"> und </w:t>
      </w:r>
      <w:r>
        <w:rPr>
          <w:rFonts w:ascii="Arial" w:hAnsi="Arial"/>
          <w:b w:val="0"/>
          <w:i/>
          <w:sz w:val="19"/>
        </w:rPr>
        <w:t>Korea Herald</w:t>
      </w:r>
      <w:r>
        <w:rPr>
          <w:rFonts w:ascii="Arial" w:hAnsi="Arial"/>
          <w:b w:val="0"/>
          <w:i w:val="0"/>
          <w:sz w:val="19"/>
        </w:rPr>
        <w:t xml:space="preserve"> (</w:t>
      </w:r>
      <w:r>
        <w:rPr>
          <w:rFonts w:ascii="Arial" w:hAnsi="Arial"/>
          <w:b w:val="0"/>
          <w:i/>
          <w:sz w:val="19"/>
        </w:rPr>
        <w:t>„Korea picks SK Telecom, Kakao, KT to build free nationwide AI services"</w:t>
      </w:r>
      <w:r>
        <w:rPr>
          <w:rFonts w:ascii="Arial" w:hAnsi="Arial"/>
          <w:b w:val="0"/>
          <w:i w:val="0"/>
          <w:sz w:val="19"/>
        </w:rPr>
        <w:t xml:space="preserve">, 28. August 2026, mit Update-Rezeption vom 4. September 2026), </w:t>
      </w:r>
      <w:r>
        <w:rPr>
          <w:rFonts w:ascii="Arial" w:hAnsi="Arial"/>
          <w:b w:val="0"/>
          <w:i/>
          <w:sz w:val="19"/>
        </w:rPr>
        <w:t>TechNode Global</w:t>
      </w:r>
      <w:r>
        <w:rPr>
          <w:rFonts w:ascii="Arial" w:hAnsi="Arial"/>
          <w:b w:val="0"/>
          <w:i w:val="0"/>
          <w:sz w:val="19"/>
        </w:rPr>
        <w:t xml:space="preserve">, </w:t>
      </w:r>
      <w:r>
        <w:rPr>
          <w:rFonts w:ascii="Arial" w:hAnsi="Arial"/>
          <w:b w:val="0"/>
          <w:i/>
          <w:sz w:val="19"/>
        </w:rPr>
        <w:t>IBTimes Korea</w:t>
      </w:r>
      <w:r>
        <w:rPr>
          <w:rFonts w:ascii="Arial" w:hAnsi="Arial"/>
          <w:b w:val="0"/>
          <w:i w:val="0"/>
          <w:sz w:val="19"/>
        </w:rPr>
        <w:t xml:space="preserve">, </w:t>
      </w:r>
      <w:r>
        <w:rPr>
          <w:rFonts w:ascii="Arial" w:hAnsi="Arial"/>
          <w:b w:val="0"/>
          <w:i/>
          <w:sz w:val="19"/>
        </w:rPr>
        <w:t>Implicator.ai</w:t>
      </w:r>
      <w:r>
        <w:rPr>
          <w:rFonts w:ascii="Arial" w:hAnsi="Arial"/>
          <w:b w:val="0"/>
          <w:i w:val="0"/>
          <w:sz w:val="19"/>
        </w:rPr>
        <w:t xml:space="preserve">, </w:t>
      </w:r>
      <w:r>
        <w:rPr>
          <w:rFonts w:ascii="Arial" w:hAnsi="Arial"/>
          <w:b w:val="0"/>
          <w:i/>
          <w:sz w:val="19"/>
        </w:rPr>
        <w:t>KuCoin News</w:t>
      </w:r>
      <w:r>
        <w:rPr>
          <w:rFonts w:ascii="Arial" w:hAnsi="Arial"/>
          <w:b w:val="0"/>
          <w:i w:val="0"/>
          <w:sz w:val="19"/>
        </w:rPr>
        <w:t xml:space="preserve">, </w:t>
      </w:r>
      <w:r>
        <w:rPr>
          <w:rFonts w:ascii="Arial" w:hAnsi="Arial"/>
          <w:b w:val="0"/>
          <w:i/>
          <w:sz w:val="19"/>
        </w:rPr>
        <w:t>TeleInfoToday</w:t>
      </w:r>
      <w:r>
        <w:rPr>
          <w:rFonts w:ascii="Arial" w:hAnsi="Arial"/>
          <w:b w:val="0"/>
          <w:i w:val="0"/>
          <w:sz w:val="19"/>
        </w:rPr>
        <w:t xml:space="preserve"> und </w:t>
      </w:r>
      <w:r>
        <w:rPr>
          <w:rFonts w:ascii="Arial" w:hAnsi="Arial"/>
          <w:b w:val="0"/>
          <w:i/>
          <w:sz w:val="19"/>
        </w:rPr>
        <w:t>BigGo Finance</w:t>
      </w:r>
      <w:r>
        <w:rPr>
          <w:rFonts w:ascii="Arial" w:hAnsi="Arial"/>
          <w:b w:val="0"/>
          <w:i w:val="0"/>
          <w:sz w:val="19"/>
        </w:rPr>
        <w:t xml:space="preserve"> (</w:t>
      </w:r>
      <w:r>
        <w:rPr>
          <w:rFonts w:ascii="Arial" w:hAnsi="Arial"/>
          <w:b w:val="0"/>
          <w:i/>
          <w:sz w:val="19"/>
        </w:rPr>
        <w:t>„South Korea to Give All 51 Million Citizens Uncapped Access to AI Assistants"</w:t>
      </w:r>
      <w:r>
        <w:rPr>
          <w:rFonts w:ascii="Arial" w:hAnsi="Arial"/>
          <w:b w:val="0"/>
          <w:i w:val="0"/>
          <w:sz w:val="19"/>
        </w:rPr>
        <w:t xml:space="preserve">, jeweils Ende August/Anfang September 2026) präzisiert (Konjunktivpflicht nach § 4.2 Claude.md). Substantiell hat </w:t>
      </w:r>
      <w:r>
        <w:rPr>
          <w:rFonts w:ascii="Arial" w:hAnsi="Arial"/>
          <w:b w:val="0"/>
          <w:i/>
          <w:sz w:val="19"/>
        </w:rPr>
        <w:t>Kakao</w:t>
      </w:r>
      <w:r>
        <w:rPr>
          <w:rFonts w:ascii="Arial" w:hAnsi="Arial"/>
          <w:b w:val="0"/>
          <w:i w:val="0"/>
          <w:sz w:val="19"/>
        </w:rPr>
        <w:t xml:space="preserve"> eine öffentliche </w:t>
      </w:r>
      <w:r>
        <w:rPr>
          <w:rFonts w:ascii="Arial" w:hAnsi="Arial"/>
          <w:b w:val="0"/>
          <w:i/>
          <w:sz w:val="19"/>
        </w:rPr>
        <w:t>Beta-Phase</w:t>
      </w:r>
      <w:r>
        <w:rPr>
          <w:rFonts w:ascii="Arial" w:hAnsi="Arial"/>
          <w:b w:val="0"/>
          <w:i w:val="0"/>
          <w:sz w:val="19"/>
        </w:rPr>
        <w:t xml:space="preserve"> für </w:t>
      </w:r>
      <w:r>
        <w:rPr>
          <w:rFonts w:ascii="Arial" w:hAnsi="Arial"/>
          <w:b w:val="0"/>
          <w:i/>
          <w:sz w:val="19"/>
        </w:rPr>
        <w:t>November 2026</w:t>
      </w:r>
      <w:r>
        <w:rPr>
          <w:rFonts w:ascii="Arial" w:hAnsi="Arial"/>
          <w:b w:val="0"/>
          <w:i w:val="0"/>
          <w:sz w:val="19"/>
        </w:rPr>
        <w:t xml:space="preserve"> und einen vollen </w:t>
      </w:r>
      <w:r>
        <w:rPr>
          <w:rFonts w:ascii="Arial" w:hAnsi="Arial"/>
          <w:b w:val="0"/>
          <w:i/>
          <w:sz w:val="19"/>
        </w:rPr>
        <w:t>Launch</w:t>
      </w:r>
      <w:r>
        <w:rPr>
          <w:rFonts w:ascii="Arial" w:hAnsi="Arial"/>
          <w:b w:val="0"/>
          <w:i w:val="0"/>
          <w:sz w:val="19"/>
        </w:rPr>
        <w:t xml:space="preserve"> im </w:t>
      </w:r>
      <w:r>
        <w:rPr>
          <w:rFonts w:ascii="Arial" w:hAnsi="Arial"/>
          <w:b w:val="0"/>
          <w:i/>
          <w:sz w:val="19"/>
        </w:rPr>
        <w:t>Dezember 2026</w:t>
      </w:r>
      <w:r>
        <w:rPr>
          <w:rFonts w:ascii="Arial" w:hAnsi="Arial"/>
          <w:b w:val="0"/>
          <w:i w:val="0"/>
          <w:sz w:val="19"/>
        </w:rPr>
        <w:t xml:space="preserve"> angekündigt, </w:t>
      </w:r>
      <w:r>
        <w:rPr>
          <w:rFonts w:ascii="Arial" w:hAnsi="Arial"/>
          <w:b w:val="0"/>
          <w:i/>
          <w:sz w:val="19"/>
        </w:rPr>
        <w:t>SK Telecom</w:t>
      </w:r>
      <w:r>
        <w:rPr>
          <w:rFonts w:ascii="Arial" w:hAnsi="Arial"/>
          <w:b w:val="0"/>
          <w:i w:val="0"/>
          <w:sz w:val="19"/>
        </w:rPr>
        <w:t xml:space="preserve"> eine Beta im </w:t>
      </w:r>
      <w:r>
        <w:rPr>
          <w:rFonts w:ascii="Arial" w:hAnsi="Arial"/>
          <w:b w:val="0"/>
          <w:i/>
          <w:sz w:val="19"/>
        </w:rPr>
        <w:t>Oktober 2026</w:t>
      </w:r>
      <w:r>
        <w:rPr>
          <w:rFonts w:ascii="Arial" w:hAnsi="Arial"/>
          <w:b w:val="0"/>
          <w:i w:val="0"/>
          <w:sz w:val="19"/>
        </w:rPr>
        <w:t xml:space="preserve">; das erklärte </w:t>
      </w:r>
      <w:r>
        <w:rPr>
          <w:rFonts w:ascii="Arial" w:hAnsi="Arial"/>
          <w:b w:val="0"/>
          <w:i/>
          <w:sz w:val="19"/>
        </w:rPr>
        <w:t>Erstjahresziel</w:t>
      </w:r>
      <w:r>
        <w:rPr>
          <w:rFonts w:ascii="Arial" w:hAnsi="Arial"/>
          <w:b w:val="0"/>
          <w:i w:val="0"/>
          <w:sz w:val="19"/>
        </w:rPr>
        <w:t xml:space="preserve"> liegt bei </w:t>
      </w:r>
      <w:r>
        <w:rPr>
          <w:rFonts w:ascii="Arial" w:hAnsi="Arial"/>
          <w:b w:val="0"/>
          <w:i/>
          <w:sz w:val="19"/>
        </w:rPr>
        <w:t>5 Millionen monatlich aktiven Nutzern</w:t>
      </w:r>
      <w:r>
        <w:rPr>
          <w:rFonts w:ascii="Arial" w:hAnsi="Arial"/>
          <w:b w:val="0"/>
          <w:i w:val="0"/>
          <w:sz w:val="19"/>
        </w:rPr>
        <w:t xml:space="preserve"> (Monthly Active Users, MAU) bis Jahresende 2026 aus einer Bevölkerung von rund </w:t>
      </w:r>
      <w:r>
        <w:rPr>
          <w:rFonts w:ascii="Arial" w:hAnsi="Arial"/>
          <w:b w:val="0"/>
          <w:i/>
          <w:sz w:val="19"/>
        </w:rPr>
        <w:t>51–52 Millionen</w:t>
      </w:r>
      <w:r>
        <w:rPr>
          <w:rFonts w:ascii="Arial" w:hAnsi="Arial"/>
          <w:b w:val="0"/>
          <w:i w:val="0"/>
          <w:sz w:val="19"/>
        </w:rPr>
        <w:t xml:space="preserve"> Bürgerinnen und Bürgern. Die Regierung stellt für das Programm </w:t>
      </w:r>
      <w:r>
        <w:rPr>
          <w:rFonts w:ascii="Arial" w:hAnsi="Arial"/>
          <w:b w:val="0"/>
          <w:i/>
          <w:sz w:val="19"/>
        </w:rPr>
        <w:t>512 NVIDIA-B200-GPUs</w:t>
      </w:r>
      <w:r>
        <w:rPr>
          <w:rFonts w:ascii="Arial" w:hAnsi="Arial"/>
          <w:b w:val="0"/>
          <w:i w:val="0"/>
          <w:sz w:val="19"/>
        </w:rPr>
        <w:t xml:space="preserve"> bereit; mindestens </w:t>
      </w:r>
      <w:r>
        <w:rPr>
          <w:rFonts w:ascii="Arial" w:hAnsi="Arial"/>
          <w:b w:val="0"/>
          <w:i/>
          <w:sz w:val="19"/>
        </w:rPr>
        <w:t>50 %</w:t>
      </w:r>
      <w:r>
        <w:rPr>
          <w:rFonts w:ascii="Arial" w:hAnsi="Arial"/>
          <w:b w:val="0"/>
          <w:i w:val="0"/>
          <w:sz w:val="19"/>
        </w:rPr>
        <w:t xml:space="preserve"> der eingesetzten Modelle müssen inländisch entwickelt sein, die Nutzung bleibt bis mindestens </w:t>
      </w:r>
      <w:r>
        <w:rPr>
          <w:rFonts w:ascii="Arial" w:hAnsi="Arial"/>
          <w:b w:val="0"/>
          <w:i/>
          <w:sz w:val="19"/>
        </w:rPr>
        <w:t>2028</w:t>
      </w:r>
      <w:r>
        <w:rPr>
          <w:rFonts w:ascii="Arial" w:hAnsi="Arial"/>
          <w:b w:val="0"/>
          <w:i w:val="0"/>
          <w:sz w:val="19"/>
        </w:rPr>
        <w:t xml:space="preserve"> für alle Bürgerinnen und Bürger kostenfrei. Konzeptioneller Kern ist die Verschiebung von einer </w:t>
      </w:r>
      <w:r>
        <w:rPr>
          <w:rFonts w:ascii="Arial" w:hAnsi="Arial"/>
          <w:b w:val="0"/>
          <w:i/>
          <w:sz w:val="19"/>
        </w:rPr>
        <w:t>One-Person-One-Agent</w:t>
      </w:r>
      <w:r>
        <w:rPr>
          <w:rFonts w:ascii="Arial" w:hAnsi="Arial"/>
          <w:b w:val="0"/>
          <w:i w:val="0"/>
          <w:sz w:val="19"/>
        </w:rPr>
        <w:t xml:space="preserve">- zu einer </w:t>
      </w:r>
      <w:r>
        <w:rPr>
          <w:rFonts w:ascii="Arial" w:hAnsi="Arial"/>
          <w:b w:val="0"/>
          <w:i/>
          <w:sz w:val="19"/>
        </w:rPr>
        <w:t>One-Person-Multiple-Agents</w:t>
      </w:r>
      <w:r>
        <w:rPr>
          <w:rFonts w:ascii="Arial" w:hAnsi="Arial"/>
          <w:b w:val="0"/>
          <w:i w:val="0"/>
          <w:sz w:val="19"/>
        </w:rPr>
        <w:t>-Architektur (</w:t>
      </w:r>
      <w:r>
        <w:rPr>
          <w:rFonts w:ascii="Arial" w:hAnsi="Arial"/>
          <w:b w:val="0"/>
          <w:i/>
          <w:sz w:val="19"/>
        </w:rPr>
        <w:t>Jung Shi-na</w:t>
      </w:r>
      <w:r>
        <w:rPr>
          <w:rFonts w:ascii="Arial" w:hAnsi="Arial"/>
          <w:b w:val="0"/>
          <w:i w:val="0"/>
          <w:sz w:val="19"/>
        </w:rPr>
        <w:t xml:space="preserve">, Kakao: „Wir werden vom Modell einer KI pro Person zu einem Modell übergehen, bei dem mehrere KI-Agenten für ein Individuum zusammenarbeiten"; </w:t>
      </w:r>
      <w:r>
        <w:rPr>
          <w:rFonts w:ascii="Arial" w:hAnsi="Arial"/>
          <w:b w:val="0"/>
          <w:i/>
          <w:sz w:val="19"/>
        </w:rPr>
        <w:t>Park Yoon-young</w:t>
      </w:r>
      <w:r>
        <w:rPr>
          <w:rFonts w:ascii="Arial" w:hAnsi="Arial"/>
          <w:b w:val="0"/>
          <w:i w:val="0"/>
          <w:sz w:val="19"/>
        </w:rPr>
        <w:t xml:space="preserve">, KT: „Wir werden KI entwickeln, die nicht nur Antworten gibt, sondern diese in reale Handlungen umwandelt") und die integrierte Anbindung an </w:t>
      </w:r>
      <w:r>
        <w:rPr>
          <w:rFonts w:ascii="Arial" w:hAnsi="Arial"/>
          <w:b w:val="0"/>
          <w:i/>
          <w:sz w:val="19"/>
        </w:rPr>
        <w:t>öffentliche</w:t>
      </w:r>
      <w:r>
        <w:rPr>
          <w:rFonts w:ascii="Arial" w:hAnsi="Arial"/>
          <w:b w:val="0"/>
          <w:i w:val="0"/>
          <w:sz w:val="19"/>
        </w:rPr>
        <w:t xml:space="preserve">, </w:t>
      </w:r>
      <w:r>
        <w:rPr>
          <w:rFonts w:ascii="Arial" w:hAnsi="Arial"/>
          <w:b w:val="0"/>
          <w:i/>
          <w:sz w:val="19"/>
        </w:rPr>
        <w:t>medizinische</w:t>
      </w:r>
      <w:r>
        <w:rPr>
          <w:rFonts w:ascii="Arial" w:hAnsi="Arial"/>
          <w:b w:val="0"/>
          <w:i w:val="0"/>
          <w:sz w:val="19"/>
        </w:rPr>
        <w:t xml:space="preserve">, </w:t>
      </w:r>
      <w:r>
        <w:rPr>
          <w:rFonts w:ascii="Arial" w:hAnsi="Arial"/>
          <w:b w:val="0"/>
          <w:i/>
          <w:sz w:val="19"/>
        </w:rPr>
        <w:t>finanzielle</w:t>
      </w:r>
      <w:r>
        <w:rPr>
          <w:rFonts w:ascii="Arial" w:hAnsi="Arial"/>
          <w:b w:val="0"/>
          <w:i w:val="0"/>
          <w:sz w:val="19"/>
        </w:rPr>
        <w:t xml:space="preserve">, </w:t>
      </w:r>
      <w:r>
        <w:rPr>
          <w:rFonts w:ascii="Arial" w:hAnsi="Arial"/>
          <w:b w:val="0"/>
          <w:i/>
          <w:sz w:val="19"/>
        </w:rPr>
        <w:t>bildungs</w:t>
      </w:r>
      <w:r>
        <w:rPr>
          <w:rFonts w:ascii="Arial" w:hAnsi="Arial"/>
          <w:b w:val="0"/>
          <w:i w:val="0"/>
          <w:sz w:val="19"/>
        </w:rPr>
        <w:t xml:space="preserve">- und </w:t>
      </w:r>
      <w:r>
        <w:rPr>
          <w:rFonts w:ascii="Arial" w:hAnsi="Arial"/>
          <w:b w:val="0"/>
          <w:i/>
          <w:sz w:val="19"/>
        </w:rPr>
        <w:t>wohnungsrelevante</w:t>
      </w:r>
      <w:r>
        <w:rPr>
          <w:rFonts w:ascii="Arial" w:hAnsi="Arial"/>
          <w:b w:val="0"/>
          <w:i w:val="0"/>
          <w:sz w:val="19"/>
        </w:rPr>
        <w:t xml:space="preserve"> Dienste, so dass Nutzer nicht mehr zwischen Fachanwendungen navigieren müssen, sondern durch die Agenten geführt werden. Für die hier geführte Steuerdebatte ist die Konkretisierung in drei Hinsichten bemerkenswert. Erstens dokumentiert der Vorstoß eine erste großflächige, staatlich finanzierte Umsetzung dessen, was OpenAI in seinem Strategiepapier vom April 2026 (§ 4.5) unter dem Titel </w:t>
      </w:r>
      <w:r>
        <w:rPr>
          <w:rFonts w:ascii="Arial" w:hAnsi="Arial"/>
          <w:b w:val="0"/>
          <w:i/>
          <w:sz w:val="19"/>
        </w:rPr>
        <w:t>Universal Basic Compute</w:t>
      </w:r>
      <w:r>
        <w:rPr>
          <w:rFonts w:ascii="Arial" w:hAnsi="Arial"/>
          <w:b w:val="0"/>
          <w:i w:val="0"/>
          <w:sz w:val="19"/>
        </w:rPr>
        <w:t xml:space="preserve"> skizziert hatte und was in § 5.4 (Staatsfonds- und Dividendenmodelle) sowie § 8.3 (Teilhabefonds) als Bausteine der Deutschland-These theoretisch geführt werden — Südkorea vollzieht damit einen Politikpfad, der in der westlichen Debatte bislang nur als Vorschlag existierte. Zweitens wählt die südkoreanische Regierung mit dem </w:t>
      </w:r>
      <w:r>
        <w:rPr>
          <w:rFonts w:ascii="Arial" w:hAnsi="Arial"/>
          <w:b w:val="0"/>
          <w:i/>
          <w:sz w:val="19"/>
        </w:rPr>
        <w:t>Ministry of Science and ICT</w:t>
      </w:r>
      <w:r>
        <w:rPr>
          <w:rFonts w:ascii="Arial" w:hAnsi="Arial"/>
          <w:b w:val="0"/>
          <w:i w:val="0"/>
          <w:sz w:val="19"/>
        </w:rPr>
        <w:t xml:space="preserve"> als Betreiber und den drei privatwirtschaftlichen Konsortien eine </w:t>
      </w:r>
      <w:r>
        <w:rPr>
          <w:rFonts w:ascii="Arial" w:hAnsi="Arial"/>
          <w:b w:val="0"/>
          <w:i/>
          <w:sz w:val="19"/>
        </w:rPr>
        <w:t>Public-Private-Partnership</w:t>
      </w:r>
      <w:r>
        <w:rPr>
          <w:rFonts w:ascii="Arial" w:hAnsi="Arial"/>
          <w:b w:val="0"/>
          <w:i w:val="0"/>
          <w:sz w:val="19"/>
        </w:rPr>
        <w:t xml:space="preserve">-Konstellation, die weder mit den </w:t>
      </w:r>
      <w:r>
        <w:rPr>
          <w:rFonts w:ascii="Arial" w:hAnsi="Arial"/>
          <w:b w:val="0"/>
          <w:i/>
          <w:sz w:val="19"/>
        </w:rPr>
        <w:t>US-Sovereign-Wealth-Fund</w:t>
      </w:r>
      <w:r>
        <w:rPr>
          <w:rFonts w:ascii="Arial" w:hAnsi="Arial"/>
          <w:b w:val="0"/>
          <w:i w:val="0"/>
          <w:sz w:val="19"/>
        </w:rPr>
        <w:t xml:space="preserve">-Vorschlägen (Sanders, </w:t>
      </w:r>
      <w:r>
        <w:rPr>
          <w:rFonts w:ascii="Arial" w:hAnsi="Arial"/>
          <w:b w:val="0"/>
          <w:i/>
          <w:sz w:val="19"/>
        </w:rPr>
        <w:t>American A.I. Sovereign Wealth Fund Act</w:t>
      </w:r>
      <w:r>
        <w:rPr>
          <w:rFonts w:ascii="Arial" w:hAnsi="Arial"/>
          <w:b w:val="0"/>
          <w:i w:val="0"/>
          <w:sz w:val="19"/>
        </w:rPr>
        <w:t xml:space="preserve">, § 4.5, Juni 2026) noch mit dem </w:t>
      </w:r>
      <w:r>
        <w:rPr>
          <w:rFonts w:ascii="Arial" w:hAnsi="Arial"/>
          <w:b w:val="0"/>
          <w:i/>
          <w:sz w:val="19"/>
        </w:rPr>
        <w:t>Generationenkapital</w:t>
      </w:r>
      <w:r>
        <w:rPr>
          <w:rFonts w:ascii="Arial" w:hAnsi="Arial"/>
          <w:b w:val="0"/>
          <w:i w:val="0"/>
          <w:sz w:val="19"/>
        </w:rPr>
        <w:t xml:space="preserve"> der deutschen Alterssicherungsreform (§ 5.4) identisch ist, sondern eine dritte Variante darstellt: unmittelbare </w:t>
      </w:r>
      <w:r>
        <w:rPr>
          <w:rFonts w:ascii="Arial" w:hAnsi="Arial"/>
          <w:b w:val="0"/>
          <w:i/>
          <w:sz w:val="19"/>
        </w:rPr>
        <w:t>Nutzenbeteiligung</w:t>
      </w:r>
      <w:r>
        <w:rPr>
          <w:rFonts w:ascii="Arial" w:hAnsi="Arial"/>
          <w:b w:val="0"/>
          <w:i w:val="0"/>
          <w:sz w:val="19"/>
        </w:rPr>
        <w:t xml:space="preserve"> über Zugang zu Compute und Agenten statt monetärer Dividenden aus einem KI-Fonds. Drittens flankiert der Vorstoß die im Papier bereits dokumentierte südkoreanische Zwei-Strang-Politik aus </w:t>
      </w:r>
      <w:r>
        <w:rPr>
          <w:rFonts w:ascii="Arial" w:hAnsi="Arial"/>
          <w:b w:val="0"/>
          <w:i/>
          <w:sz w:val="19"/>
        </w:rPr>
        <w:t>Domestic Production Tax Credit</w:t>
      </w:r>
      <w:r>
        <w:rPr>
          <w:rFonts w:ascii="Arial" w:hAnsi="Arial"/>
          <w:b w:val="0"/>
          <w:i w:val="0"/>
          <w:sz w:val="19"/>
        </w:rPr>
        <w:t xml:space="preserve"> („Korean IRA", 3. August 2026), </w:t>
      </w:r>
      <w:r>
        <w:rPr>
          <w:rFonts w:ascii="Arial" w:hAnsi="Arial"/>
          <w:b w:val="0"/>
          <w:i/>
          <w:sz w:val="19"/>
        </w:rPr>
        <w:t>Future Response Fund</w:t>
      </w:r>
      <w:r>
        <w:rPr>
          <w:rFonts w:ascii="Arial" w:hAnsi="Arial"/>
          <w:b w:val="0"/>
          <w:i w:val="0"/>
          <w:sz w:val="19"/>
        </w:rPr>
        <w:t xml:space="preserve"> (21. August 2026) und </w:t>
      </w:r>
      <w:r>
        <w:rPr>
          <w:rFonts w:ascii="Arial" w:hAnsi="Arial"/>
          <w:b w:val="0"/>
          <w:i/>
          <w:sz w:val="19"/>
        </w:rPr>
        <w:t>AI Transition Response Contribution</w:t>
      </w:r>
      <w:r>
        <w:rPr>
          <w:rFonts w:ascii="Arial" w:hAnsi="Arial"/>
          <w:b w:val="0"/>
          <w:i w:val="0"/>
          <w:sz w:val="19"/>
        </w:rPr>
        <w:t xml:space="preserve"> (14. August 2026, oben in diesem Abschnitt) um einen </w:t>
      </w:r>
      <w:r>
        <w:rPr>
          <w:rFonts w:ascii="Arial" w:hAnsi="Arial"/>
          <w:b w:val="0"/>
          <w:i/>
          <w:sz w:val="19"/>
        </w:rPr>
        <w:t>Nachfrageseiten</w:t>
      </w:r>
      <w:r>
        <w:rPr>
          <w:rFonts w:ascii="Arial" w:hAnsi="Arial"/>
          <w:b w:val="0"/>
          <w:i w:val="0"/>
          <w:sz w:val="19"/>
        </w:rPr>
        <w:t xml:space="preserve">-Baustein: Die drei Fiskalinstrumente adressieren </w:t>
      </w:r>
      <w:r>
        <w:rPr>
          <w:rFonts w:ascii="Arial" w:hAnsi="Arial"/>
          <w:b w:val="0"/>
          <w:i/>
          <w:sz w:val="19"/>
        </w:rPr>
        <w:t>Deployer</w:t>
      </w:r>
      <w:r>
        <w:rPr>
          <w:rFonts w:ascii="Arial" w:hAnsi="Arial"/>
          <w:b w:val="0"/>
          <w:i w:val="0"/>
          <w:sz w:val="19"/>
        </w:rPr>
        <w:t xml:space="preserve"> und </w:t>
      </w:r>
      <w:r>
        <w:rPr>
          <w:rFonts w:ascii="Arial" w:hAnsi="Arial"/>
          <w:b w:val="0"/>
          <w:i/>
          <w:sz w:val="19"/>
        </w:rPr>
        <w:t>Anbieter</w:t>
      </w:r>
      <w:r>
        <w:rPr>
          <w:rFonts w:ascii="Arial" w:hAnsi="Arial"/>
          <w:b w:val="0"/>
          <w:i w:val="0"/>
          <w:sz w:val="19"/>
        </w:rPr>
        <w:t xml:space="preserve"> auf der Angebots- und Verteilungsseite, das „AI for All"-Programm adressiert </w:t>
      </w:r>
      <w:r>
        <w:rPr>
          <w:rFonts w:ascii="Arial" w:hAnsi="Arial"/>
          <w:b w:val="0"/>
          <w:i/>
          <w:sz w:val="19"/>
        </w:rPr>
        <w:t>Endnutzer</w:t>
      </w:r>
      <w:r>
        <w:rPr>
          <w:rFonts w:ascii="Arial" w:hAnsi="Arial"/>
          <w:b w:val="0"/>
          <w:i w:val="0"/>
          <w:sz w:val="19"/>
        </w:rPr>
        <w:t xml:space="preserve"> auf der Zugangsseite. In der Zusammenschau entsteht damit die international erste vollständige </w:t>
      </w:r>
      <w:r>
        <w:rPr>
          <w:rFonts w:ascii="Arial" w:hAnsi="Arial"/>
          <w:b w:val="0"/>
          <w:i/>
          <w:sz w:val="19"/>
        </w:rPr>
        <w:t>Angebot-Verteilung-Zugang</w:t>
      </w:r>
      <w:r>
        <w:rPr>
          <w:rFonts w:ascii="Arial" w:hAnsi="Arial"/>
          <w:b w:val="0"/>
          <w:i w:val="0"/>
          <w:sz w:val="19"/>
        </w:rPr>
        <w:t>-Trias einer nationalen KI-Fiskal- und Teilhabearchitektur; ihre empirische Belastbarkeit — insbesondere die Frage, ob das MAU-Ziel erreicht und die Kosten­steigerung durch die Konsortialstruktur begrenzt werden können — bleibt bis mindestens Jahresende 2026 offen.</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jc w:val="both"/>
      </w:pPr>
      <w:r>
        <w:rPr>
          <w:rFonts w:ascii="Arial" w:hAnsi="Arial"/>
          <w:b/>
          <w:i w:val="0"/>
          <w:sz w:val="19"/>
        </w:rPr>
        <w:t>Externe Bestätigung durch die geldpolitische Ebene (Warsh-Jackson-Hole-Keynote „In Our Time", 28. August 2026):</w:t>
      </w:r>
      <w:r>
        <w:rPr>
          <w:rFonts w:ascii="Arial" w:hAnsi="Arial"/>
          <w:b w:val="0"/>
          <w:i w:val="0"/>
          <w:sz w:val="19"/>
        </w:rPr>
        <w:t xml:space="preserve"> Die in § 8.1 formulierte Drei-Faktor-Sicht Y = f(K, L, AI) ist am 28. August 2026 auf der Ebene der US-Notenbank erstmals von einer geldpolitischen Führungsfigur wörtlich aufgegriffen worden. In seiner </w:t>
      </w:r>
      <w:r>
        <w:rPr>
          <w:rFonts w:ascii="Arial" w:hAnsi="Arial"/>
          <w:b w:val="0"/>
          <w:i/>
          <w:sz w:val="19"/>
        </w:rPr>
        <w:t>Jackson-Hole</w:t>
      </w:r>
      <w:r>
        <w:rPr>
          <w:rFonts w:ascii="Arial" w:hAnsi="Arial"/>
          <w:b w:val="0"/>
          <w:i w:val="0"/>
          <w:sz w:val="19"/>
        </w:rPr>
        <w:t xml:space="preserve">-Keynote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habe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KI als </w:t>
      </w:r>
      <w:r>
        <w:rPr>
          <w:rFonts w:ascii="Arial" w:hAnsi="Arial"/>
          <w:b w:val="0"/>
          <w:i/>
          <w:sz w:val="19"/>
        </w:rPr>
        <w:t>„a new variable — potentially a new factor of production — that will have consequences for both the economy and the conduct of monetary policy"</w:t>
      </w:r>
      <w:r>
        <w:rPr>
          <w:rFonts w:ascii="Arial" w:hAnsi="Arial"/>
          <w:b w:val="0"/>
          <w:i w:val="0"/>
          <w:sz w:val="19"/>
        </w:rPr>
        <w:t xml:space="preserve"> bezeichnet (Primärquelle: </w:t>
      </w:r>
      <w:r>
        <w:rPr>
          <w:rFonts w:ascii="Arial" w:hAnsi="Arial"/>
          <w:b w:val="0"/>
          <w:i/>
          <w:sz w:val="19"/>
        </w:rPr>
        <w:t>Federal Reserve Board</w:t>
      </w:r>
      <w:r>
        <w:rPr>
          <w:rFonts w:ascii="Arial" w:hAnsi="Arial"/>
          <w:b w:val="0"/>
          <w:i w:val="0"/>
          <w:sz w:val="19"/>
        </w:rPr>
        <w:t xml:space="preserve">, Speech federalreserve.gov/newsevents/speech/warsh20260828a.htm; Konjunktivpflicht nach § 4.2 Claude.md, da die Rede eine geldpolitische Positionierung, keine Modellsetzung darstellt). Ergänzend habe Warsh die Entstehungslogik moderner KI-Basismodelle mit der Formel </w:t>
      </w:r>
      <w:r>
        <w:rPr>
          <w:rFonts w:ascii="Arial" w:hAnsi="Arial"/>
          <w:b w:val="0"/>
          <w:i/>
          <w:sz w:val="19"/>
        </w:rPr>
        <w:t>„Capital and labor have combined to create the large language models at the heart of AI"</w:t>
      </w:r>
      <w:r>
        <w:rPr>
          <w:rFonts w:ascii="Arial" w:hAnsi="Arial"/>
          <w:b w:val="0"/>
          <w:i w:val="0"/>
          <w:sz w:val="19"/>
        </w:rPr>
        <w:t xml:space="preserve"> rekonstruiert und damit einerseits Kapital und Arbeit als kombinierten Input in die </w:t>
      </w:r>
      <w:r>
        <w:rPr>
          <w:rFonts w:ascii="Arial" w:hAnsi="Arial"/>
          <w:b w:val="0"/>
          <w:i/>
          <w:sz w:val="19"/>
        </w:rPr>
        <w:t>Erzeugung</w:t>
      </w:r>
      <w:r>
        <w:rPr>
          <w:rFonts w:ascii="Arial" w:hAnsi="Arial"/>
          <w:b w:val="0"/>
          <w:i w:val="0"/>
          <w:sz w:val="19"/>
        </w:rPr>
        <w:t xml:space="preserve"> der Modelle verortet und andererseits die Modelle selbst — mit den zugehörigen Token-Ökonomien — als eigenständige Wirkungsgröße innerhalb der Produktionsfunktion behandelt. Für die in § 8.1 entwickelte Modellierung folgt daraus eine dreifache externe Verankerung: Erstens bestätigt die Rede die im Absatz oben ausdrücklich als </w:t>
      </w:r>
      <w:r>
        <w:rPr>
          <w:rFonts w:ascii="Arial" w:hAnsi="Arial"/>
          <w:b w:val="0"/>
          <w:i/>
          <w:sz w:val="19"/>
        </w:rPr>
        <w:t>„analytische Position"</w:t>
      </w:r>
      <w:r>
        <w:rPr>
          <w:rFonts w:ascii="Arial" w:hAnsi="Arial"/>
          <w:b w:val="0"/>
          <w:i w:val="0"/>
          <w:sz w:val="19"/>
        </w:rPr>
        <w:t xml:space="preserve"> markierte Drei-Faktor-Sicht auf der Ebene einer G7-Zentralbank; die zuvor als </w:t>
      </w:r>
      <w:r>
        <w:rPr>
          <w:rFonts w:ascii="Arial" w:hAnsi="Arial"/>
          <w:b w:val="0"/>
          <w:i/>
          <w:sz w:val="19"/>
        </w:rPr>
        <w:t>„sinnvolle modellierende Vereinfachung"</w:t>
      </w:r>
      <w:r>
        <w:rPr>
          <w:rFonts w:ascii="Arial" w:hAnsi="Arial"/>
          <w:b w:val="0"/>
          <w:i w:val="0"/>
          <w:sz w:val="19"/>
        </w:rPr>
        <w:t xml:space="preserve"> eingeführte Trennung von K, L und AI erhält damit eine externe Referenz jenseits der arXiv- und NBER-Working-Paper-Ebene. Zweitens verankert die Warsh-Formel die in § 8.1 gegen die reine Kapitalgut-Interpretation gerichtete qualitative Neuartigkeit — Skalierungslogik, Substitutionsmuster gegenüber kognitiver Arbeit, Eigentums- und Kontrollstruktur — in einem geldpolitischen Beobachtungs­rahmen, der bislang KI überwiegend als Technologie oder produktivitätssteigernden Faktor innerhalb der bestehenden Faktorkategorien behandelt hatte. Drittens fügt sich der Befund neben die im Absatz oben angeführte inländisch-empirische Verankerung (IAB-Kurzbericht 08/2026, § 8.1) als parallele Bestätigung von zwei unterschiedlichen Beobachterpositionen: einer inländisch-empirischen (Betriebspanel) und einer transatlantisch-geldpolitischen (Fed-Chair). Die makrofinanziellen Aggregate derselben Rede (annualisierte Token-Umsätze über 100 Milliarden US-Dollar bei über 500 Prozent Wachstum, rund 9 Prozent Ausrüstungs- und Immaterialgüter­investitionen, über 20 Prozent Konzern­gewinn­wachstum, fünf neu eingerichtete </w:t>
      </w:r>
      <w:r>
        <w:rPr>
          <w:rFonts w:ascii="Arial" w:hAnsi="Arial"/>
          <w:b w:val="0"/>
          <w:i/>
          <w:sz w:val="19"/>
        </w:rPr>
        <w:t>Fed</w:t>
      </w:r>
      <w:r>
        <w:rPr>
          <w:rFonts w:ascii="Arial" w:hAnsi="Arial"/>
          <w:b w:val="0"/>
          <w:i w:val="0"/>
          <w:sz w:val="19"/>
        </w:rPr>
        <w:t>-Task-Forces) sind an ihrem primären Ort in § 8.2 (Vierte Fortschreibung) referiert und werden hier nicht dupliziert; die hier aufgenommene Passage bezieht sich ausschließlich auf die begriffliche Bestimmung der KI als eigenständigen dritten Produktionsfaktor. Für § 8.3 (Teilhabefrage) und § 8.4 (Systemstabilität) folgt daraus, dass die Anschluss­fähigkeit einer wertschöpfungs­bezogenen Zugriffsarchitektur nicht nur an inländisch-empirischen Adoptions­zahlen, sondern auch an einer geldpolitisch anerkannten Faktorlogik gewinnt.</w:t>
      </w:r>
    </w:p>
    <w:p>
      <w:pPr>
        <w:jc w:val="both"/>
      </w:pPr>
      <w:r>
        <w:rPr>
          <w:rFonts w:ascii="Arial" w:hAnsi="Arial"/>
          <w:b/>
          <w:i w:val="0"/>
          <w:sz w:val="19"/>
        </w:rPr>
        <w:t>Empirische Verankerung für Deutschland (IAB-Kurzbericht 08/2026, 27. August 2026):</w:t>
      </w:r>
      <w:r>
        <w:rPr>
          <w:rFonts w:ascii="Arial" w:hAnsi="Arial"/>
          <w:b w:val="0"/>
          <w:i w:val="0"/>
          <w:sz w:val="19"/>
        </w:rPr>
        <w:t xml:space="preserve"> Für die im Absatz oben formulierte Drei-Faktor-Sicht liefert der </w:t>
      </w:r>
      <w:r>
        <w:rPr>
          <w:rFonts w:ascii="Arial" w:hAnsi="Arial"/>
          <w:b w:val="0"/>
          <w:i/>
          <w:sz w:val="19"/>
        </w:rPr>
        <w:t>IAB-Kurzbericht</w:t>
      </w:r>
      <w:r>
        <w:rPr>
          <w:rFonts w:ascii="Arial" w:hAnsi="Arial"/>
          <w:b w:val="0"/>
          <w:i w:val="0"/>
          <w:sz w:val="19"/>
        </w:rPr>
        <w:t xml:space="preserve"> 08/2026 von </w:t>
      </w:r>
      <w:r>
        <w:rPr>
          <w:rFonts w:ascii="Arial" w:hAnsi="Arial"/>
          <w:b w:val="0"/>
          <w:i/>
          <w:sz w:val="19"/>
        </w:rPr>
        <w:t>Michael Friedrich</w:t>
      </w:r>
      <w:r>
        <w:rPr>
          <w:rFonts w:ascii="Arial" w:hAnsi="Arial"/>
          <w:b w:val="0"/>
          <w:i w:val="0"/>
          <w:sz w:val="19"/>
        </w:rPr>
        <w:t xml:space="preserve"> und </w:t>
      </w:r>
      <w:r>
        <w:rPr>
          <w:rFonts w:ascii="Arial" w:hAnsi="Arial"/>
          <w:b w:val="0"/>
          <w:i/>
          <w:sz w:val="19"/>
        </w:rPr>
        <w:t>Christian Kagerl</w:t>
      </w:r>
      <w:r>
        <w:rPr>
          <w:rFonts w:ascii="Arial" w:hAnsi="Arial"/>
          <w:b w:val="0"/>
          <w:i w:val="0"/>
          <w:sz w:val="19"/>
        </w:rPr>
        <w:t xml:space="preserve"> („Künstliche Intelligenz in deutschen Betrieben: Jeder vierte Betrieb nutzt mittlerweile generative KI", Nürnberg, 8 Seiten, DOI 10.48720/IAB.KB.2608) einen aktuellen empirischen Anhaltspunkt zum inländischen Adoptionsstand des dritten Faktors. Auf Basis des </w:t>
      </w:r>
      <w:r>
        <w:rPr>
          <w:rFonts w:ascii="Arial" w:hAnsi="Arial"/>
          <w:b w:val="0"/>
          <w:i/>
          <w:sz w:val="19"/>
        </w:rPr>
        <w:t>IAB-Betriebspanels</w:t>
      </w:r>
      <w:r>
        <w:rPr>
          <w:rFonts w:ascii="Arial" w:hAnsi="Arial"/>
          <w:b w:val="0"/>
          <w:i w:val="0"/>
          <w:sz w:val="19"/>
        </w:rPr>
        <w:t xml:space="preserve"> habe sich der Anteil der Betriebe mit Nutzung generativer KI zwischen 2023 und 2025 von rund 5 % auf rund 24 % nahezu verfünffacht; bei Großbetrieben mit 200 und mehr Beschäftigten liege der Anteil bereits bei rund 48 %, bei Kleinstbetrieben mit weniger als zehn Beschäftigten bei rund 21 %. Von den nutzenden Betrieben griffen rund 90 % auf frei verfügbare Anwendungen zurück; lediglich rund 16 % verwendeten mit eigenen Daten trainierte Modelle (Konjunktivpflicht nach § 4.2 Claude.md, da die Werte aus einer Betriebsbefragung stammen und die 2025er Welle die zuletzt erhobene Datengrundlage bildet). Für die in § 8.1 entwickelte Modellierung ergeben sich zwei Beobachtungen. Erstens: Der dritte Faktor ist in der inländischen Betriebslandschaft empirisch angekommen, aber nach Betriebsgröße stark asymmetrisch verteilt — eine Verteilung, die die in § 5.1 diskutierte Verbreiterung der Sozialstaats­finanzierung auf Wertschöpfung stützt, weil generative KI die Produktivität dort zuerst hebt, wo die Bemessungsbasis der lohn­gestützten Sozialversicherung ohnehin am dünnsten wird (kognitiv-dienstleistungs­intensive Großbetriebe). Zweitens: Die Konzentration auf frei verfügbare Anwendungen (rund 90 %) verstärkt den in § 8.3 formulierten Punkt, dass die inländische Wertschöpfung nicht am Basismodell, sondern an der Anwendungs­stufe entsteht — mit unmittelbarer Rückwirkung auf die in Kapitel 8 vorgeschlagene </w:t>
      </w:r>
      <w:r>
        <w:rPr>
          <w:rFonts w:ascii="Arial" w:hAnsi="Arial"/>
          <w:b w:val="0"/>
          <w:i/>
          <w:sz w:val="19"/>
        </w:rPr>
        <w:t>Veredelungsstrategie</w:t>
      </w:r>
      <w:r>
        <w:rPr>
          <w:rFonts w:ascii="Arial" w:hAnsi="Arial"/>
          <w:b w:val="0"/>
          <w:i w:val="0"/>
          <w:sz w:val="19"/>
        </w:rPr>
        <w:t xml:space="preserve"> (§ 8.2) und die in § 8.3 begründete wertschöpfungs­bezogene Zugriffsarchitektur, die auf inländische KI-</w:t>
      </w:r>
      <w:r>
        <w:rPr>
          <w:rFonts w:ascii="Arial" w:hAnsi="Arial"/>
          <w:b w:val="0"/>
          <w:i/>
          <w:sz w:val="19"/>
        </w:rPr>
        <w:t>Nutzung</w:t>
      </w:r>
      <w:r>
        <w:rPr>
          <w:rFonts w:ascii="Arial" w:hAnsi="Arial"/>
          <w:b w:val="0"/>
          <w:i w:val="0"/>
          <w:sz w:val="19"/>
        </w:rPr>
        <w:t xml:space="preserve"> statt auf ausländische Anbieter-Bestände zielt.</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 xml:space="preserve">-Absatz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 Nachtrag zum 10. August 2026: Fünf Tage nach der </w:t>
      </w:r>
      <w:r>
        <w:rPr>
          <w:rFonts w:ascii="Arial" w:hAnsi="Arial"/>
          <w:b w:val="0"/>
          <w:i/>
          <w:sz w:val="19"/>
        </w:rPr>
        <w:t>Muse-Spark-1.2</w:t>
      </w:r>
      <w:r>
        <w:rPr>
          <w:rFonts w:ascii="Arial" w:hAnsi="Arial"/>
          <w:b w:val="0"/>
          <w:i w:val="0"/>
          <w:sz w:val="19"/>
        </w:rPr>
        <w:t xml:space="preserve">-Freigabe hat </w:t>
      </w:r>
      <w:r>
        <w:rPr>
          <w:rFonts w:ascii="Arial" w:hAnsi="Arial"/>
          <w:b w:val="0"/>
          <w:i/>
          <w:sz w:val="19"/>
        </w:rPr>
        <w:t>Meta</w:t>
      </w:r>
      <w:r>
        <w:rPr>
          <w:rFonts w:ascii="Arial" w:hAnsi="Arial"/>
          <w:b w:val="0"/>
          <w:i w:val="0"/>
          <w:sz w:val="19"/>
        </w:rPr>
        <w:t xml:space="preserve"> nach eigener Bekanntgabe („Introducing Muse Glimmer: An Open Agentic Model That Runs on Your Device") und übereinstimmender Berichterstattung von </w:t>
      </w:r>
      <w:r>
        <w:rPr>
          <w:rFonts w:ascii="Arial" w:hAnsi="Arial"/>
          <w:b w:val="0"/>
          <w:i/>
          <w:sz w:val="19"/>
        </w:rPr>
        <w:t>CNBC</w:t>
      </w:r>
      <w:r>
        <w:rPr>
          <w:rFonts w:ascii="Arial" w:hAnsi="Arial"/>
          <w:b w:val="0"/>
          <w:i w:val="0"/>
          <w:sz w:val="19"/>
        </w:rPr>
        <w:t xml:space="preserve"> (10. August 2026), </w:t>
      </w:r>
      <w:r>
        <w:rPr>
          <w:rFonts w:ascii="Arial" w:hAnsi="Arial"/>
          <w:b w:val="0"/>
          <w:i/>
          <w:sz w:val="19"/>
        </w:rPr>
        <w:t>SiliconAngle</w:t>
      </w:r>
      <w:r>
        <w:rPr>
          <w:rFonts w:ascii="Arial" w:hAnsi="Arial"/>
          <w:b w:val="0"/>
          <w:i w:val="0"/>
          <w:sz w:val="19"/>
        </w:rPr>
        <w:t xml:space="preserve">, </w:t>
      </w:r>
      <w:r>
        <w:rPr>
          <w:rFonts w:ascii="Arial" w:hAnsi="Arial"/>
          <w:b w:val="0"/>
          <w:i/>
          <w:sz w:val="19"/>
        </w:rPr>
        <w:t>Seeking Alpha</w:t>
      </w:r>
      <w:r>
        <w:rPr>
          <w:rFonts w:ascii="Arial" w:hAnsi="Arial"/>
          <w:b w:val="0"/>
          <w:i w:val="0"/>
          <w:sz w:val="19"/>
        </w:rPr>
        <w:t xml:space="preserve">, </w:t>
      </w:r>
      <w:r>
        <w:rPr>
          <w:rFonts w:ascii="Arial" w:hAnsi="Arial"/>
          <w:b w:val="0"/>
          <w:i/>
          <w:sz w:val="19"/>
        </w:rPr>
        <w:t>Phoronix</w:t>
      </w:r>
      <w:r>
        <w:rPr>
          <w:rFonts w:ascii="Arial" w:hAnsi="Arial"/>
          <w:b w:val="0"/>
          <w:i w:val="0"/>
          <w:sz w:val="19"/>
        </w:rPr>
        <w:t xml:space="preserve"> und der begleitenden </w:t>
      </w:r>
      <w:r>
        <w:rPr>
          <w:rFonts w:ascii="Arial" w:hAnsi="Arial"/>
          <w:b w:val="0"/>
          <w:i/>
          <w:sz w:val="19"/>
        </w:rPr>
        <w:t>Hugging-Face</w:t>
      </w:r>
      <w:r>
        <w:rPr>
          <w:rFonts w:ascii="Arial" w:hAnsi="Arial"/>
          <w:b w:val="0"/>
          <w:i w:val="0"/>
          <w:sz w:val="19"/>
        </w:rPr>
        <w:t xml:space="preserve">-Modellkarte am 10. August 2026 mit </w:t>
      </w:r>
      <w:r>
        <w:rPr>
          <w:rFonts w:ascii="Arial" w:hAnsi="Arial"/>
          <w:b w:val="0"/>
          <w:i/>
          <w:sz w:val="19"/>
        </w:rPr>
        <w:t>Muse Glimmer</w:t>
      </w:r>
      <w:r>
        <w:rPr>
          <w:rFonts w:ascii="Arial" w:hAnsi="Arial"/>
          <w:b w:val="0"/>
          <w:i w:val="0"/>
          <w:sz w:val="19"/>
        </w:rPr>
        <w:t xml:space="preserve"> einen 30-Milliarden-Parameter-</w:t>
      </w:r>
      <w:r>
        <w:rPr>
          <w:rFonts w:ascii="Arial" w:hAnsi="Arial"/>
          <w:b w:val="0"/>
          <w:i/>
          <w:sz w:val="19"/>
        </w:rPr>
        <w:t>Open-Weight</w:t>
      </w:r>
      <w:r>
        <w:rPr>
          <w:rFonts w:ascii="Arial" w:hAnsi="Arial"/>
          <w:b w:val="0"/>
          <w:i w:val="0"/>
          <w:sz w:val="19"/>
        </w:rPr>
        <w:t xml:space="preserve">-Ableger seines </w:t>
      </w:r>
      <w:r>
        <w:rPr>
          <w:rFonts w:ascii="Arial" w:hAnsi="Arial"/>
          <w:b w:val="0"/>
          <w:i/>
          <w:sz w:val="19"/>
        </w:rPr>
        <w:t>Muse-Spark</w:t>
      </w:r>
      <w:r>
        <w:rPr>
          <w:rFonts w:ascii="Arial" w:hAnsi="Arial"/>
          <w:b w:val="0"/>
          <w:i w:val="0"/>
          <w:sz w:val="19"/>
        </w:rPr>
        <w:t>-Familienlaufs freigegeben, der auf lokal ausführbare Agenten-Arbeitslasten (</w:t>
      </w:r>
      <w:r>
        <w:rPr>
          <w:rFonts w:ascii="Arial" w:hAnsi="Arial"/>
          <w:b w:val="0"/>
          <w:i/>
          <w:sz w:val="19"/>
        </w:rPr>
        <w:t>local agents</w:t>
      </w:r>
      <w:r>
        <w:rPr>
          <w:rFonts w:ascii="Arial" w:hAnsi="Arial"/>
          <w:b w:val="0"/>
          <w:i w:val="0"/>
          <w:sz w:val="19"/>
        </w:rPr>
        <w:t xml:space="preserve">, </w:t>
      </w:r>
      <w:r>
        <w:rPr>
          <w:rFonts w:ascii="Arial" w:hAnsi="Arial"/>
          <w:b w:val="0"/>
          <w:i/>
          <w:sz w:val="19"/>
        </w:rPr>
        <w:t>function calling</w:t>
      </w:r>
      <w:r>
        <w:rPr>
          <w:rFonts w:ascii="Arial" w:hAnsi="Arial"/>
          <w:b w:val="0"/>
          <w:i w:val="0"/>
          <w:sz w:val="19"/>
        </w:rPr>
        <w:t xml:space="preserve">, </w:t>
      </w:r>
      <w:r>
        <w:rPr>
          <w:rFonts w:ascii="Arial" w:hAnsi="Arial"/>
          <w:b w:val="0"/>
          <w:i/>
          <w:sz w:val="19"/>
        </w:rPr>
        <w:t>coding</w:t>
      </w:r>
      <w:r>
        <w:rPr>
          <w:rFonts w:ascii="Arial" w:hAnsi="Arial"/>
          <w:b w:val="0"/>
          <w:i w:val="0"/>
          <w:sz w:val="19"/>
        </w:rPr>
        <w:t xml:space="preserve">, </w:t>
      </w:r>
      <w:r>
        <w:rPr>
          <w:rFonts w:ascii="Arial" w:hAnsi="Arial"/>
          <w:b w:val="0"/>
          <w:i/>
          <w:sz w:val="19"/>
        </w:rPr>
        <w:t>LLM-as-a-judge</w:t>
      </w:r>
      <w:r>
        <w:rPr>
          <w:rFonts w:ascii="Arial" w:hAnsi="Arial"/>
          <w:b w:val="0"/>
          <w:i w:val="0"/>
          <w:sz w:val="19"/>
        </w:rPr>
        <w:t xml:space="preserve">) zugeschnitten ist; nach den Anbieterangaben ist das Modell durch 4-Bit-Quantisierung und </w:t>
      </w:r>
      <w:r>
        <w:rPr>
          <w:rFonts w:ascii="Arial" w:hAnsi="Arial"/>
          <w:b w:val="0"/>
          <w:i/>
          <w:sz w:val="19"/>
        </w:rPr>
        <w:t>speculative decoding</w:t>
      </w:r>
      <w:r>
        <w:rPr>
          <w:rFonts w:ascii="Arial" w:hAnsi="Arial"/>
          <w:b w:val="0"/>
          <w:i w:val="0"/>
          <w:sz w:val="19"/>
        </w:rPr>
        <w:t xml:space="preserve"> (Drafter-Verifier-Pipeline) auf einen Speicherbedarf von unter 20 Gigabyte RAM komprimiert (nativ rund 55 Gigabyte) und läuft auf einem einzelnen Consumer-Grafikchip auf Mac- oder PC-Systemen; einstellbare </w:t>
      </w:r>
      <w:r>
        <w:rPr>
          <w:rFonts w:ascii="Arial" w:hAnsi="Arial"/>
          <w:b w:val="0"/>
          <w:i/>
          <w:sz w:val="19"/>
        </w:rPr>
        <w:t>Reasoning-Strength</w:t>
      </w:r>
      <w:r>
        <w:rPr>
          <w:rFonts w:ascii="Arial" w:hAnsi="Arial"/>
          <w:b w:val="0"/>
          <w:i w:val="0"/>
          <w:sz w:val="19"/>
        </w:rPr>
        <w:t xml:space="preserve">-Stufen und automatische Aufgabenwiederholungen ergänzen die Standard-Agenten-Schleife. In den vom Anbieter berichteten Benchmark-Vergleichen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führt </w:t>
      </w:r>
      <w:r>
        <w:rPr>
          <w:rFonts w:ascii="Arial" w:hAnsi="Arial"/>
          <w:b w:val="0"/>
          <w:i/>
          <w:sz w:val="19"/>
        </w:rPr>
        <w:t>Muse Glimmer</w:t>
      </w:r>
      <w:r>
        <w:rPr>
          <w:rFonts w:ascii="Arial" w:hAnsi="Arial"/>
          <w:b w:val="0"/>
          <w:i w:val="0"/>
          <w:sz w:val="19"/>
        </w:rPr>
        <w:t xml:space="preserve"> nach eigener Zählung auf rund der Hälfte der zwei Dutzend geprüften Benchmarks (Online-Recherche, Codegenerierung, wissenschaftliche Chart-Analyse); unabhängige Vergleiche mit den führenden </w:t>
      </w:r>
      <w:r>
        <w:rPr>
          <w:rFonts w:ascii="Arial" w:hAnsi="Arial"/>
          <w:b w:val="0"/>
          <w:i/>
          <w:sz w:val="19"/>
        </w:rPr>
        <w:t>closed-source</w:t>
      </w:r>
      <w:r>
        <w:rPr>
          <w:rFonts w:ascii="Arial" w:hAnsi="Arial"/>
          <w:b w:val="0"/>
          <w:i w:val="0"/>
          <w:sz w:val="19"/>
        </w:rPr>
        <w:t xml:space="preserve">-Modellen von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stehen zum Freigabedatum aus (Konjunktivpflicht nach § 4.2 Claude.md). Die </w:t>
      </w:r>
      <w:r>
        <w:rPr>
          <w:rFonts w:ascii="Arial" w:hAnsi="Arial"/>
          <w:b w:val="0"/>
          <w:i/>
          <w:sz w:val="19"/>
        </w:rPr>
        <w:t>Meta-AI-Research</w:t>
      </w:r>
      <w:r>
        <w:rPr>
          <w:rFonts w:ascii="Arial" w:hAnsi="Arial"/>
          <w:b w:val="0"/>
          <w:i w:val="0"/>
          <w:sz w:val="19"/>
        </w:rPr>
        <w:t xml:space="preserve">-Blog-Freigabe verweist ausdrücklich auf die Ableitung aus dem </w:t>
      </w:r>
      <w:r>
        <w:rPr>
          <w:rFonts w:ascii="Arial" w:hAnsi="Arial"/>
          <w:b w:val="0"/>
          <w:i/>
          <w:sz w:val="19"/>
        </w:rPr>
        <w:t>Muse-Spark</w:t>
      </w:r>
      <w:r>
        <w:rPr>
          <w:rFonts w:ascii="Arial" w:hAnsi="Arial"/>
          <w:b w:val="0"/>
          <w:i w:val="0"/>
          <w:sz w:val="19"/>
        </w:rPr>
        <w:t xml:space="preserve">-Lehrer-Modell und die Möglichkeit, das Gewichtsformat samt Modellkarte über </w:t>
      </w:r>
      <w:r>
        <w:rPr>
          <w:rFonts w:ascii="Arial" w:hAnsi="Arial"/>
          <w:b w:val="0"/>
          <w:i/>
          <w:sz w:val="19"/>
        </w:rPr>
        <w:t>Hugging Face</w:t>
      </w:r>
      <w:r>
        <w:rPr>
          <w:rFonts w:ascii="Arial" w:hAnsi="Arial"/>
          <w:b w:val="0"/>
          <w:i w:val="0"/>
          <w:sz w:val="19"/>
        </w:rPr>
        <w:t xml:space="preserve"> zu beziehen; für die in § 8.2 dokumentierte Verlagerung der Wettbewerbsdynamik auf die Deployment- und Agent-Ebene verdichtet der Schritt die Beobachtung um einen weiteren Datenpunkt: Ein US-Frontier-Anbieter verschiebt binnen einer Woche einen mittelgroßen agentenfähigen Ableger seines Flaggschiff-Modells auf ein </w:t>
      </w:r>
      <w:r>
        <w:rPr>
          <w:rFonts w:ascii="Arial" w:hAnsi="Arial"/>
          <w:b w:val="0"/>
          <w:i/>
          <w:sz w:val="19"/>
        </w:rPr>
        <w:t>lokales</w:t>
      </w:r>
      <w:r>
        <w:rPr>
          <w:rFonts w:ascii="Arial" w:hAnsi="Arial"/>
          <w:b w:val="0"/>
          <w:i w:val="0"/>
          <w:sz w:val="19"/>
        </w:rPr>
        <w:t xml:space="preserve"> Ausführungsprofil unter offenem Gewicht — mit unmittelbarer Rückwirkung auf die Zugriffs- und Bemessungslogik einer künftigen inländischen KI-Nutzungsabgabe (§ 8.3), weil die in diesem Segment relevante Verrechnungsschicht dann nicht mehr die zentralen API-Endpunkte, sondern die betriebliche Anwendung im inländischen Rechnersystem ist. Zugleich stellt die </w:t>
      </w:r>
      <w:r>
        <w:rPr>
          <w:rFonts w:ascii="Arial" w:hAnsi="Arial"/>
          <w:b w:val="0"/>
          <w:i/>
          <w:sz w:val="19"/>
        </w:rPr>
        <w:t>Open-Weight</w:t>
      </w:r>
      <w:r>
        <w:rPr>
          <w:rFonts w:ascii="Arial" w:hAnsi="Arial"/>
          <w:b w:val="0"/>
          <w:i w:val="0"/>
          <w:sz w:val="19"/>
        </w:rPr>
        <w:t xml:space="preserve">-Freigabe eines mittelgroßen Frontier-Ablegers einen weiteren empirischen Beleg gegen die im </w:t>
      </w:r>
      <w:r>
        <w:rPr>
          <w:rFonts w:ascii="Arial" w:hAnsi="Arial"/>
          <w:b w:val="0"/>
          <w:i/>
          <w:sz w:val="19"/>
        </w:rPr>
        <w:t>American A.I. Sovereign Wealth Fund Act</w:t>
      </w:r>
      <w:r>
        <w:rPr>
          <w:rFonts w:ascii="Arial" w:hAnsi="Arial"/>
          <w:b w:val="0"/>
          <w:i w:val="0"/>
          <w:sz w:val="19"/>
        </w:rPr>
        <w:t xml:space="preserve"> (§ 4.5) angelegte bestandsorientierte Zugriffslogik dar: Die Modell-Wertschöpfung diffundiert auf eine Anwendungsschicht, in der die Bemessungsbasis anbieterseitig kaum mehr abgrenzbar ist.</w:t>
      </w:r>
    </w:p>
    <w:p>
      <w:pPr>
        <w:jc w:val="both"/>
      </w:pPr>
      <w:r>
        <w:rPr>
          <w:rFonts w:ascii="Arial" w:hAnsi="Arial"/>
          <w:b w:val="0"/>
          <w:i w:val="0"/>
          <w:sz w:val="19"/>
        </w:rPr>
        <w:t xml:space="preserve">Am API-Frontier setzt sich die in § 8.2 dokumentierte deflationäre Preisdynamik am 11. bis 13. August 2026 in einem doppelten Zug fort. Erstens hat </w:t>
      </w:r>
      <w:r>
        <w:rPr>
          <w:rFonts w:ascii="Arial" w:hAnsi="Arial"/>
          <w:b w:val="0"/>
          <w:i/>
          <w:sz w:val="19"/>
        </w:rPr>
        <w:t>OpenAI</w:t>
      </w:r>
      <w:r>
        <w:rPr>
          <w:rFonts w:ascii="Arial" w:hAnsi="Arial"/>
          <w:b w:val="0"/>
          <w:i w:val="0"/>
          <w:sz w:val="19"/>
        </w:rPr>
        <w:t xml:space="preserve"> am 11. August 2026 nach eigener Bekanntgabe und flankierender Berichterstattung von </w:t>
      </w:r>
      <w:r>
        <w:rPr>
          <w:rFonts w:ascii="Arial" w:hAnsi="Arial"/>
          <w:b w:val="0"/>
          <w:i/>
          <w:sz w:val="19"/>
        </w:rPr>
        <w:t>gHacks</w:t>
      </w:r>
      <w:r>
        <w:rPr>
          <w:rFonts w:ascii="Arial" w:hAnsi="Arial"/>
          <w:b w:val="0"/>
          <w:i w:val="0"/>
          <w:sz w:val="19"/>
        </w:rPr>
        <w:t xml:space="preserve">, </w:t>
      </w:r>
      <w:r>
        <w:rPr>
          <w:rFonts w:ascii="Arial" w:hAnsi="Arial"/>
          <w:b w:val="0"/>
          <w:i/>
          <w:sz w:val="19"/>
        </w:rPr>
        <w:t>Adventure Media</w:t>
      </w:r>
      <w:r>
        <w:rPr>
          <w:rFonts w:ascii="Arial" w:hAnsi="Arial"/>
          <w:b w:val="0"/>
          <w:i w:val="0"/>
          <w:sz w:val="19"/>
        </w:rPr>
        <w:t xml:space="preserve"> und </w:t>
      </w:r>
      <w:r>
        <w:rPr>
          <w:rFonts w:ascii="Arial" w:hAnsi="Arial"/>
          <w:b w:val="0"/>
          <w:i/>
          <w:sz w:val="19"/>
        </w:rPr>
        <w:t>Monks Answer Engine</w:t>
      </w:r>
      <w:r>
        <w:rPr>
          <w:rFonts w:ascii="Arial" w:hAnsi="Arial"/>
          <w:b w:val="0"/>
          <w:i w:val="0"/>
          <w:sz w:val="19"/>
        </w:rPr>
        <w:t xml:space="preserve"> den </w:t>
      </w:r>
      <w:r>
        <w:rPr>
          <w:rFonts w:ascii="Arial" w:hAnsi="Arial"/>
          <w:b w:val="0"/>
          <w:i/>
          <w:sz w:val="19"/>
        </w:rPr>
        <w:t>ChatGPT-Advertising</w:t>
      </w:r>
      <w:r>
        <w:rPr>
          <w:rFonts w:ascii="Arial" w:hAnsi="Arial"/>
          <w:b w:val="0"/>
          <w:i w:val="0"/>
          <w:sz w:val="19"/>
        </w:rPr>
        <w:t xml:space="preserve">-Testlauf, der im Februar 2026 in den USA gestartet und im Frühjahr auf Kanada, Australien und Neuseeland ausgeweitet worden war, in fünf weiteren Zielmärkten produktiv geschaltet: </w:t>
      </w:r>
      <w:r>
        <w:rPr>
          <w:rFonts w:ascii="Arial" w:hAnsi="Arial"/>
          <w:b w:val="0"/>
          <w:i/>
          <w:sz w:val="19"/>
        </w:rPr>
        <w:t>Vereinigtes Königreich</w:t>
      </w:r>
      <w:r>
        <w:rPr>
          <w:rFonts w:ascii="Arial" w:hAnsi="Arial"/>
          <w:b w:val="0"/>
          <w:i w:val="0"/>
          <w:sz w:val="19"/>
        </w:rPr>
        <w:t xml:space="preserve">, </w:t>
      </w:r>
      <w:r>
        <w:rPr>
          <w:rFonts w:ascii="Arial" w:hAnsi="Arial"/>
          <w:b w:val="0"/>
          <w:i/>
          <w:sz w:val="19"/>
        </w:rPr>
        <w:t>Mexiko</w:t>
      </w:r>
      <w:r>
        <w:rPr>
          <w:rFonts w:ascii="Arial" w:hAnsi="Arial"/>
          <w:b w:val="0"/>
          <w:i w:val="0"/>
          <w:sz w:val="19"/>
        </w:rPr>
        <w:t xml:space="preserve">, </w:t>
      </w:r>
      <w:r>
        <w:rPr>
          <w:rFonts w:ascii="Arial" w:hAnsi="Arial"/>
          <w:b w:val="0"/>
          <w:i/>
          <w:sz w:val="19"/>
        </w:rPr>
        <w:t>Brasilien</w:t>
      </w:r>
      <w:r>
        <w:rPr>
          <w:rFonts w:ascii="Arial" w:hAnsi="Arial"/>
          <w:b w:val="0"/>
          <w:i w:val="0"/>
          <w:sz w:val="19"/>
        </w:rPr>
        <w:t xml:space="preserve">, </w:t>
      </w:r>
      <w:r>
        <w:rPr>
          <w:rFonts w:ascii="Arial" w:hAnsi="Arial"/>
          <w:b w:val="0"/>
          <w:i/>
          <w:sz w:val="19"/>
        </w:rPr>
        <w:t>Japan</w:t>
      </w:r>
      <w:r>
        <w:rPr>
          <w:rFonts w:ascii="Arial" w:hAnsi="Arial"/>
          <w:b w:val="0"/>
          <w:i w:val="0"/>
          <w:sz w:val="19"/>
        </w:rPr>
        <w:t xml:space="preserve"> und </w:t>
      </w:r>
      <w:r>
        <w:rPr>
          <w:rFonts w:ascii="Arial" w:hAnsi="Arial"/>
          <w:b w:val="0"/>
          <w:i/>
          <w:sz w:val="19"/>
        </w:rPr>
        <w:t>Republik Korea</w:t>
      </w:r>
      <w:r>
        <w:rPr>
          <w:rFonts w:ascii="Arial" w:hAnsi="Arial"/>
          <w:b w:val="0"/>
          <w:i w:val="0"/>
          <w:sz w:val="19"/>
        </w:rPr>
        <w:t xml:space="preserve">. Die Werbung wird gemäß der Konzern-Selbstbeschreibung ausschließlich den kostenfreien und den </w:t>
      </w:r>
      <w:r>
        <w:rPr>
          <w:rFonts w:ascii="Arial" w:hAnsi="Arial"/>
          <w:b w:val="0"/>
          <w:i/>
          <w:sz w:val="19"/>
        </w:rPr>
        <w:t>Go</w:t>
      </w:r>
      <w:r>
        <w:rPr>
          <w:rFonts w:ascii="Arial" w:hAnsi="Arial"/>
          <w:b w:val="0"/>
          <w:i w:val="0"/>
          <w:sz w:val="19"/>
        </w:rPr>
        <w:t>-Tarifen ausgespielt, während die kostenpflichtigen Tarife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w:t>
      </w:r>
      <w:r>
        <w:rPr>
          <w:rFonts w:ascii="Arial" w:hAnsi="Arial"/>
          <w:b w:val="0"/>
          <w:i/>
          <w:sz w:val="19"/>
        </w:rPr>
        <w:t>Education</w:t>
      </w:r>
      <w:r>
        <w:rPr>
          <w:rFonts w:ascii="Arial" w:hAnsi="Arial"/>
          <w:b w:val="0"/>
          <w:i w:val="0"/>
          <w:sz w:val="19"/>
        </w:rPr>
        <w:t xml:space="preserve">) werbefrei bleiben; nach den Anbieterangaben werden die Werbeanzeigen mit Gesprächskontext und Interaktionshistorie inhaltlich abgeglichen, ohne die Antworten selbst zu beeinflussen, und sind sichtbar als </w:t>
      </w:r>
      <w:r>
        <w:rPr>
          <w:rFonts w:ascii="Arial" w:hAnsi="Arial"/>
          <w:b w:val="0"/>
          <w:i/>
          <w:sz w:val="19"/>
        </w:rPr>
        <w:t>sponsored content</w:t>
      </w:r>
      <w:r>
        <w:rPr>
          <w:rFonts w:ascii="Arial" w:hAnsi="Arial"/>
          <w:b w:val="0"/>
          <w:i w:val="0"/>
          <w:sz w:val="19"/>
        </w:rPr>
        <w:t xml:space="preserve"> gekennzeichnet (Konjunktivpflicht nach § 4.2 Claude.md, da die Verifikation der Non-Influence-Zusage anbieterseitig erfolgt). Zweitens hat </w:t>
      </w:r>
      <w:r>
        <w:rPr>
          <w:rFonts w:ascii="Arial" w:hAnsi="Arial"/>
          <w:b w:val="0"/>
          <w:i/>
          <w:sz w:val="19"/>
        </w:rPr>
        <w:t>OpenAI</w:t>
      </w:r>
      <w:r>
        <w:rPr>
          <w:rFonts w:ascii="Arial" w:hAnsi="Arial"/>
          <w:b w:val="0"/>
          <w:i w:val="0"/>
          <w:sz w:val="19"/>
        </w:rPr>
        <w:t xml:space="preserve"> am 13. August 2026 einen </w:t>
      </w:r>
      <w:r>
        <w:rPr>
          <w:rFonts w:ascii="Arial" w:hAnsi="Arial"/>
          <w:b w:val="0"/>
          <w:i/>
          <w:sz w:val="19"/>
        </w:rPr>
        <w:t>Ultrafast</w:t>
      </w:r>
      <w:r>
        <w:rPr>
          <w:rFonts w:ascii="Arial" w:hAnsi="Arial"/>
          <w:b w:val="0"/>
          <w:i w:val="0"/>
          <w:sz w:val="19"/>
        </w:rPr>
        <w:t xml:space="preserve">-Vorschau-Modus für das Flaggschiff-Modell </w:t>
      </w:r>
      <w:r>
        <w:rPr>
          <w:rFonts w:ascii="Arial" w:hAnsi="Arial"/>
          <w:b w:val="0"/>
          <w:i/>
          <w:sz w:val="19"/>
        </w:rPr>
        <w:t>GPT-5.6 Sol</w:t>
      </w:r>
      <w:r>
        <w:rPr>
          <w:rFonts w:ascii="Arial" w:hAnsi="Arial"/>
          <w:b w:val="0"/>
          <w:i w:val="0"/>
          <w:sz w:val="19"/>
        </w:rPr>
        <w:t xml:space="preserve"> angekündigt: Der Modus läuft auf </w:t>
      </w:r>
      <w:r>
        <w:rPr>
          <w:rFonts w:ascii="Arial" w:hAnsi="Arial"/>
          <w:b w:val="0"/>
          <w:i/>
          <w:sz w:val="19"/>
        </w:rPr>
        <w:t>Cerebras</w:t>
      </w:r>
      <w:r>
        <w:rPr>
          <w:rFonts w:ascii="Arial" w:hAnsi="Arial"/>
          <w:b w:val="0"/>
          <w:i w:val="0"/>
          <w:sz w:val="19"/>
        </w:rPr>
        <w:t xml:space="preserve">-Infrastruktur, erreicht nach Anbieter- und </w:t>
      </w:r>
      <w:r>
        <w:rPr>
          <w:rFonts w:ascii="Arial" w:hAnsi="Arial"/>
          <w:b w:val="0"/>
          <w:i/>
          <w:sz w:val="19"/>
        </w:rPr>
        <w:t>edenai</w:t>
      </w:r>
      <w:r>
        <w:rPr>
          <w:rFonts w:ascii="Arial" w:hAnsi="Arial"/>
          <w:b w:val="0"/>
          <w:i w:val="0"/>
          <w:sz w:val="19"/>
        </w:rPr>
        <w:t xml:space="preserve">-Berichterstattung bis zu 750 Ausgabe-Token pro Sekunde und rund die 14-fache Standard-Ausführungsgeschwindigkeit; die Preisstruktur der </w:t>
      </w:r>
      <w:r>
        <w:rPr>
          <w:rFonts w:ascii="Arial" w:hAnsi="Arial"/>
          <w:b w:val="0"/>
          <w:i/>
          <w:sz w:val="19"/>
        </w:rPr>
        <w:t>Sol</w:t>
      </w:r>
      <w:r>
        <w:rPr>
          <w:rFonts w:ascii="Arial" w:hAnsi="Arial"/>
          <w:b w:val="0"/>
          <w:i w:val="0"/>
          <w:sz w:val="19"/>
        </w:rPr>
        <w:t xml:space="preserve">-Zeile (5 US-Dollar Input, 30 US-Dollar Output je Million Token) bleibt in der Vorschau erhalten, die Kapazität ist auf einen ausgewählten Kundenkreis begrenzt. Für die in § 8.2 dokumentierte Auffächerung der Frontier-Ökonomik in eine deflationäre Workhorse-Klasse und eine knappheits-getriebene Spitzenklasse (Version 45.0) präzisiert die </w:t>
      </w:r>
      <w:r>
        <w:rPr>
          <w:rFonts w:ascii="Arial" w:hAnsi="Arial"/>
          <w:b w:val="0"/>
          <w:i/>
          <w:sz w:val="19"/>
        </w:rPr>
        <w:t>Ultrafast</w:t>
      </w:r>
      <w:r>
        <w:rPr>
          <w:rFonts w:ascii="Arial" w:hAnsi="Arial"/>
          <w:b w:val="0"/>
          <w:i w:val="0"/>
          <w:sz w:val="19"/>
        </w:rPr>
        <w:t xml:space="preserve">-Vorschau das Muster: Neben der reinen Token-Preis-Ebene entsteht eine separate </w:t>
      </w:r>
      <w:r>
        <w:rPr>
          <w:rFonts w:ascii="Arial" w:hAnsi="Arial"/>
          <w:b w:val="0"/>
          <w:i/>
          <w:sz w:val="19"/>
        </w:rPr>
        <w:t>Latenz-Prämie</w:t>
      </w:r>
      <w:r>
        <w:rPr>
          <w:rFonts w:ascii="Arial" w:hAnsi="Arial"/>
          <w:b w:val="0"/>
          <w:i w:val="0"/>
          <w:sz w:val="19"/>
        </w:rPr>
        <w:t xml:space="preserve">, mit der ein Frontier-Anbieter Kunden mit hoher Zeitsensitivität preislich ausdifferenzieren kann, ohne die Standard-Preisliste zu bewegen. Für die Zugriffslogik einer inländischen KI-Nutzungsabgabe (§ 8.3) folgt daraus, dass eine tokenpreis-basierte Bemessung — wie sie der </w:t>
      </w:r>
      <w:r>
        <w:rPr>
          <w:rFonts w:ascii="Arial" w:hAnsi="Arial"/>
          <w:b w:val="0"/>
          <w:i/>
          <w:sz w:val="19"/>
        </w:rPr>
        <w:t>AI Tax and Work Protection Act</w:t>
      </w:r>
      <w:r>
        <w:rPr>
          <w:rFonts w:ascii="Arial" w:hAnsi="Arial"/>
          <w:b w:val="0"/>
          <w:i w:val="0"/>
          <w:sz w:val="19"/>
        </w:rPr>
        <w:t xml:space="preserve"> (§ 4.5) auf US-Seite konzeptionell anlegt — von Zusatzdimensionen (Modellklasse, Latenzstufe, Werbe- versus Abonnement-Refinanzierung) begleitet sein müsste, um Umgehungspfade über nachgelagerte Refinanzierungsformen einzudämmen. Nachtrag zum 14. August 2026: An derselben Frontier-Modell-Achse hat </w:t>
      </w:r>
      <w:r>
        <w:rPr>
          <w:rFonts w:ascii="Arial" w:hAnsi="Arial"/>
          <w:b w:val="0"/>
          <w:i/>
          <w:sz w:val="19"/>
        </w:rPr>
        <w:t>Z.ai</w:t>
      </w:r>
      <w:r>
        <w:rPr>
          <w:rFonts w:ascii="Arial" w:hAnsi="Arial"/>
          <w:b w:val="0"/>
          <w:i w:val="0"/>
          <w:sz w:val="19"/>
        </w:rPr>
        <w:t xml:space="preserve"> (Beijing) am 14. August 2026 nach eigener Freigabemitteilung und übereinstimmender Berichterstattung von </w:t>
      </w:r>
      <w:r>
        <w:rPr>
          <w:rFonts w:ascii="Arial" w:hAnsi="Arial"/>
          <w:b w:val="0"/>
          <w:i/>
          <w:sz w:val="19"/>
        </w:rPr>
        <w:t>Unite.AI</w:t>
      </w:r>
      <w:r>
        <w:rPr>
          <w:rFonts w:ascii="Arial" w:hAnsi="Arial"/>
          <w:b w:val="0"/>
          <w:i w:val="0"/>
          <w:sz w:val="19"/>
        </w:rPr>
        <w:t xml:space="preserve">, </w:t>
      </w:r>
      <w:r>
        <w:rPr>
          <w:rFonts w:ascii="Arial" w:hAnsi="Arial"/>
          <w:b w:val="0"/>
          <w:i/>
          <w:sz w:val="19"/>
        </w:rPr>
        <w:t>Decrypt</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w:t>
      </w:r>
      <w:r>
        <w:rPr>
          <w:rFonts w:ascii="Arial" w:hAnsi="Arial"/>
          <w:b w:val="0"/>
          <w:i/>
          <w:sz w:val="19"/>
        </w:rPr>
        <w:t>fello.ai</w:t>
      </w:r>
      <w:r>
        <w:rPr>
          <w:rFonts w:ascii="Arial" w:hAnsi="Arial"/>
          <w:b w:val="0"/>
          <w:i w:val="0"/>
          <w:sz w:val="19"/>
        </w:rPr>
        <w:t xml:space="preserve"> und </w:t>
      </w:r>
      <w:r>
        <w:rPr>
          <w:rFonts w:ascii="Arial" w:hAnsi="Arial"/>
          <w:b w:val="0"/>
          <w:i/>
          <w:sz w:val="19"/>
        </w:rPr>
        <w:t>The Agent Report</w:t>
      </w:r>
      <w:r>
        <w:rPr>
          <w:rFonts w:ascii="Arial" w:hAnsi="Arial"/>
          <w:b w:val="0"/>
          <w:i w:val="0"/>
          <w:sz w:val="19"/>
        </w:rPr>
        <w:t xml:space="preserve"> mit </w:t>
      </w:r>
      <w:r>
        <w:rPr>
          <w:rFonts w:ascii="Arial" w:hAnsi="Arial"/>
          <w:b w:val="0"/>
          <w:i/>
          <w:sz w:val="19"/>
        </w:rPr>
        <w:t>GLM-5.3</w:t>
      </w:r>
      <w:r>
        <w:rPr>
          <w:rFonts w:ascii="Arial" w:hAnsi="Arial"/>
          <w:b w:val="0"/>
          <w:i w:val="0"/>
          <w:sz w:val="19"/>
        </w:rPr>
        <w:t xml:space="preserve"> die nächste Iteration seines im Juli 2026 als </w:t>
      </w:r>
      <w:r>
        <w:rPr>
          <w:rFonts w:ascii="Arial" w:hAnsi="Arial"/>
          <w:b w:val="0"/>
          <w:i/>
          <w:sz w:val="19"/>
        </w:rPr>
        <w:t>GLM-5.2</w:t>
      </w:r>
      <w:r>
        <w:rPr>
          <w:rFonts w:ascii="Arial" w:hAnsi="Arial"/>
          <w:b w:val="0"/>
          <w:i w:val="0"/>
          <w:sz w:val="19"/>
        </w:rPr>
        <w:t xml:space="preserve"> freigegebenen 744-Milliarden-Parameter-Basismodells vorgestellt. Der Vorgang ist dreifach instruktiv. Erstens: </w:t>
      </w:r>
      <w:r>
        <w:rPr>
          <w:rFonts w:ascii="Arial" w:hAnsi="Arial"/>
          <w:b w:val="0"/>
          <w:i/>
          <w:sz w:val="19"/>
        </w:rPr>
        <w:t>GLM-5.3</w:t>
      </w:r>
      <w:r>
        <w:rPr>
          <w:rFonts w:ascii="Arial" w:hAnsi="Arial"/>
          <w:b w:val="0"/>
          <w:i w:val="0"/>
          <w:sz w:val="19"/>
        </w:rPr>
        <w:t xml:space="preserve"> teilt das Basismodell mit </w:t>
      </w:r>
      <w:r>
        <w:rPr>
          <w:rFonts w:ascii="Arial" w:hAnsi="Arial"/>
          <w:b w:val="0"/>
          <w:i/>
          <w:sz w:val="19"/>
        </w:rPr>
        <w:t>GLM-5.2</w:t>
      </w:r>
      <w:r>
        <w:rPr>
          <w:rFonts w:ascii="Arial" w:hAnsi="Arial"/>
          <w:b w:val="0"/>
          <w:i w:val="0"/>
          <w:sz w:val="19"/>
        </w:rPr>
        <w:t xml:space="preserve">; die berichteten Fortschritte (rund 50 % Verbesserung auf der anbietereigenen </w:t>
      </w:r>
      <w:r>
        <w:rPr>
          <w:rFonts w:ascii="Arial" w:hAnsi="Arial"/>
          <w:b w:val="0"/>
          <w:i/>
          <w:sz w:val="19"/>
        </w:rPr>
        <w:t>Z.ai Code Bench</w:t>
      </w:r>
      <w:r>
        <w:rPr>
          <w:rFonts w:ascii="Arial" w:hAnsi="Arial"/>
          <w:b w:val="0"/>
          <w:i w:val="0"/>
          <w:sz w:val="19"/>
        </w:rPr>
        <w:t xml:space="preserve">, 34,5 % gegenüber 23,4 %) sind nach Anbieterangaben ausschließlich Ergebnis skalierter </w:t>
      </w:r>
      <w:r>
        <w:rPr>
          <w:rFonts w:ascii="Arial" w:hAnsi="Arial"/>
          <w:b w:val="0"/>
          <w:i/>
          <w:sz w:val="19"/>
        </w:rPr>
        <w:t>Nach</w:t>
      </w:r>
      <w:r>
        <w:rPr>
          <w:rFonts w:ascii="Arial" w:hAnsi="Arial"/>
          <w:b w:val="0"/>
          <w:i w:val="0"/>
          <w:sz w:val="19"/>
        </w:rPr>
        <w:t>-Trainings-Verfahren (Konjunktivpflicht nach § 4.2 Claude.md, da unabhängige Nachprüfung aussteht). Zweitens: Auf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bleibt </w:t>
      </w:r>
      <w:r>
        <w:rPr>
          <w:rFonts w:ascii="Arial" w:hAnsi="Arial"/>
          <w:b w:val="0"/>
          <w:i/>
          <w:sz w:val="19"/>
        </w:rPr>
        <w:t>GLM-5.3</w:t>
      </w:r>
      <w:r>
        <w:rPr>
          <w:rFonts w:ascii="Arial" w:hAnsi="Arial"/>
          <w:b w:val="0"/>
          <w:i w:val="0"/>
          <w:sz w:val="19"/>
        </w:rPr>
        <w:t xml:space="preserve"> nach </w:t>
      </w:r>
      <w:r>
        <w:rPr>
          <w:rFonts w:ascii="Arial" w:hAnsi="Arial"/>
          <w:b w:val="0"/>
          <w:i/>
          <w:sz w:val="19"/>
        </w:rPr>
        <w:t>Decrypt</w:t>
      </w:r>
      <w:r>
        <w:rPr>
          <w:rFonts w:ascii="Arial" w:hAnsi="Arial"/>
          <w:b w:val="0"/>
          <w:i w:val="0"/>
          <w:sz w:val="19"/>
        </w:rPr>
        <w:t xml:space="preserve">- und </w:t>
      </w:r>
      <w:r>
        <w:rPr>
          <w:rFonts w:ascii="Arial" w:hAnsi="Arial"/>
          <w:b w:val="0"/>
          <w:i/>
          <w:sz w:val="19"/>
        </w:rPr>
        <w:t>Unite.AI</w:t>
      </w:r>
      <w:r>
        <w:rPr>
          <w:rFonts w:ascii="Arial" w:hAnsi="Arial"/>
          <w:b w:val="0"/>
          <w:i w:val="0"/>
          <w:sz w:val="19"/>
        </w:rPr>
        <w:t xml:space="preserve">-Berichterstattung hinter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zurück (Fable 5: 39,5 %; </w:t>
      </w:r>
      <w:r>
        <w:rPr>
          <w:rFonts w:ascii="Arial" w:hAnsi="Arial"/>
          <w:b w:val="0"/>
          <w:i/>
          <w:sz w:val="19"/>
        </w:rPr>
        <w:t>SWE-Bench Verified</w:t>
      </w:r>
      <w:r>
        <w:rPr>
          <w:rFonts w:ascii="Arial" w:hAnsi="Arial"/>
          <w:b w:val="0"/>
          <w:i w:val="0"/>
          <w:sz w:val="19"/>
        </w:rPr>
        <w:t xml:space="preserve"> Kimi K3 67,5, Fable 5 69,7, GLM-5.3 66,9); zugleich liegt die </w:t>
      </w:r>
      <w:r>
        <w:rPr>
          <w:rFonts w:ascii="Arial" w:hAnsi="Arial"/>
          <w:b w:val="0"/>
          <w:i/>
          <w:sz w:val="19"/>
        </w:rPr>
        <w:t>GLM-5.2</w:t>
      </w:r>
      <w:r>
        <w:rPr>
          <w:rFonts w:ascii="Arial" w:hAnsi="Arial"/>
          <w:b w:val="0"/>
          <w:i w:val="0"/>
          <w:sz w:val="19"/>
        </w:rPr>
        <w:t xml:space="preserve">-API-Preisstruktur (rund 1,40 US-Dollar Input und 4,40 US-Dollar Output je Million Token nach </w:t>
      </w:r>
      <w:r>
        <w:rPr>
          <w:rFonts w:ascii="Arial" w:hAnsi="Arial"/>
          <w:b w:val="0"/>
          <w:i/>
          <w:sz w:val="19"/>
        </w:rPr>
        <w:t>Decrypt</w:t>
      </w:r>
      <w:r>
        <w:rPr>
          <w:rFonts w:ascii="Arial" w:hAnsi="Arial"/>
          <w:b w:val="0"/>
          <w:i w:val="0"/>
          <w:sz w:val="19"/>
        </w:rPr>
        <w:t xml:space="preserve">) etwa eine Größenordnung unter der US-Frontier-Preisliste. Drittens: </w:t>
      </w:r>
      <w:r>
        <w:rPr>
          <w:rFonts w:ascii="Arial" w:hAnsi="Arial"/>
          <w:b w:val="0"/>
          <w:i/>
          <w:sz w:val="19"/>
        </w:rPr>
        <w:t>Z.ai</w:t>
      </w:r>
      <w:r>
        <w:rPr>
          <w:rFonts w:ascii="Arial" w:hAnsi="Arial"/>
          <w:b w:val="0"/>
          <w:i w:val="0"/>
          <w:sz w:val="19"/>
        </w:rPr>
        <w:t xml:space="preserve"> hat die </w:t>
      </w:r>
      <w:r>
        <w:rPr>
          <w:rFonts w:ascii="Arial" w:hAnsi="Arial"/>
          <w:b w:val="0"/>
          <w:i/>
          <w:sz w:val="19"/>
        </w:rPr>
        <w:t>Open-Weight</w:t>
      </w:r>
      <w:r>
        <w:rPr>
          <w:rFonts w:ascii="Arial" w:hAnsi="Arial"/>
          <w:b w:val="0"/>
          <w:i w:val="0"/>
          <w:sz w:val="19"/>
        </w:rPr>
        <w:t xml:space="preserve">-Freigabe der Gewichte zunächst zurückgehalten und für rund zwei Wochen nach </w:t>
      </w:r>
      <w:r>
        <w:rPr>
          <w:rFonts w:ascii="Arial" w:hAnsi="Arial"/>
          <w:b w:val="0"/>
          <w:i/>
          <w:sz w:val="19"/>
        </w:rPr>
        <w:t>Sicherheits­evaluation und Härtung</w:t>
      </w:r>
      <w:r>
        <w:rPr>
          <w:rFonts w:ascii="Arial" w:hAnsi="Arial"/>
          <w:b w:val="0"/>
          <w:i w:val="0"/>
          <w:sz w:val="19"/>
        </w:rPr>
        <w:t xml:space="preserve"> angekündigt — eine deutliche Abweichung von der </w:t>
      </w:r>
      <w:r>
        <w:rPr>
          <w:rFonts w:ascii="Arial" w:hAnsi="Arial"/>
          <w:b w:val="0"/>
          <w:i/>
          <w:sz w:val="19"/>
        </w:rPr>
        <w:t>GLM-5.2</w:t>
      </w:r>
      <w:r>
        <w:rPr>
          <w:rFonts w:ascii="Arial" w:hAnsi="Arial"/>
          <w:b w:val="0"/>
          <w:i w:val="0"/>
          <w:sz w:val="19"/>
        </w:rPr>
        <w:t xml:space="preserve">-Praxis (Veröffentlichung auf </w:t>
      </w:r>
      <w:r>
        <w:rPr>
          <w:rFonts w:ascii="Arial" w:hAnsi="Arial"/>
          <w:b w:val="0"/>
          <w:i/>
          <w:sz w:val="19"/>
        </w:rPr>
        <w:t>Hugging Face</w:t>
      </w:r>
      <w:r>
        <w:rPr>
          <w:rFonts w:ascii="Arial" w:hAnsi="Arial"/>
          <w:b w:val="0"/>
          <w:i w:val="0"/>
          <w:sz w:val="19"/>
        </w:rPr>
        <w:t xml:space="preserve"> unter </w:t>
      </w:r>
      <w:r>
        <w:rPr>
          <w:rFonts w:ascii="Arial" w:hAnsi="Arial"/>
          <w:b w:val="0"/>
          <w:i/>
          <w:sz w:val="19"/>
        </w:rPr>
        <w:t>MIT</w:t>
      </w:r>
      <w:r>
        <w:rPr>
          <w:rFonts w:ascii="Arial" w:hAnsi="Arial"/>
          <w:b w:val="0"/>
          <w:i w:val="0"/>
          <w:sz w:val="19"/>
        </w:rPr>
        <w:t>-Lizenz binnen weniger Tage) und ein struktureller Parallelbefund zur bereits in § 4.5 dokumentierten US-</w:t>
      </w:r>
      <w:r>
        <w:rPr>
          <w:rFonts w:ascii="Arial" w:hAnsi="Arial"/>
          <w:b w:val="0"/>
          <w:i/>
          <w:sz w:val="19"/>
        </w:rPr>
        <w:t>Vor-Freigabe-Praxis</w:t>
      </w:r>
      <w:r>
        <w:rPr>
          <w:rFonts w:ascii="Arial" w:hAnsi="Arial"/>
          <w:b w:val="0"/>
          <w:i w:val="0"/>
          <w:sz w:val="19"/>
        </w:rPr>
        <w:t xml:space="preserve">. Als Emergenz-Beobachtung berichtet </w:t>
      </w:r>
      <w:r>
        <w:rPr>
          <w:rFonts w:ascii="Arial" w:hAnsi="Arial"/>
          <w:b w:val="0"/>
          <w:i/>
          <w:sz w:val="19"/>
        </w:rPr>
        <w:t>Z.ai</w:t>
      </w:r>
      <w:r>
        <w:rPr>
          <w:rFonts w:ascii="Arial" w:hAnsi="Arial"/>
          <w:b w:val="0"/>
          <w:i w:val="0"/>
          <w:sz w:val="19"/>
        </w:rPr>
        <w:t xml:space="preserve"> zusätzlich eine im Trainingsverlauf nicht geplante </w:t>
      </w:r>
      <w:r>
        <w:rPr>
          <w:rFonts w:ascii="Arial" w:hAnsi="Arial"/>
          <w:b w:val="0"/>
          <w:i/>
          <w:sz w:val="19"/>
        </w:rPr>
        <w:t>Cybersicherheits</w:t>
      </w:r>
      <w:r>
        <w:rPr>
          <w:rFonts w:ascii="Arial" w:hAnsi="Arial"/>
          <w:b w:val="0"/>
          <w:i w:val="0"/>
          <w:sz w:val="19"/>
        </w:rPr>
        <w:t>-Fähigkeit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samt Identifikation von 2.436 Schwachstellen (davon 1.097 als kritisch klassifiziert)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(Konjunktivpflicht nach § 4.2 Claude.md, da die Verifikationskette bislang anbieterseitig läuft). Für die in § 8.2 entwickelte Rohstoff-Analogie fügt der Vorgang der bereits dokumentierten Konvergenz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xml:space="preserve">) einen weiteren Datenpunkt hinzu und präzisiert das Muster: Die </w:t>
      </w:r>
      <w:r>
        <w:rPr>
          <w:rFonts w:ascii="Arial" w:hAnsi="Arial"/>
          <w:b w:val="0"/>
          <w:i/>
          <w:sz w:val="19"/>
        </w:rPr>
        <w:t>Open-Weight</w:t>
      </w:r>
      <w:r>
        <w:rPr>
          <w:rFonts w:ascii="Arial" w:hAnsi="Arial"/>
          <w:b w:val="0"/>
          <w:i w:val="0"/>
          <w:sz w:val="19"/>
        </w:rPr>
        <w:t xml:space="preserve">-Freigabe wird nunmehr auch bei chinesischen Anbietern von einer sicherheitsbezogenen Zurückhaltungsphase begleitet, während die reine Wettbewerbsdynamik an der Anwendungsebene (Coding, Agent-Ausführung, Cybersicherheits-Reasoning) und die Preisdifferenz zwischen chinesischen und US-Frontier-Modellen fortbestehen. Für die Zugriffslogik einer inländischen KI-Nutzungsabgabe (§ 8.3) folgt daraus, dass die Bemessungsbasis zunehmend nicht mehr über die Modellfreigabe, sondern erst über die </w:t>
      </w:r>
      <w:r>
        <w:rPr>
          <w:rFonts w:ascii="Arial" w:hAnsi="Arial"/>
          <w:b w:val="0"/>
          <w:i/>
          <w:sz w:val="19"/>
        </w:rPr>
        <w:t>inländische Ausführung</w:t>
      </w:r>
      <w:r>
        <w:rPr>
          <w:rFonts w:ascii="Arial" w:hAnsi="Arial"/>
          <w:b w:val="0"/>
          <w:i w:val="0"/>
          <w:sz w:val="19"/>
        </w:rPr>
        <w:t xml:space="preserve"> eines nachgelagerten Anwendungs- oder Sicherheits-Stacks bestimmbar wird.</w:t>
      </w:r>
    </w:p>
    <w:p>
      <w:pPr>
        <w:jc w:val="both"/>
      </w:pPr>
      <w:r>
        <w:rPr>
          <w:rFonts w:ascii="Arial" w:hAnsi="Arial"/>
          <w:b w:val="0"/>
          <w:i w:val="0"/>
          <w:sz w:val="19"/>
        </w:rPr>
        <w:t xml:space="preserve">Nachtrag zum 10. und 13. August 2026 — divergierende Frontier-Preisdynamik zwischen US- und chinesischer Achse. Zwei Anbieterentscheidungen aus derselben Wochenreihe präzisieren die in § 8.2 dokumentierte deflationäre Workhorse-Preisdynamik in entgegengesetzte Richtungen. Erstens hat </w:t>
      </w:r>
      <w:r>
        <w:rPr>
          <w:rFonts w:ascii="Arial" w:hAnsi="Arial"/>
          <w:b w:val="0"/>
          <w:i/>
          <w:sz w:val="19"/>
        </w:rPr>
        <w:t>Anthropic</w:t>
      </w:r>
      <w:r>
        <w:rPr>
          <w:rFonts w:ascii="Arial" w:hAnsi="Arial"/>
          <w:b w:val="0"/>
          <w:i w:val="0"/>
          <w:sz w:val="19"/>
        </w:rPr>
        <w:t xml:space="preserve"> am 10. August 2026 nach eigenem </w:t>
      </w:r>
      <w:r>
        <w:rPr>
          <w:rFonts w:ascii="Arial" w:hAnsi="Arial"/>
          <w:b w:val="0"/>
          <w:i/>
          <w:sz w:val="19"/>
        </w:rPr>
        <w:t>Claude</w:t>
      </w:r>
      <w:r>
        <w:rPr>
          <w:rFonts w:ascii="Arial" w:hAnsi="Arial"/>
          <w:b w:val="0"/>
          <w:i w:val="0"/>
          <w:sz w:val="19"/>
        </w:rPr>
        <w:t xml:space="preserve">-Kanal und flankierender Berichterstattung von </w:t>
      </w:r>
      <w:r>
        <w:rPr>
          <w:rFonts w:ascii="Arial" w:hAnsi="Arial"/>
          <w:b w:val="0"/>
          <w:i/>
          <w:sz w:val="19"/>
        </w:rPr>
        <w:t>GuruFocus</w:t>
      </w:r>
      <w:r>
        <w:rPr>
          <w:rFonts w:ascii="Arial" w:hAnsi="Arial"/>
          <w:b w:val="0"/>
          <w:i w:val="0"/>
          <w:sz w:val="19"/>
        </w:rPr>
        <w:t xml:space="preserve">, </w:t>
      </w:r>
      <w:r>
        <w:rPr>
          <w:rFonts w:ascii="Arial" w:hAnsi="Arial"/>
          <w:b w:val="0"/>
          <w:i/>
          <w:sz w:val="19"/>
        </w:rPr>
        <w:t>Enterprise DNA</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 die im Juni 2026 als </w:t>
      </w:r>
      <w:r>
        <w:rPr>
          <w:rFonts w:ascii="Arial" w:hAnsi="Arial"/>
          <w:b w:val="0"/>
          <w:i/>
          <w:sz w:val="19"/>
        </w:rPr>
        <w:t>Introductory Pricing</w:t>
      </w:r>
      <w:r>
        <w:rPr>
          <w:rFonts w:ascii="Arial" w:hAnsi="Arial"/>
          <w:b w:val="0"/>
          <w:i w:val="0"/>
          <w:sz w:val="19"/>
        </w:rPr>
        <w:t xml:space="preserve"> eingeführten 2 US-Dollar Input / 10 US-Dollar Output je Million Token für </w:t>
      </w:r>
      <w:r>
        <w:rPr>
          <w:rFonts w:ascii="Arial" w:hAnsi="Arial"/>
          <w:b w:val="0"/>
          <w:i/>
          <w:sz w:val="19"/>
        </w:rPr>
        <w:t>Claude Sonnet 5</w:t>
      </w:r>
      <w:r>
        <w:rPr>
          <w:rFonts w:ascii="Arial" w:hAnsi="Arial"/>
          <w:b w:val="0"/>
          <w:i w:val="0"/>
          <w:sz w:val="19"/>
        </w:rPr>
        <w:t xml:space="preserve"> dauerhaft festgeschrieben und die für den 1. September 2026 vorgesehene 50-Prozent-Erhöhung auf 3 / 15 US-Dollar zurückgenommen; die Anbieter-Begründung nennt Preisstabilität für Kunden-Investitionsentscheidungen und wird in der </w:t>
      </w:r>
      <w:r>
        <w:rPr>
          <w:rFonts w:ascii="Arial" w:hAnsi="Arial"/>
          <w:b w:val="0"/>
          <w:i/>
          <w:sz w:val="19"/>
        </w:rPr>
        <w:t>GuruFocus</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-Berichterstattung in eine sich verschärfende Konkurrenz durch Open-Weight-Modelle sowie in die IPO-Vorbereitung des Anbieters eingeordnet (Konjunktivpflicht nach § 4.2 Claude.md). Zweitens hat </w:t>
      </w:r>
      <w:r>
        <w:rPr>
          <w:rFonts w:ascii="Arial" w:hAnsi="Arial"/>
          <w:b w:val="0"/>
          <w:i/>
          <w:sz w:val="19"/>
        </w:rPr>
        <w:t>DeepSeek</w:t>
      </w:r>
      <w:r>
        <w:rPr>
          <w:rFonts w:ascii="Arial" w:hAnsi="Arial"/>
          <w:b w:val="0"/>
          <w:i w:val="0"/>
          <w:sz w:val="19"/>
        </w:rPr>
        <w:t xml:space="preserve"> (Hangzhou) am 13. August 2026 nach eigener Anbietermitteilung und übereinstimmender Berichterstattung von </w:t>
      </w:r>
      <w:r>
        <w:rPr>
          <w:rFonts w:ascii="Arial" w:hAnsi="Arial"/>
          <w:b w:val="0"/>
          <w:i/>
          <w:sz w:val="19"/>
        </w:rPr>
        <w:t>TechNode</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InfoWorld</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Studio Global AI</w:t>
      </w:r>
      <w:r>
        <w:rPr>
          <w:rFonts w:ascii="Arial" w:hAnsi="Arial"/>
          <w:b w:val="0"/>
          <w:i w:val="0"/>
          <w:sz w:val="19"/>
        </w:rPr>
        <w:t xml:space="preserve"> für seine </w:t>
      </w:r>
      <w:r>
        <w:rPr>
          <w:rFonts w:ascii="Arial" w:hAnsi="Arial"/>
          <w:b w:val="0"/>
          <w:i/>
          <w:sz w:val="19"/>
        </w:rPr>
        <w:t>V4</w:t>
      </w:r>
      <w:r>
        <w:rPr>
          <w:rFonts w:ascii="Arial" w:hAnsi="Arial"/>
          <w:b w:val="0"/>
          <w:i w:val="0"/>
          <w:sz w:val="19"/>
        </w:rPr>
        <w:t xml:space="preserve">-Reihe erstmals eine </w:t>
      </w:r>
      <w:r>
        <w:rPr>
          <w:rFonts w:ascii="Arial" w:hAnsi="Arial"/>
          <w:b w:val="0"/>
          <w:i/>
          <w:sz w:val="19"/>
        </w:rPr>
        <w:t>Peak-/Off-Peak</w:t>
      </w:r>
      <w:r>
        <w:rPr>
          <w:rFonts w:ascii="Arial" w:hAnsi="Arial"/>
          <w:b w:val="0"/>
          <w:i w:val="0"/>
          <w:sz w:val="19"/>
        </w:rPr>
        <w:t xml:space="preserve">-Preisstruktur eingeführt: die Umstellung erfolgt am 16. August 2026 um 16:00 UTC, Peak-Fenster sind 01:00–04:00 UTC und 06:00–10:00 UTC. Für </w:t>
      </w:r>
      <w:r>
        <w:rPr>
          <w:rFonts w:ascii="Arial" w:hAnsi="Arial"/>
          <w:b w:val="0"/>
          <w:i/>
          <w:sz w:val="19"/>
        </w:rPr>
        <w:t>V4-Flash</w:t>
      </w:r>
      <w:r>
        <w:rPr>
          <w:rFonts w:ascii="Arial" w:hAnsi="Arial"/>
          <w:b w:val="0"/>
          <w:i w:val="0"/>
          <w:sz w:val="19"/>
        </w:rPr>
        <w:t xml:space="preserve"> gelten Off-Peak 0,22 US-Dollar Input (Cache-Miss) und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 die Peak-Output-Sätze liegen damit um rund den Faktor vier über den bisherigen einheitlichen Tarifen, Cache-Hit-Inputs steigen nach der </w:t>
      </w:r>
      <w:r>
        <w:rPr>
          <w:rFonts w:ascii="Arial" w:hAnsi="Arial"/>
          <w:b w:val="0"/>
          <w:i/>
          <w:sz w:val="19"/>
        </w:rPr>
        <w:t>InfoWorld</w:t>
      </w:r>
      <w:r>
        <w:rPr>
          <w:rFonts w:ascii="Arial" w:hAnsi="Arial"/>
          <w:b w:val="0"/>
          <w:i w:val="0"/>
          <w:sz w:val="19"/>
        </w:rPr>
        <w:t>-Berichterstattung um 52 bis 1.100 Prozent. Für die Zugriffslogik einer inländischen KI-Nutzungsabgabe (§ 8.3) folgen zwei ergänzende Beobachtungen: (a) Die US-Preisdynamik bleibt trotz IPO-Druck und trotz der bereits in § 8.2 dokumentierten Talent- und Compute-Rentenverschiebungen deflationär und stützt insoweit die Workhorse-Preishalbierungslogik; (b) die chinesische Peak-Bepreisung offenbart, dass die Sub-Cent-Preise nicht ausschließlich sinkende Rechenkosten spiegeln, sondern in Phasen hoher Auslastung Kapazitäts­knappheiten sichtbar werden lassen, die ein bemessungs­basiertes System (§ 4.5, § 8.3) an einer feineren Achse als der reinen Modell- oder Anbieter-Ebene ansetzen müsste — die Bemessungsbasis würde zwischen 01:00 UTC und 04:00 UTC am selben Kalendertag anders ausfallen als um 12:00 UTC.</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 Nachtrag zum 10. August 2026: Die </w:t>
      </w:r>
      <w:r>
        <w:rPr>
          <w:rFonts w:ascii="Arial" w:hAnsi="Arial"/>
          <w:b w:val="0"/>
          <w:i/>
          <w:sz w:val="19"/>
        </w:rPr>
        <w:t>Bloomberg</w:t>
      </w:r>
      <w:r>
        <w:rPr>
          <w:rFonts w:ascii="Arial" w:hAnsi="Arial"/>
          <w:b w:val="0"/>
          <w:i w:val="0"/>
          <w:sz w:val="19"/>
        </w:rPr>
        <w:t xml:space="preserve">-Berichterstattung vom 10. August 2026 („Unitree's Shanghai IPO 5,526 Times Subscribed by Retail Buyers") und flankierende Beiträge von </w:t>
      </w:r>
      <w:r>
        <w:rPr>
          <w:rFonts w:ascii="Arial" w:hAnsi="Arial"/>
          <w:b w:val="0"/>
          <w:i/>
          <w:sz w:val="19"/>
        </w:rPr>
        <w:t>Cryptopolitan</w:t>
      </w:r>
      <w:r>
        <w:rPr>
          <w:rFonts w:ascii="Arial" w:hAnsi="Arial"/>
          <w:b w:val="0"/>
          <w:i w:val="0"/>
          <w:sz w:val="19"/>
        </w:rPr>
        <w:t xml:space="preserve">, </w:t>
      </w:r>
      <w:r>
        <w:rPr>
          <w:rFonts w:ascii="Arial" w:hAnsi="Arial"/>
          <w:b w:val="0"/>
          <w:i/>
          <w:sz w:val="19"/>
        </w:rPr>
        <w:t>Mezha</w:t>
      </w:r>
      <w:r>
        <w:rPr>
          <w:rFonts w:ascii="Arial" w:hAnsi="Arial"/>
          <w:b w:val="0"/>
          <w:i w:val="0"/>
          <w:sz w:val="19"/>
        </w:rPr>
        <w:t xml:space="preserve">, </w:t>
      </w:r>
      <w:r>
        <w:rPr>
          <w:rFonts w:ascii="Arial" w:hAnsi="Arial"/>
          <w:b w:val="0"/>
          <w:i/>
          <w:sz w:val="19"/>
        </w:rPr>
        <w:t>People's Daily</w:t>
      </w:r>
      <w:r>
        <w:rPr>
          <w:rFonts w:ascii="Arial" w:hAnsi="Arial"/>
          <w:b w:val="0"/>
          <w:i w:val="0"/>
          <w:sz w:val="19"/>
        </w:rPr>
        <w:t xml:space="preserve"> und </w:t>
      </w:r>
      <w:r>
        <w:rPr>
          <w:rFonts w:ascii="Arial" w:hAnsi="Arial"/>
          <w:b w:val="0"/>
          <w:i/>
          <w:sz w:val="19"/>
        </w:rPr>
        <w:t>SCMP</w:t>
      </w:r>
      <w:r>
        <w:rPr>
          <w:rFonts w:ascii="Arial" w:hAnsi="Arial"/>
          <w:b w:val="0"/>
          <w:i w:val="0"/>
          <w:sz w:val="19"/>
        </w:rPr>
        <w:t xml:space="preserve"> haben die </w:t>
      </w:r>
      <w:r>
        <w:rPr>
          <w:rFonts w:ascii="Arial" w:hAnsi="Arial"/>
          <w:b w:val="0"/>
          <w:i/>
          <w:sz w:val="19"/>
        </w:rPr>
        <w:t>Unitree</w:t>
      </w:r>
      <w:r>
        <w:rPr>
          <w:rFonts w:ascii="Arial" w:hAnsi="Arial"/>
          <w:b w:val="0"/>
          <w:i w:val="0"/>
          <w:sz w:val="19"/>
        </w:rPr>
        <w:t xml:space="preserve">-Zeichnung auf eine weitere strukturelle Ebene gehoben: Am Eröffnungstag der Retail-Zeichnung sei der öffentliche Retail-Anteil des Emissionsvolumens rund 5.526-fach überzeichnet gewesen — nach Anbieter-/Emittenten-Angaben mit rund 9,8 Millionen Einzel-Zeichnungs­aufträgen (Konjunktivpflicht nach § 4.2 Claude.md). Für die Rohstoff-Analogie am oberen Ende der physisch-robotischen Wertschöpfungs­schicht bestätigt diese Retail-Zeichnungsdichte, dass die im Papier dokumentierte Anbieter- und Fertigungs­konzentration im humanoiden Segment sich inzwischen mit einer breit gestreuten Kapitalmarkt­nachfrage verkoppelt — und damit die bestandsorientierte Volatilitätsproblematik aus dem </w:t>
      </w:r>
      <w:r>
        <w:rPr>
          <w:rFonts w:ascii="Arial" w:hAnsi="Arial"/>
          <w:b w:val="0"/>
          <w:i/>
          <w:sz w:val="19"/>
        </w:rPr>
        <w:t>American A.I. Sovereign Wealth Fund Act</w:t>
      </w:r>
      <w:r>
        <w:rPr>
          <w:rFonts w:ascii="Arial" w:hAnsi="Arial"/>
          <w:b w:val="0"/>
          <w:i w:val="0"/>
          <w:sz w:val="19"/>
        </w:rPr>
        <w:t xml:space="preserve">-Vorschlag (§ 4.5) in zwei Richtungen verschärft: Erstens verkürzt sich die verfügbare Beobachtungsphase, in der eine bestandsorientierte Umverteilungslogik an einer stabilen Bemessungsgrundlage ansetzen könnte, bevor Retail-getriebene Bewertungsausschläge die Rechenzeichen dominieren. Zweitens verschiebt sich der ökonomische Referenzpunkt für inländische Anschluss­stellen einer wertschöpfungs­orientierten KI-Nutzungsabgabe (§ 8.3) noch stärker in Richtung der </w:t>
      </w:r>
      <w:r>
        <w:rPr>
          <w:rFonts w:ascii="Arial" w:hAnsi="Arial"/>
          <w:b w:val="0"/>
          <w:i/>
          <w:sz w:val="19"/>
        </w:rPr>
        <w:t>Anwendungs</w:t>
      </w:r>
      <w:r>
        <w:rPr>
          <w:rFonts w:ascii="Arial" w:hAnsi="Arial"/>
          <w:b w:val="0"/>
          <w:i w:val="0"/>
          <w:sz w:val="19"/>
        </w:rPr>
        <w:t xml:space="preserve">-Ebene, weil die Kapitalmarkt­schicht des humanoiden Segments zum Emissionsdatum bereits fast ausschließlich außerhalb der Europäischen Union realisiert wird. Weiterer Nachtrag zum 11. August 2026: Nach übereinstimmender Berichterstattung von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sei der öffentliche Retail-Anteil bis zum Ende der Zeichnungsphase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den Berichterstattungs-Angaben rund 900 Millionen US-Dollar, das </w:t>
      </w:r>
      <w:r>
        <w:rPr>
          <w:rFonts w:ascii="Arial" w:hAnsi="Arial"/>
          <w:b w:val="0"/>
          <w:i/>
          <w:sz w:val="19"/>
        </w:rPr>
        <w:t>DeepSeek</w:t>
      </w:r>
      <w:r>
        <w:rPr>
          <w:rFonts w:ascii="Arial" w:hAnsi="Arial"/>
          <w:b w:val="0"/>
          <w:i w:val="0"/>
          <w:sz w:val="19"/>
        </w:rPr>
        <w:t>-Investment werde bestätigt (Konjunktivpflicht nach § 4.2 Claude.md, da die Angaben anbieter-/emittentenseitig referiert sind). Für die im Absatz oben markierte bestandsorientierte Umverteilungslogik (§ 4.5) verdichtet sich der Retail-Bewertungsauftrieb binnen einer Woche weiter — mit der Folge, dass die Beobachtungsphase für eine stabile Bemessungsgrundlage im humanoiden Segment sich mit jedem Handelstag verkürzt.</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 xml:space="preserve">Auf der Compute- und Rechenzentren-Ebene tritt am 10. August 2026 mit </w:t>
      </w:r>
      <w:r>
        <w:rPr>
          <w:rFonts w:ascii="Arial" w:hAnsi="Arial"/>
          <w:b w:val="0"/>
          <w:i/>
          <w:sz w:val="19"/>
        </w:rPr>
        <w:t>Theseus Infrastructure</w:t>
      </w:r>
      <w:r>
        <w:rPr>
          <w:rFonts w:ascii="Arial" w:hAnsi="Arial"/>
          <w:b w:val="0"/>
          <w:i w:val="0"/>
          <w:sz w:val="19"/>
        </w:rPr>
        <w:t xml:space="preserve"> ein privatwirtschaftliches Vehikel-Modell neben die klassische Konzern- und Hyperscaler-Achse. Nach der offiziellen </w:t>
      </w:r>
      <w:r>
        <w:rPr>
          <w:rFonts w:ascii="Arial" w:hAnsi="Arial"/>
          <w:b w:val="0"/>
          <w:i/>
          <w:sz w:val="19"/>
        </w:rPr>
        <w:t>Macquarie</w:t>
      </w:r>
      <w:r>
        <w:rPr>
          <w:rFonts w:ascii="Arial" w:hAnsi="Arial"/>
          <w:b w:val="0"/>
          <w:i w:val="0"/>
          <w:sz w:val="19"/>
        </w:rPr>
        <w:t xml:space="preserve">-Mitteilung („Anthropic, Macquarie Asset Management, and GIC Announce Strategic Partnership to Develop Dedicated Data Center Infrastructure at Scale")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HPCwire</w:t>
      </w:r>
      <w:r>
        <w:rPr>
          <w:rFonts w:ascii="Arial" w:hAnsi="Arial"/>
          <w:b w:val="0"/>
          <w:i w:val="0"/>
          <w:sz w:val="19"/>
        </w:rPr>
        <w:t xml:space="preserve">, </w:t>
      </w:r>
      <w:r>
        <w:rPr>
          <w:rFonts w:ascii="Arial" w:hAnsi="Arial"/>
          <w:b w:val="0"/>
          <w:i/>
          <w:sz w:val="19"/>
        </w:rPr>
        <w:t>StreetInsider</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Data Center Richness</w:t>
      </w:r>
      <w:r>
        <w:rPr>
          <w:rFonts w:ascii="Arial" w:hAnsi="Arial"/>
          <w:b w:val="0"/>
          <w:i w:val="0"/>
          <w:sz w:val="19"/>
        </w:rPr>
        <w:t xml:space="preserve"> haben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eine strategische Partnerschaft angekündigt, deren zentraler Baustein die Gründung des Infrastruktur-Vehikels </w:t>
      </w:r>
      <w:r>
        <w:rPr>
          <w:rFonts w:ascii="Arial" w:hAnsi="Arial"/>
          <w:b w:val="0"/>
          <w:i/>
          <w:sz w:val="19"/>
        </w:rPr>
        <w:t>Theseus Infrastructure</w:t>
      </w:r>
      <w:r>
        <w:rPr>
          <w:rFonts w:ascii="Arial" w:hAnsi="Arial"/>
          <w:b w:val="0"/>
          <w:i w:val="0"/>
          <w:sz w:val="19"/>
        </w:rPr>
        <w:t xml:space="preserve"> ist: Zweckgesellschaft für Entwicklung, Betrieb und Verpachtung KI-spezifischer 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Nach den Konzernangaben halten von </w:t>
      </w:r>
      <w:r>
        <w:rPr>
          <w:rFonts w:ascii="Arial" w:hAnsi="Arial"/>
          <w:b w:val="0"/>
          <w:i/>
          <w:sz w:val="19"/>
        </w:rPr>
        <w:t>Macquarie Asset Management</w:t>
      </w:r>
      <w:r>
        <w:rPr>
          <w:rFonts w:ascii="Arial" w:hAnsi="Arial"/>
          <w:b w:val="0"/>
          <w:i w:val="0"/>
          <w:sz w:val="19"/>
        </w:rPr>
        <w:t xml:space="preserve"> geführte Fonds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im Gegenzug, Aufschläge auf die Verbraucher-Stromtarife der jeweiligen Host-Regionen, die auf die neuen Anlagen zurückgingen, konzernseitig abzudecken. Das erste Ausbauprogramm zielt auf die USA; Angaben zu Standorten, Gesamtinvestitionsvolumen, Gigawatt-Kapazität oder Zeitplan wurden mit der Erstankündigung nicht veröffentlicht (Konjunktivpflicht nach § 4.2 Claude.md, da die einzelnen Projektparameter zum Ankündigungsdatum offen blieben). Für die in § 8.2 entwickelte Rohstoff-Analogie ergänzt der Vorgang die im Papier bereits dokumentierte Compute-Konzentrations- und Custom-Silicon-Achse (§ 8.2,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um eine strukturell neue </w:t>
      </w:r>
      <w:r>
        <w:rPr>
          <w:rFonts w:ascii="Arial" w:hAnsi="Arial"/>
          <w:b w:val="0"/>
          <w:i/>
          <w:sz w:val="19"/>
        </w:rPr>
        <w:t>Finanzierungs</w:t>
      </w:r>
      <w:r>
        <w:rPr>
          <w:rFonts w:ascii="Arial" w:hAnsi="Arial"/>
          <w:b w:val="0"/>
          <w:i w:val="0"/>
          <w:sz w:val="19"/>
        </w:rPr>
        <w:t xml:space="preserve">-Schicht: Statt einer vertikal integrierten Hyperscaler-Bilanz (Alphabet, Microsoft, Amazon, Meta) tritt mit </w:t>
      </w:r>
      <w:r>
        <w:rPr>
          <w:rFonts w:ascii="Arial" w:hAnsi="Arial"/>
          <w:b w:val="0"/>
          <w:i/>
          <w:sz w:val="19"/>
        </w:rPr>
        <w:t>Theseus</w:t>
      </w:r>
      <w:r>
        <w:rPr>
          <w:rFonts w:ascii="Arial" w:hAnsi="Arial"/>
          <w:b w:val="0"/>
          <w:i w:val="0"/>
          <w:sz w:val="19"/>
        </w:rPr>
        <w:t xml:space="preserve"> erstmals ein rein privatwirtschaftliches Multi-Investor-Vehikel für dedizierte KI-Rechenzentren auf, das zwei institutionelle Long-Term-Kapitalanleger (australische Vermögensverwaltung, Singapurer Souveränfonds) an ein einzelnes Frontier-Anbieter-</w:t>
      </w:r>
      <w:r>
        <w:rPr>
          <w:rFonts w:ascii="Arial" w:hAnsi="Arial"/>
          <w:b w:val="0"/>
          <w:i/>
          <w:sz w:val="19"/>
        </w:rPr>
        <w:t>Anchor-Modell</w:t>
      </w:r>
      <w:r>
        <w:rPr>
          <w:rFonts w:ascii="Arial" w:hAnsi="Arial"/>
          <w:b w:val="0"/>
          <w:i w:val="0"/>
          <w:sz w:val="19"/>
        </w:rPr>
        <w:t xml:space="preserve"> koppelt. Für die Deutschland-These und die in § 5.4 sowie § 8.3 skizzierten Teilhabefonds-Optionen ist das Modell zweifach instruktiv: Erstens etabliert die </w:t>
      </w:r>
      <w:r>
        <w:rPr>
          <w:rFonts w:ascii="Arial" w:hAnsi="Arial"/>
          <w:b w:val="0"/>
          <w:i/>
          <w:sz w:val="19"/>
        </w:rPr>
        <w:t>Consumer-Utility-Rate-Schutzklausel</w:t>
      </w:r>
      <w:r>
        <w:rPr>
          <w:rFonts w:ascii="Arial" w:hAnsi="Arial"/>
          <w:b w:val="0"/>
          <w:i w:val="0"/>
          <w:sz w:val="19"/>
        </w:rPr>
        <w:t xml:space="preserve"> einen ersten großmaßstäblichen Präzedenzfall dafür, dass die </w:t>
      </w:r>
      <w:r>
        <w:rPr>
          <w:rFonts w:ascii="Arial" w:hAnsi="Arial"/>
          <w:b w:val="0"/>
          <w:i/>
          <w:sz w:val="19"/>
        </w:rPr>
        <w:t>externen Effekte</w:t>
      </w:r>
      <w:r>
        <w:rPr>
          <w:rFonts w:ascii="Arial" w:hAnsi="Arial"/>
          <w:b w:val="0"/>
          <w:i w:val="0"/>
          <w:sz w:val="19"/>
        </w:rPr>
        <w:t xml:space="preserve"> KI-getriebener Rechenzentren (Netzentgelte, Grundlast, Strompreis) durch privatrechtliche Kompensations­verpflichtungen des Anchor-Nutzers ex ante adressiert werden können — ein Ansatzpunkt, den die in </w:t>
      </w:r>
      <w:r>
        <w:rPr>
          <w:rFonts w:ascii="Arial" w:hAnsi="Arial"/>
          <w:b w:val="0"/>
          <w:i/>
          <w:sz w:val="19"/>
        </w:rPr>
        <w:t>Maine</w:t>
      </w:r>
      <w:r>
        <w:rPr>
          <w:rFonts w:ascii="Arial" w:hAnsi="Arial"/>
          <w:b w:val="0"/>
          <w:i w:val="0"/>
          <w:sz w:val="19"/>
        </w:rPr>
        <w:t xml:space="preserve"> (§ 4.5, Executive Order Nr. 5 vom 29. April 2026) angelegte staatliche Advisory-Beratung an externer Kostentragung erstmals durch einen privatwirtschaftlichen Kompensationsmechanismus flankiert. Zweitens verdeutlicht die Konstellation, dass ein </w:t>
      </w:r>
      <w:r>
        <w:rPr>
          <w:rFonts w:ascii="Arial" w:hAnsi="Arial"/>
          <w:b w:val="0"/>
          <w:i/>
          <w:sz w:val="19"/>
        </w:rPr>
        <w:t>sovereign wealth fund</w:t>
      </w:r>
      <w:r>
        <w:rPr>
          <w:rFonts w:ascii="Arial" w:hAnsi="Arial"/>
          <w:b w:val="0"/>
          <w:i w:val="0"/>
          <w:sz w:val="19"/>
        </w:rPr>
        <w:t xml:space="preserve"> (GIC/Singapur) am oberen Ende der KI-Compute-Wertschöpfungskette bereits heute Eigenkapitalanteile an dedizierten Frontier-Compute-Anlagen mit erwarteter zweistelliger Nutzungsdauer hält — was die im </w:t>
      </w:r>
      <w:r>
        <w:rPr>
          <w:rFonts w:ascii="Arial" w:hAnsi="Arial"/>
          <w:b w:val="0"/>
          <w:i/>
          <w:sz w:val="19"/>
        </w:rPr>
        <w:t>American A.I. Sovereign Wealth Fund Act</w:t>
      </w:r>
      <w:r>
        <w:rPr>
          <w:rFonts w:ascii="Arial" w:hAnsi="Arial"/>
          <w:b w:val="0"/>
          <w:i w:val="0"/>
          <w:sz w:val="19"/>
        </w:rPr>
        <w:t xml:space="preserve"> (§ 4.5) angelegte bestandsorientierte Umverteilungslogik nicht mehr nur als politisch-legislativen Vorschlag, sondern als bereits realisierte kapitalmarkt­institutionelle Konstruktion sichtbar macht. Für die in Kapitel 8 entwickelte Verarbeiter-Position (§ 8.2 unten) folgt daraus, dass die Finanzierungs­schicht der KI-Infrastruktur zusätzlich zur Modell-, Hardware- und Fertigungs­konzentration außerhalb der Europäischen Union realisiert wird — und dass die Anknüpfungspunkte einer wertschöpfungs­orientierten inländischen KI-Nutzungsabgabe (§ 8.3) an dieser Finanzierungs­schicht unmittelbar keinen Zugriff finden.</w:t>
      </w:r>
    </w:p>
    <w:p>
      <w:pPr>
        <w:jc w:val="both"/>
      </w:pPr>
      <w:r>
        <w:rPr>
          <w:rFonts w:ascii="Arial" w:hAnsi="Arial"/>
          <w:b w:val="0"/>
          <w:i w:val="0"/>
          <w:sz w:val="19"/>
        </w:rPr>
        <w:t xml:space="preserve">Zwei weitere Datenpunkte an derselben Compute-Finanzierungs­schicht treten in den beiden folgenden Tagen hinzu und verdichten den </w:t>
      </w:r>
      <w:r>
        <w:rPr>
          <w:rFonts w:ascii="Arial" w:hAnsi="Arial"/>
          <w:b w:val="0"/>
          <w:i/>
          <w:sz w:val="19"/>
        </w:rPr>
        <w:t>Theseus</w:t>
      </w:r>
      <w:r>
        <w:rPr>
          <w:rFonts w:ascii="Arial" w:hAnsi="Arial"/>
          <w:b w:val="0"/>
          <w:i w:val="0"/>
          <w:sz w:val="19"/>
        </w:rPr>
        <w:t xml:space="preserve">-Befund zu einem Muster. Am 10. August 2026 hat </w:t>
      </w:r>
      <w:r>
        <w:rPr>
          <w:rFonts w:ascii="Arial" w:hAnsi="Arial"/>
          <w:b w:val="0"/>
          <w:i/>
          <w:sz w:val="19"/>
        </w:rPr>
        <w:t>Nvidia</w:t>
      </w:r>
      <w:r>
        <w:rPr>
          <w:rFonts w:ascii="Arial" w:hAnsi="Arial"/>
          <w:b w:val="0"/>
          <w:i w:val="0"/>
          <w:sz w:val="19"/>
        </w:rPr>
        <w:t xml:space="preserve"> nach der eigenen Presseerklärung („NVIDIA Partners With Apollo, BlackRock, Blackstone, Brookfield, Goldman Sachs and KKR to Establish AI Compute Infrastructure Financing Platforms to Mobilize Over $500 Billion of Third-Party Capital")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Financial Times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Quartz</w:t>
      </w:r>
      <w:r>
        <w:rPr>
          <w:rFonts w:ascii="Arial" w:hAnsi="Arial"/>
          <w:b w:val="0"/>
          <w:i w:val="0"/>
          <w:sz w:val="19"/>
        </w:rPr>
        <w:t xml:space="preserve"> strategische Partnerschaften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unabhängiger </w:t>
      </w:r>
      <w:r>
        <w:rPr>
          <w:rFonts w:ascii="Arial" w:hAnsi="Arial"/>
          <w:b w:val="0"/>
          <w:i/>
          <w:sz w:val="19"/>
        </w:rPr>
        <w:t>AI Compute Infrastructure Financing Platforms</w:t>
      </w:r>
      <w:r>
        <w:rPr>
          <w:rFonts w:ascii="Arial" w:hAnsi="Arial"/>
          <w:b w:val="0"/>
          <w:i w:val="0"/>
          <w:sz w:val="19"/>
        </w:rPr>
        <w:t xml:space="preserve"> angekündigt, die über die Zeit mehr als 500 Milliarden US-Dollar an Drittkapital für Rechenzentren, Energie- und sonstige KI-Infrastruktur auf Basis von </w:t>
      </w:r>
      <w:r>
        <w:rPr>
          <w:rFonts w:ascii="Arial" w:hAnsi="Arial"/>
          <w:b w:val="0"/>
          <w:i/>
          <w:sz w:val="19"/>
        </w:rPr>
        <w:t>Nvidia</w:t>
      </w:r>
      <w:r>
        <w:rPr>
          <w:rFonts w:ascii="Arial" w:hAnsi="Arial"/>
          <w:b w:val="0"/>
          <w:i w:val="0"/>
          <w:sz w:val="19"/>
        </w:rPr>
        <w:t xml:space="preserve">-Hardware mobilisieren sollen; die Vereinbarungen sind als </w:t>
      </w:r>
      <w:r>
        <w:rPr>
          <w:rFonts w:ascii="Arial" w:hAnsi="Arial"/>
          <w:b w:val="0"/>
          <w:i/>
          <w:sz w:val="19"/>
        </w:rPr>
        <w:t>Memoranda of Understanding</w:t>
      </w:r>
      <w:r>
        <w:rPr>
          <w:rFonts w:ascii="Arial" w:hAnsi="Arial"/>
          <w:b w:val="0"/>
          <w:i w:val="0"/>
          <w:sz w:val="19"/>
        </w:rPr>
        <w:t xml:space="preserve"> strukturiert und leiten den Kapitalzufluss ausdrücklich über </w:t>
      </w:r>
      <w:r>
        <w:rPr>
          <w:rFonts w:ascii="Arial" w:hAnsi="Arial"/>
          <w:b w:val="0"/>
          <w:i/>
          <w:sz w:val="19"/>
        </w:rPr>
        <w:t>unabhängige Plattformen jenseits der Nvidia-Bilanz</w:t>
      </w:r>
      <w:r>
        <w:rPr>
          <w:rFonts w:ascii="Arial" w:hAnsi="Arial"/>
          <w:b w:val="0"/>
          <w:i w:val="0"/>
          <w:sz w:val="19"/>
        </w:rPr>
        <w:t xml:space="preserve">, während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im flankierenden </w:t>
      </w:r>
      <w:r>
        <w:rPr>
          <w:rFonts w:ascii="Arial" w:hAnsi="Arial"/>
          <w:b w:val="0"/>
          <w:i/>
          <w:sz w:val="19"/>
        </w:rPr>
        <w:t>CNBC</w:t>
      </w:r>
      <w:r>
        <w:rPr>
          <w:rFonts w:ascii="Arial" w:hAnsi="Arial"/>
          <w:b w:val="0"/>
          <w:i w:val="0"/>
          <w:sz w:val="19"/>
        </w:rPr>
        <w:t xml:space="preserve">-Interview KI-Compute-Infrastruktur öffentlich als </w:t>
      </w:r>
      <w:r>
        <w:rPr>
          <w:rFonts w:ascii="Arial" w:hAnsi="Arial"/>
          <w:b w:val="0"/>
          <w:i/>
          <w:sz w:val="19"/>
        </w:rPr>
        <w:t>investable asset class</w:t>
      </w:r>
      <w:r>
        <w:rPr>
          <w:rFonts w:ascii="Arial" w:hAnsi="Arial"/>
          <w:b w:val="0"/>
          <w:i w:val="0"/>
          <w:sz w:val="19"/>
        </w:rPr>
        <w:t xml:space="preserve"> rahmt (Konjunktivpflicht nach § 4.2 Claude.md, da die endgültige Ausgestaltung der Plattformen der Ausfertigung endgültiger Verträge vorbehalten bleibt). Am 11. August 2026 hat </w:t>
      </w:r>
      <w:r>
        <w:rPr>
          <w:rFonts w:ascii="Arial" w:hAnsi="Arial"/>
          <w:b w:val="0"/>
          <w:i/>
          <w:sz w:val="19"/>
        </w:rPr>
        <w:t>Anthropic</w:t>
      </w:r>
      <w:r>
        <w:rPr>
          <w:rFonts w:ascii="Arial" w:hAnsi="Arial"/>
          <w:b w:val="0"/>
          <w:i w:val="0"/>
          <w:sz w:val="19"/>
        </w:rPr>
        <w:t xml:space="preserve">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Coin Republic</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und </w:t>
      </w:r>
      <w:r>
        <w:rPr>
          <w:rFonts w:ascii="Arial" w:hAnsi="Arial"/>
          <w:b w:val="0"/>
          <w:i/>
          <w:sz w:val="19"/>
        </w:rPr>
        <w:t>Blockonomi</w:t>
      </w:r>
      <w:r>
        <w:rPr>
          <w:rFonts w:ascii="Arial" w:hAnsi="Arial"/>
          <w:b w:val="0"/>
          <w:i w:val="0"/>
          <w:sz w:val="19"/>
        </w:rPr>
        <w:t xml:space="preserve"> einen 20-jährigen </w:t>
      </w:r>
      <w:r>
        <w:rPr>
          <w:rFonts w:ascii="Arial" w:hAnsi="Arial"/>
          <w:b w:val="0"/>
          <w:i/>
          <w:sz w:val="19"/>
        </w:rPr>
        <w:t>Compute-Nutzungsvertrag</w:t>
      </w:r>
      <w:r>
        <w:rPr>
          <w:rFonts w:ascii="Arial" w:hAnsi="Arial"/>
          <w:b w:val="0"/>
          <w:i w:val="0"/>
          <w:sz w:val="19"/>
        </w:rPr>
        <w:t xml:space="preserve"> mit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geschlossen: Basislaufzeit Juni 2026 bis Juni 2048, Basisvertragsvolumen rund 9,1 Milliarden US-Dollar mit zwei jeweils fünfjährigen Verlängerungsoptionen (aufkumulierbar auf rund 16,1 Milliarden US-Dollar); die erste Ausbaustufe von 96 Megawatt soll bis Ende 2027 in Betrieb gehen, die volle Kapazität bis Juni 2028; </w:t>
      </w:r>
      <w:r>
        <w:rPr>
          <w:rFonts w:ascii="Arial" w:hAnsi="Arial"/>
          <w:b w:val="0"/>
          <w:i/>
          <w:sz w:val="19"/>
        </w:rPr>
        <w:t>Morgan Stanley</w:t>
      </w:r>
      <w:r>
        <w:rPr>
          <w:rFonts w:ascii="Arial" w:hAnsi="Arial"/>
          <w:b w:val="0"/>
          <w:i w:val="0"/>
          <w:sz w:val="19"/>
        </w:rPr>
        <w:t xml:space="preserve"> finanziert 573 Millionen US-Dollar an; nach Angaben von </w:t>
      </w:r>
      <w:r>
        <w:rPr>
          <w:rFonts w:ascii="Arial" w:hAnsi="Arial"/>
          <w:b w:val="0"/>
          <w:i/>
          <w:sz w:val="19"/>
        </w:rPr>
        <w:t>Riot</w:t>
      </w:r>
      <w:r>
        <w:rPr>
          <w:rFonts w:ascii="Arial" w:hAnsi="Arial"/>
          <w:b w:val="0"/>
          <w:i w:val="0"/>
          <w:sz w:val="19"/>
        </w:rPr>
        <w:t xml:space="preserve">-CEO Jason Les habe der Konzern kumuliert Mietverträge über 241 Megawatt mit einem geschätzten Umsatz von 9,8 Milliarden US-Dollar über mehrere KI-Kunden ausgehandelt (Konjunktivpflicht nach § 4.2 Claude.md, da die weiteren Kunden im Rockdale-Cluster nicht namentlich offengelegt werden). Für die in diesem Kapitel entwickelte Rohstoff-Analogie ergeben beide Vorgänge im Zusammenspiel mit der </w:t>
      </w:r>
      <w:r>
        <w:rPr>
          <w:rFonts w:ascii="Arial" w:hAnsi="Arial"/>
          <w:b w:val="0"/>
          <w:i/>
          <w:sz w:val="19"/>
        </w:rPr>
        <w:t>Theseus</w:t>
      </w:r>
      <w:r>
        <w:rPr>
          <w:rFonts w:ascii="Arial" w:hAnsi="Arial"/>
          <w:b w:val="0"/>
          <w:i w:val="0"/>
          <w:sz w:val="19"/>
        </w:rPr>
        <w:t xml:space="preserve">-Ankündigung vom 10. August 2026 einen konvergierenden Befund: Die Finanzierungsschicht der KI-Compute-Infrastruktur ordnet sich binnen 48 Stunden entlang dreier strukturell unterschiedlicher, aber logisch verwandter Muster neu — (i) Multi-Investor-Vehikel mit institutionellem Long-Term-Kapital und Frontier-Anbieter als </w:t>
      </w:r>
      <w:r>
        <w:rPr>
          <w:rFonts w:ascii="Arial" w:hAnsi="Arial"/>
          <w:b w:val="0"/>
          <w:i/>
          <w:sz w:val="19"/>
        </w:rPr>
        <w:t>anchor tenant</w:t>
      </w:r>
      <w:r>
        <w:rPr>
          <w:rFonts w:ascii="Arial" w:hAnsi="Arial"/>
          <w:b w:val="0"/>
          <w:i w:val="0"/>
          <w:sz w:val="19"/>
        </w:rPr>
        <w:t xml:space="preserve"> (</w:t>
      </w:r>
      <w:r>
        <w:rPr>
          <w:rFonts w:ascii="Arial" w:hAnsi="Arial"/>
          <w:b w:val="0"/>
          <w:i/>
          <w:sz w:val="19"/>
        </w:rPr>
        <w:t>Theseus</w:t>
      </w:r>
      <w:r>
        <w:rPr>
          <w:rFonts w:ascii="Arial" w:hAnsi="Arial"/>
          <w:b w:val="0"/>
          <w:i w:val="0"/>
          <w:sz w:val="19"/>
        </w:rPr>
        <w:t>: Anthropic × Macquarie × GIC), (ii) sechs institutionelle Multi-Plattform-Finanzierungs­kanäle mit Hardware-Hersteller als Anker- und Roadmap-Setzer (</w:t>
      </w:r>
      <w:r>
        <w:rPr>
          <w:rFonts w:ascii="Arial" w:hAnsi="Arial"/>
          <w:b w:val="0"/>
          <w:i/>
          <w:sz w:val="19"/>
        </w:rPr>
        <w:t>Nvidia</w:t>
      </w:r>
      <w:r>
        <w:rPr>
          <w:rFonts w:ascii="Arial" w:hAnsi="Arial"/>
          <w:b w:val="0"/>
          <w:i w:val="0"/>
          <w:sz w:val="19"/>
        </w:rPr>
        <w:t xml:space="preserve"> × Apollo/BlackRock/Blackstone/Brookfield/Goldman-Sachs/KKR) und (iii) langfristige Kapazitätsverträge mit umgewidmeten </w:t>
      </w:r>
      <w:r>
        <w:rPr>
          <w:rFonts w:ascii="Arial" w:hAnsi="Arial"/>
          <w:b w:val="0"/>
          <w:i/>
          <w:sz w:val="19"/>
        </w:rPr>
        <w:t>stranded-assets</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 </w:t>
      </w:r>
      <w:r>
        <w:rPr>
          <w:rFonts w:ascii="Arial" w:hAnsi="Arial"/>
          <w:b w:val="0"/>
          <w:i/>
          <w:sz w:val="19"/>
        </w:rPr>
        <w:t>Riot Platforms</w:t>
      </w:r>
      <w:r>
        <w:rPr>
          <w:rFonts w:ascii="Arial" w:hAnsi="Arial"/>
          <w:b w:val="0"/>
          <w:i w:val="0"/>
          <w:sz w:val="19"/>
        </w:rPr>
        <w:t xml:space="preserve">, konvertierte Bitcoin-Mining-Anlage in Texas). </w:t>
      </w:r>
      <w:r>
        <w:rPr>
          <w:rFonts w:ascii="Arial" w:hAnsi="Arial"/>
          <w:b w:val="0"/>
          <w:i/>
          <w:sz w:val="19"/>
        </w:rPr>
        <w:t>Morgan Stanley</w:t>
      </w:r>
      <w:r>
        <w:rPr>
          <w:rFonts w:ascii="Arial" w:hAnsi="Arial"/>
          <w:b w:val="0"/>
          <w:i w:val="0"/>
          <w:sz w:val="19"/>
        </w:rPr>
        <w:t xml:space="preserve"> prognostiziert im selben Zeitraum, dass Hyperscale-Cloud-Anbieter zwischen 2026 und 2028 rund 3,5 Billionen US-Dollar Kapitalausgaben tätigen könnten (Konjunktivpflicht nach § 4.2 Claude.md).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verlagert sich damit binnen weniger Tage die zentrale Frage vom </w:t>
      </w:r>
      <w:r>
        <w:rPr>
          <w:rFonts w:ascii="Arial" w:hAnsi="Arial"/>
          <w:b w:val="0"/>
          <w:i/>
          <w:sz w:val="19"/>
        </w:rPr>
        <w:t>Ob</w:t>
      </w:r>
      <w:r>
        <w:rPr>
          <w:rFonts w:ascii="Arial" w:hAnsi="Arial"/>
          <w:b w:val="0"/>
          <w:i w:val="0"/>
          <w:sz w:val="19"/>
        </w:rPr>
        <w:t xml:space="preserve"> institutioneller Kapitalanknüpfung an KI-Compute-Anlagen zum </w:t>
      </w:r>
      <w:r>
        <w:rPr>
          <w:rFonts w:ascii="Arial" w:hAnsi="Arial"/>
          <w:b w:val="0"/>
          <w:i/>
          <w:sz w:val="19"/>
        </w:rPr>
        <w:t>Wo</w:t>
      </w:r>
      <w:r>
        <w:rPr>
          <w:rFonts w:ascii="Arial" w:hAnsi="Arial"/>
          <w:b w:val="0"/>
          <w:i w:val="0"/>
          <w:sz w:val="19"/>
        </w:rPr>
        <w:t>: Bereits realisierte private Kapitalanknüpfungen (Macquarie/GIC-</w:t>
      </w:r>
      <w:r>
        <w:rPr>
          <w:rFonts w:ascii="Arial" w:hAnsi="Arial"/>
          <w:b w:val="0"/>
          <w:i/>
          <w:sz w:val="19"/>
        </w:rPr>
        <w:t>Theseus</w:t>
      </w:r>
      <w:r>
        <w:rPr>
          <w:rFonts w:ascii="Arial" w:hAnsi="Arial"/>
          <w:b w:val="0"/>
          <w:i w:val="0"/>
          <w:sz w:val="19"/>
        </w:rPr>
        <w:t xml:space="preserve">, sechs Apollo-/BlackRock-/Blackstone-/Brookfield-/GS-/KKR-Plattformen mit </w:t>
      </w:r>
      <w:r>
        <w:rPr>
          <w:rFonts w:ascii="Arial" w:hAnsi="Arial"/>
          <w:b w:val="0"/>
          <w:i/>
          <w:sz w:val="19"/>
        </w:rPr>
        <w:t>Nvidia</w:t>
      </w:r>
      <w:r>
        <w:rPr>
          <w:rFonts w:ascii="Arial" w:hAnsi="Arial"/>
          <w:b w:val="0"/>
          <w:i w:val="0"/>
          <w:sz w:val="19"/>
        </w:rPr>
        <w:t>-Anker, Anthropic-</w:t>
      </w:r>
      <w:r>
        <w:rPr>
          <w:rFonts w:ascii="Arial" w:hAnsi="Arial"/>
          <w:b w:val="0"/>
          <w:i/>
          <w:sz w:val="19"/>
        </w:rPr>
        <w:t>Riot</w:t>
      </w:r>
      <w:r>
        <w:rPr>
          <w:rFonts w:ascii="Arial" w:hAnsi="Arial"/>
          <w:b w:val="0"/>
          <w:i w:val="0"/>
          <w:sz w:val="19"/>
        </w:rPr>
        <w:t>-Rockdale-Anlage) besetzen die vom Sanders-Gesetzentwurf angezielten Bestandspositionen an der KI-Compute-Wertschöpfungs­schicht präventiv und außerhalb der Reichweite einer nationalen Beteiligungslogik. Für die Deutschland-These (§ 8.3) folgt daraus, dass die im Papier formulierte Verarbeiter-Position auch auf der Finanzierungsschicht der KI-Compute-Wertschöpfung empirisch weiter bestätigt wird: Alle drei Konstruktionen sind auf US-, australische, singapurische und asiatische Kapitalpools sowie US-Erststandorte gerichtet — mit einer inländischen deutschen Kapital- oder Standortbeteiligung an dieser Schicht ist gegenwärtig nicht zu rechnen.</w:t>
      </w:r>
    </w:p>
    <w:p>
      <w:pPr>
        <w:jc w:val="both"/>
      </w:pPr>
      <w:r>
        <w:rPr>
          <w:rFonts w:ascii="Arial" w:hAnsi="Arial"/>
          <w:b w:val="0"/>
          <w:i w:val="0"/>
          <w:sz w:val="19"/>
        </w:rPr>
        <w:t xml:space="preserve">Nachtrag zu den drei Konstruktionen: Zwei weitere Datenpunkte aus dem 7-Tage-Fenster verdichten die Compute-Finanzierungs­schicht um eine ergänzende Stromversorgungs- und eine Chip-Leasing-Ebene. Erstens hat </w:t>
      </w:r>
      <w:r>
        <w:rPr>
          <w:rFonts w:ascii="Arial" w:hAnsi="Arial"/>
          <w:b w:val="0"/>
          <w:i/>
          <w:sz w:val="19"/>
        </w:rPr>
        <w:t>Nvidia</w:t>
      </w:r>
      <w:r>
        <w:rPr>
          <w:rFonts w:ascii="Arial" w:hAnsi="Arial"/>
          <w:b w:val="0"/>
          <w:i w:val="0"/>
          <w:sz w:val="19"/>
        </w:rPr>
        <w:t xml:space="preserve"> nach der Berichterstattung von </w:t>
      </w:r>
      <w:r>
        <w:rPr>
          <w:rFonts w:ascii="Arial" w:hAnsi="Arial"/>
          <w:b w:val="0"/>
          <w:i/>
          <w:sz w:val="19"/>
        </w:rPr>
        <w:t>The Information</w:t>
      </w:r>
      <w:r>
        <w:rPr>
          <w:rFonts w:ascii="Arial" w:hAnsi="Arial"/>
          <w:b w:val="0"/>
          <w:i w:val="0"/>
          <w:sz w:val="19"/>
        </w:rPr>
        <w:t xml:space="preserve"> (7. August 2026) sowie flankierender Berichterstattung von </w:t>
      </w:r>
      <w:r>
        <w:rPr>
          <w:rFonts w:ascii="Arial" w:hAnsi="Arial"/>
          <w:b w:val="0"/>
          <w:i/>
          <w:sz w:val="19"/>
        </w:rPr>
        <w:t>Reuters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(„Nvidia found a new way to keep the AI boom funded: your retirement money", 12. August 2026) und </w:t>
      </w:r>
      <w:r>
        <w:rPr>
          <w:rFonts w:ascii="Arial" w:hAnsi="Arial"/>
          <w:b w:val="0"/>
          <w:i/>
          <w:sz w:val="19"/>
        </w:rPr>
        <w:t>AI Weekly</w:t>
      </w:r>
      <w:r>
        <w:rPr>
          <w:rFonts w:ascii="Arial" w:hAnsi="Arial"/>
          <w:b w:val="0"/>
          <w:i w:val="0"/>
          <w:sz w:val="19"/>
        </w:rPr>
        <w:t xml:space="preserve"> eine Beteiligung von bis zu 3 Milliarden US-Dollar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angekündigt: Erstinvestition von 2 Milliarden US-Dollar für rund 20 Prozent der Anteile, weitere 1 Milliarde US-Dollar an </w:t>
      </w:r>
      <w:r>
        <w:rPr>
          <w:rFonts w:ascii="Arial" w:hAnsi="Arial"/>
          <w:b w:val="0"/>
          <w:i/>
          <w:sz w:val="19"/>
        </w:rPr>
        <w:t>grid-hookup</w:t>
      </w:r>
      <w:r>
        <w:rPr>
          <w:rFonts w:ascii="Arial" w:hAnsi="Arial"/>
          <w:b w:val="0"/>
          <w:i w:val="0"/>
          <w:sz w:val="19"/>
        </w:rPr>
        <w:t xml:space="preserve">-Meilensteine gekoppelt (voller Ausführungsstand rund 30 Prozent Eigentum), Unternehmenswert von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Lancium</w:t>
      </w:r>
      <w:r>
        <w:rPr>
          <w:rFonts w:ascii="Arial" w:hAnsi="Arial"/>
          <w:b w:val="0"/>
          <w:i w:val="0"/>
          <w:sz w:val="19"/>
        </w:rPr>
        <w:t xml:space="preserve"> betreibt den 1.000-Hektar-Campus in Abilene (Texas), an dem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zusammen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läuft; die Anlage ist auf rund 400.000 </w:t>
      </w:r>
      <w:r>
        <w:rPr>
          <w:rFonts w:ascii="Arial" w:hAnsi="Arial"/>
          <w:b w:val="0"/>
          <w:i/>
          <w:sz w:val="19"/>
        </w:rPr>
        <w:t>Nvidia</w:t>
      </w:r>
      <w:r>
        <w:rPr>
          <w:rFonts w:ascii="Arial" w:hAnsi="Arial"/>
          <w:b w:val="0"/>
          <w:i w:val="0"/>
          <w:sz w:val="19"/>
        </w:rPr>
        <w:t xml:space="preserve">-KI-Chips in acht Gebäuden ausgelegt (nach </w:t>
      </w:r>
      <w:r>
        <w:rPr>
          <w:rFonts w:ascii="Arial" w:hAnsi="Arial"/>
          <w:b w:val="0"/>
          <w:i/>
          <w:sz w:val="19"/>
        </w:rPr>
        <w:t>Yahoo-Finance</w:t>
      </w:r>
      <w:r>
        <w:rPr>
          <w:rFonts w:ascii="Arial" w:hAnsi="Arial"/>
          <w:b w:val="0"/>
          <w:i w:val="0"/>
          <w:sz w:val="19"/>
        </w:rPr>
        <w:t xml:space="preserve">-Analyse), und die zugrundeliegende </w:t>
      </w:r>
      <w:r>
        <w:rPr>
          <w:rFonts w:ascii="Arial" w:hAnsi="Arial"/>
          <w:b w:val="0"/>
          <w:i/>
          <w:sz w:val="19"/>
        </w:rPr>
        <w:t>sub-5-second demand-response</w:t>
      </w:r>
      <w:r>
        <w:rPr>
          <w:rFonts w:ascii="Arial" w:hAnsi="Arial"/>
          <w:b w:val="0"/>
          <w:i w:val="0"/>
          <w:sz w:val="19"/>
        </w:rPr>
        <w:t xml:space="preserve">-Steuerungstechnik geht auf frühere Bitcoin-Mining-Lastprofile zurück, die für die dynamische Steuerung großer KI-Cluster umgewidmet wurden. Der Kapitalzufluss soll die weiteren Grid-Anschlüsse und einen möglichen Börsengang von </w:t>
      </w:r>
      <w:r>
        <w:rPr>
          <w:rFonts w:ascii="Arial" w:hAnsi="Arial"/>
          <w:b w:val="0"/>
          <w:i/>
          <w:sz w:val="19"/>
        </w:rPr>
        <w:t>Lancium</w:t>
      </w:r>
      <w:r>
        <w:rPr>
          <w:rFonts w:ascii="Arial" w:hAnsi="Arial"/>
          <w:b w:val="0"/>
          <w:i w:val="0"/>
          <w:sz w:val="19"/>
        </w:rPr>
        <w:t xml:space="preserve"> im Jahr 2027 finanzieren (Konjunktivpflicht nach § 4.2 Claude.md). Zweitens hat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TradingKey</w:t>
      </w:r>
      <w:r>
        <w:rPr>
          <w:rFonts w:ascii="Arial" w:hAnsi="Arial"/>
          <w:b w:val="0"/>
          <w:i w:val="0"/>
          <w:sz w:val="19"/>
        </w:rPr>
        <w:t xml:space="preserve"> (5. bis 12. August 2026) </w:t>
      </w:r>
      <w:r>
        <w:rPr>
          <w:rFonts w:ascii="Arial" w:hAnsi="Arial"/>
          <w:b w:val="0"/>
          <w:i/>
          <w:sz w:val="19"/>
        </w:rPr>
        <w:t>Blackstone</w:t>
      </w:r>
      <w:r>
        <w:rPr>
          <w:rFonts w:ascii="Arial" w:hAnsi="Arial"/>
          <w:b w:val="0"/>
          <w:i w:val="0"/>
          <w:sz w:val="19"/>
        </w:rPr>
        <w:t xml:space="preserve"> Anfang August 2026 mit Investoren-Sondierungen zu einem zweiten </w:t>
      </w:r>
      <w:r>
        <w:rPr>
          <w:rFonts w:ascii="Arial" w:hAnsi="Arial"/>
          <w:b w:val="0"/>
          <w:i/>
          <w:sz w:val="19"/>
        </w:rPr>
        <w:t>Chip-Lease-SPV</w:t>
      </w:r>
      <w:r>
        <w:rPr>
          <w:rFonts w:ascii="Arial" w:hAnsi="Arial"/>
          <w:b w:val="0"/>
          <w:i w:val="0"/>
          <w:sz w:val="19"/>
        </w:rPr>
        <w:t xml:space="preserve">-Kredit­paket über rund 36 Milliarden US-Dollar begonnen, das </w:t>
      </w:r>
      <w:r>
        <w:rPr>
          <w:rFonts w:ascii="Arial" w:hAnsi="Arial"/>
          <w:b w:val="0"/>
          <w:i/>
          <w:sz w:val="19"/>
        </w:rPr>
        <w:t>Anthropic</w:t>
      </w:r>
      <w:r>
        <w:rPr>
          <w:rFonts w:ascii="Arial" w:hAnsi="Arial"/>
          <w:b w:val="0"/>
          <w:i w:val="0"/>
          <w:sz w:val="19"/>
        </w:rPr>
        <w:t xml:space="preserve"> die Nutzung von </w:t>
      </w:r>
      <w:r>
        <w:rPr>
          <w:rFonts w:ascii="Arial" w:hAnsi="Arial"/>
          <w:b w:val="0"/>
          <w:i/>
          <w:sz w:val="19"/>
        </w:rPr>
        <w:t>Google-TPU</w:t>
      </w:r>
      <w:r>
        <w:rPr>
          <w:rFonts w:ascii="Arial" w:hAnsi="Arial"/>
          <w:b w:val="0"/>
          <w:i w:val="0"/>
          <w:sz w:val="19"/>
        </w:rPr>
        <w:t xml:space="preserve">-Kapazität außerhalb der eigenen Bilanz sichern soll; die </w:t>
      </w:r>
      <w:r>
        <w:rPr>
          <w:rFonts w:ascii="Arial" w:hAnsi="Arial"/>
          <w:b w:val="0"/>
          <w:i/>
          <w:sz w:val="19"/>
        </w:rPr>
        <w:t>Yahoo-Finance</w:t>
      </w:r>
      <w:r>
        <w:rPr>
          <w:rFonts w:ascii="Arial" w:hAnsi="Arial"/>
          <w:b w:val="0"/>
          <w:i w:val="0"/>
          <w:sz w:val="19"/>
        </w:rPr>
        <w:t xml:space="preserve">-Zählung „Anthropic SPVs Stack $71 Billion in Chip-Lease Debt in 60 Days" verweist zusätzlich auf einen ersten,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aus dem Mai 2026 — beide Vehikel dienen der Off-Balance-Sheet-Beschaffung von </w:t>
      </w:r>
      <w:r>
        <w:rPr>
          <w:rFonts w:ascii="Arial" w:hAnsi="Arial"/>
          <w:b w:val="0"/>
          <w:i/>
          <w:sz w:val="19"/>
        </w:rPr>
        <w:t>TPU</w:t>
      </w:r>
      <w:r>
        <w:rPr>
          <w:rFonts w:ascii="Arial" w:hAnsi="Arial"/>
          <w:b w:val="0"/>
          <w:i w:val="0"/>
          <w:sz w:val="19"/>
        </w:rPr>
        <w:t xml:space="preserve">-Kapazität für </w:t>
      </w:r>
      <w:r>
        <w:rPr>
          <w:rFonts w:ascii="Arial" w:hAnsi="Arial"/>
          <w:b w:val="0"/>
          <w:i/>
          <w:sz w:val="19"/>
        </w:rPr>
        <w:t>Anthropic</w:t>
      </w:r>
      <w:r>
        <w:rPr>
          <w:rFonts w:ascii="Arial" w:hAnsi="Arial"/>
          <w:b w:val="0"/>
          <w:i w:val="0"/>
          <w:sz w:val="19"/>
        </w:rPr>
        <w:t xml:space="preserve"> über spezielle Zweckgesellschaften und werden derzeit auf Rechenzentrums-Standorte in New York, Texas, Louisiana und Indiana ausgerichtet (Konjunktivpflicht nach § 4.2 Claude.md, da die endgültige Volumen-, Konsortial- und Struktur­ausgestaltung des zweiten Pakets noch nicht abgeschlossen sei). Für die in diesem Kapitel entwickelte Rohstoff-Analogie ergänzen beide Vorgänge die drei zuvor markierten Muster (i–iii) um zwei weitere strukturell unterschiedliche Konstruktionen der Finanzierungs­schicht: (iv) direkter Einstieg des Chipherstellers in die </w:t>
      </w:r>
      <w:r>
        <w:rPr>
          <w:rFonts w:ascii="Arial" w:hAnsi="Arial"/>
          <w:b w:val="0"/>
          <w:i/>
          <w:sz w:val="19"/>
        </w:rPr>
        <w:t>Stromversorgungs- und Standort-Schicht</w:t>
      </w:r>
      <w:r>
        <w:rPr>
          <w:rFonts w:ascii="Arial" w:hAnsi="Arial"/>
          <w:b w:val="0"/>
          <w:i w:val="0"/>
          <w:sz w:val="19"/>
        </w:rPr>
        <w:t xml:space="preserve"> über eine Minderheits­beteiligung am nachgelagerten </w:t>
      </w:r>
      <w:r>
        <w:rPr>
          <w:rFonts w:ascii="Arial" w:hAnsi="Arial"/>
          <w:b w:val="0"/>
          <w:i/>
          <w:sz w:val="19"/>
        </w:rPr>
        <w:t>Power-Landlord</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 </w:t>
      </w:r>
      <w:r>
        <w:rPr>
          <w:rFonts w:ascii="Arial" w:hAnsi="Arial"/>
          <w:b w:val="0"/>
          <w:i/>
          <w:sz w:val="19"/>
        </w:rPr>
        <w:t>Lancium</w:t>
      </w:r>
      <w:r>
        <w:rPr>
          <w:rFonts w:ascii="Arial" w:hAnsi="Arial"/>
          <w:b w:val="0"/>
          <w:i w:val="0"/>
          <w:sz w:val="19"/>
        </w:rPr>
        <w:t>/</w:t>
      </w:r>
      <w:r>
        <w:rPr>
          <w:rFonts w:ascii="Arial" w:hAnsi="Arial"/>
          <w:b w:val="0"/>
          <w:i/>
          <w:sz w:val="19"/>
        </w:rPr>
        <w:t>Blackstone</w:t>
      </w:r>
      <w:r>
        <w:rPr>
          <w:rFonts w:ascii="Arial" w:hAnsi="Arial"/>
          <w:b w:val="0"/>
          <w:i w:val="0"/>
          <w:sz w:val="19"/>
        </w:rPr>
        <w:t>/</w:t>
      </w:r>
      <w:r>
        <w:rPr>
          <w:rFonts w:ascii="Arial" w:hAnsi="Arial"/>
          <w:b w:val="0"/>
          <w:i/>
          <w:sz w:val="19"/>
        </w:rPr>
        <w:t>Stargate</w:t>
      </w:r>
      <w:r>
        <w:rPr>
          <w:rFonts w:ascii="Arial" w:hAnsi="Arial"/>
          <w:b w:val="0"/>
          <w:i w:val="0"/>
          <w:sz w:val="19"/>
        </w:rPr>
        <w:t xml:space="preserve">), und (v) SPV-basierte </w:t>
      </w:r>
      <w:r>
        <w:rPr>
          <w:rFonts w:ascii="Arial" w:hAnsi="Arial"/>
          <w:b w:val="0"/>
          <w:i/>
          <w:sz w:val="19"/>
        </w:rPr>
        <w:t>Chip-Leasing-Vehikel</w:t>
      </w:r>
      <w:r>
        <w:rPr>
          <w:rFonts w:ascii="Arial" w:hAnsi="Arial"/>
          <w:b w:val="0"/>
          <w:i w:val="0"/>
          <w:sz w:val="19"/>
        </w:rPr>
        <w:t xml:space="preserve"> als Off-Balance-Sheet-Finanzierung des Frontier-Anbieters (</w:t>
      </w:r>
      <w:r>
        <w:rPr>
          <w:rFonts w:ascii="Arial" w:hAnsi="Arial"/>
          <w:b w:val="0"/>
          <w:i/>
          <w:sz w:val="19"/>
        </w:rPr>
        <w:t>Anthropic</w:t>
      </w:r>
      <w:r>
        <w:rPr>
          <w:rFonts w:ascii="Arial" w:hAnsi="Arial"/>
          <w:b w:val="0"/>
          <w:i w:val="0"/>
          <w:sz w:val="19"/>
        </w:rPr>
        <w:t xml:space="preserve"> × </w:t>
      </w:r>
      <w:r>
        <w:rPr>
          <w:rFonts w:ascii="Arial" w:hAnsi="Arial"/>
          <w:b w:val="0"/>
          <w:i/>
          <w:sz w:val="19"/>
        </w:rPr>
        <w:t>Blackstone</w:t>
      </w:r>
      <w:r>
        <w:rPr>
          <w:rFonts w:ascii="Arial" w:hAnsi="Arial"/>
          <w:b w:val="0"/>
          <w:i w:val="0"/>
          <w:sz w:val="19"/>
        </w:rPr>
        <w:t>/</w:t>
      </w:r>
      <w:r>
        <w:rPr>
          <w:rFonts w:ascii="Arial" w:hAnsi="Arial"/>
          <w:b w:val="0"/>
          <w:i/>
          <w:sz w:val="19"/>
        </w:rPr>
        <w:t>Apollo</w:t>
      </w:r>
      <w:r>
        <w:rPr>
          <w:rFonts w:ascii="Arial" w:hAnsi="Arial"/>
          <w:b w:val="0"/>
          <w:i w:val="0"/>
          <w:sz w:val="19"/>
        </w:rPr>
        <w:t xml:space="preserve"> über </w:t>
      </w:r>
      <w:r>
        <w:rPr>
          <w:rFonts w:ascii="Arial" w:hAnsi="Arial"/>
          <w:b w:val="0"/>
          <w:i/>
          <w:sz w:val="19"/>
        </w:rPr>
        <w:t>Google-TPU</w:t>
      </w:r>
      <w:r>
        <w:rPr>
          <w:rFonts w:ascii="Arial" w:hAnsi="Arial"/>
          <w:b w:val="0"/>
          <w:i w:val="0"/>
          <w:sz w:val="19"/>
        </w:rPr>
        <w:t xml:space="preserve">). Alle fünf Konstruktionen weisen dieselbe </w:t>
      </w:r>
      <w:r>
        <w:rPr>
          <w:rFonts w:ascii="Arial" w:hAnsi="Arial"/>
          <w:b w:val="0"/>
          <w:i/>
          <w:sz w:val="19"/>
        </w:rPr>
        <w:t>transatlantisch-asiatische Kapital- und US-Standort-Ausrichtung</w:t>
      </w:r>
      <w:r>
        <w:rPr>
          <w:rFonts w:ascii="Arial" w:hAnsi="Arial"/>
          <w:b w:val="0"/>
          <w:i w:val="0"/>
          <w:sz w:val="19"/>
        </w:rPr>
        <w:t xml:space="preserve"> auf;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verdichtet sich die zeitliche Vorwegnahme der institutionellen Kapitalanknüpfung nun auf fünf empirisch belegbaren Strängen binnen einer Kalenderwoche — mit unmittelbarer Rückwirkung auf die in § 8.3 skizzierten Zugriffspfade auf inländische KI-Wertschöpfung, weil sowohl die </w:t>
      </w:r>
      <w:r>
        <w:rPr>
          <w:rFonts w:ascii="Arial" w:hAnsi="Arial"/>
          <w:b w:val="0"/>
          <w:i/>
          <w:sz w:val="19"/>
        </w:rPr>
        <w:t>Anlagenkapital-</w:t>
      </w:r>
      <w:r>
        <w:rPr>
          <w:rFonts w:ascii="Arial" w:hAnsi="Arial"/>
          <w:b w:val="0"/>
          <w:i w:val="0"/>
          <w:sz w:val="19"/>
        </w:rPr>
        <w:t xml:space="preserve"> als auch die </w:t>
      </w:r>
      <w:r>
        <w:rPr>
          <w:rFonts w:ascii="Arial" w:hAnsi="Arial"/>
          <w:b w:val="0"/>
          <w:i/>
          <w:sz w:val="19"/>
        </w:rPr>
        <w:t>Chip-Rohstoff-</w:t>
      </w:r>
      <w:r>
        <w:rPr>
          <w:rFonts w:ascii="Arial" w:hAnsi="Arial"/>
          <w:b w:val="0"/>
          <w:i w:val="0"/>
          <w:sz w:val="19"/>
        </w:rPr>
        <w:t>Ebene damit außerhalb der Reichweite einer inländischen Beteiligungslogik institutionalisiert werden.</w:t>
      </w:r>
    </w:p>
    <w:p>
      <w:pPr>
        <w:jc w:val="both"/>
      </w:pPr>
      <w:r>
        <w:rPr>
          <w:rFonts w:ascii="Arial" w:hAnsi="Arial"/>
          <w:b w:val="0"/>
          <w:i w:val="0"/>
          <w:sz w:val="19"/>
        </w:rPr>
        <w:t xml:space="preserve">Zweite Fortschreibung (Stand 24. August 2026): Innerhalb weniger Tage tritt eine sechste Konstruktion an derselben Compute-Finanzierungs­schicht hinzu. Nach </w:t>
      </w:r>
      <w:r>
        <w:rPr>
          <w:rFonts w:ascii="Arial" w:hAnsi="Arial"/>
          <w:b w:val="0"/>
          <w:i/>
          <w:sz w:val="19"/>
        </w:rPr>
        <w:t>Bloomberg</w:t>
      </w:r>
      <w:r>
        <w:rPr>
          <w:rFonts w:ascii="Arial" w:hAnsi="Arial"/>
          <w:b w:val="0"/>
          <w:i w:val="0"/>
          <w:sz w:val="19"/>
        </w:rPr>
        <w:t xml:space="preserve">-Berichterstattung („AI Infrastructure Boom Drives Broadcom's $60 Billion Debt Financing Talks", 20. August 2026) und übereinstimmender Rezeption durch </w:t>
      </w:r>
      <w:r>
        <w:rPr>
          <w:rFonts w:ascii="Arial" w:hAnsi="Arial"/>
          <w:b w:val="0"/>
          <w:i/>
          <w:sz w:val="19"/>
        </w:rPr>
        <w:t>Yahoo Finance</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Dealroom News</w:t>
      </w:r>
      <w:r>
        <w:rPr>
          <w:rFonts w:ascii="Arial" w:hAnsi="Arial"/>
          <w:b w:val="0"/>
          <w:i w:val="0"/>
          <w:sz w:val="19"/>
        </w:rPr>
        <w:t xml:space="preserve"> und </w:t>
      </w:r>
      <w:r>
        <w:rPr>
          <w:rFonts w:ascii="Arial" w:hAnsi="Arial"/>
          <w:b w:val="0"/>
          <w:i/>
          <w:sz w:val="19"/>
        </w:rPr>
        <w:t>WMBD Radio</w:t>
      </w:r>
      <w:r>
        <w:rPr>
          <w:rFonts w:ascii="Arial" w:hAnsi="Arial"/>
          <w:b w:val="0"/>
          <w:i w:val="0"/>
          <w:sz w:val="19"/>
        </w:rPr>
        <w:t xml:space="preserve"> sondiert </w:t>
      </w:r>
      <w:r>
        <w:rPr>
          <w:rFonts w:ascii="Arial" w:hAnsi="Arial"/>
          <w:b w:val="0"/>
          <w:i/>
          <w:sz w:val="19"/>
        </w:rPr>
        <w:t>Broadcom</w:t>
      </w:r>
      <w:r>
        <w:rPr>
          <w:rFonts w:ascii="Arial" w:hAnsi="Arial"/>
          <w:b w:val="0"/>
          <w:i w:val="0"/>
          <w:sz w:val="19"/>
        </w:rPr>
        <w:t xml:space="preserve"> seit dem 20. August 2026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im Umfang von mehr als 60 Milliarden US-Dollar zur Refinanzierung eigener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die Struktur soll aus einer rund 30 Milliarden US-Dollar schweren </w:t>
      </w:r>
      <w:r>
        <w:rPr>
          <w:rFonts w:ascii="Arial" w:hAnsi="Arial"/>
          <w:b w:val="0"/>
          <w:i/>
          <w:sz w:val="19"/>
        </w:rPr>
        <w:t>junior-debt</w:t>
      </w:r>
      <w:r>
        <w:rPr>
          <w:rFonts w:ascii="Arial" w:hAnsi="Arial"/>
          <w:b w:val="0"/>
          <w:i w:val="0"/>
          <w:sz w:val="19"/>
        </w:rPr>
        <w:t xml:space="preserve">-Tranche und einer </w:t>
      </w:r>
      <w:r>
        <w:rPr>
          <w:rFonts w:ascii="Arial" w:hAnsi="Arial"/>
          <w:b w:val="0"/>
          <w:i/>
          <w:sz w:val="19"/>
        </w:rPr>
        <w:t>senior-secured</w:t>
      </w:r>
      <w:r>
        <w:rPr>
          <w:rFonts w:ascii="Arial" w:hAnsi="Arial"/>
          <w:b w:val="0"/>
          <w:i w:val="0"/>
          <w:sz w:val="19"/>
        </w:rPr>
        <w:t xml:space="preserve">-Tranche von rund 60 bis 70 Milliarden US-Dollar bestehen (mit </w:t>
      </w:r>
      <w:r>
        <w:rPr>
          <w:rFonts w:ascii="Arial" w:hAnsi="Arial"/>
          <w:b w:val="0"/>
          <w:i/>
          <w:sz w:val="19"/>
        </w:rPr>
        <w:t>Broadcom</w:t>
      </w:r>
      <w:r>
        <w:rPr>
          <w:rFonts w:ascii="Arial" w:hAnsi="Arial"/>
          <w:b w:val="0"/>
          <w:i w:val="0"/>
          <w:sz w:val="19"/>
        </w:rPr>
        <w:t xml:space="preserve">-Teilbürgschaft auf letztere) und könne insgesamt bis rund 100 Milliarden US-Dollar erreichen; sie baut auf der bereits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w:t>
      </w:r>
      <w:r>
        <w:rPr>
          <w:rFonts w:ascii="Arial" w:hAnsi="Arial"/>
          <w:b w:val="0"/>
          <w:i/>
          <w:sz w:val="19"/>
        </w:rPr>
        <w:t>Anthropic</w:t>
      </w:r>
      <w:r>
        <w:rPr>
          <w:rFonts w:ascii="Arial" w:hAnsi="Arial"/>
          <w:b w:val="0"/>
          <w:i w:val="0"/>
          <w:sz w:val="19"/>
        </w:rPr>
        <w:t xml:space="preserve">-Compute-Kapazität auf (erste Ausbaustufe rund ein Gigawatt, Ziel der Partnerschaft mehr als 20 Gigawatt Compute bis 2028) — Konjunktivpflicht nach § 4.2 Claude.md, da endgültige Volumen, Konsortial­struktur und Bürgschaftsanteil vor Ausfertigung der Verträge nicht abgeschlossen sind. Zeitgleich verzahnt sich der Vorgang mit der Kundenseite: Nach </w:t>
      </w:r>
      <w:r>
        <w:rPr>
          <w:rFonts w:ascii="Arial" w:hAnsi="Arial"/>
          <w:b w:val="0"/>
          <w:i/>
          <w:sz w:val="19"/>
        </w:rPr>
        <w:t>Bloomberg</w:t>
      </w:r>
      <w:r>
        <w:rPr>
          <w:rFonts w:ascii="Arial" w:hAnsi="Arial"/>
          <w:b w:val="0"/>
          <w:i w:val="0"/>
          <w:sz w:val="19"/>
        </w:rPr>
        <w:t xml:space="preserve">-Berichterstattung („Anthropic's Annualized Revenue Tops $65 Billion Before IPO",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 xml:space="preserve">-Prospekt wird gegen Ende August 2026 erwartet (Konjunktivpflicht nach § 4.2 Claude.md). Für die in diesem Kapitel entwickelte Rohstoff-Analogie ergänzt der Vorgang die fünf zuvor markierten Muster (i–v) um eine sechste Konstruktion: (vi) </w:t>
      </w:r>
      <w:r>
        <w:rPr>
          <w:rFonts w:ascii="Arial" w:hAnsi="Arial"/>
          <w:b w:val="0"/>
          <w:i/>
          <w:sz w:val="19"/>
        </w:rPr>
        <w:t>Vendor-financed junior/senior debt</w:t>
      </w:r>
      <w:r>
        <w:rPr>
          <w:rFonts w:ascii="Arial" w:hAnsi="Arial"/>
          <w:b w:val="0"/>
          <w:i w:val="0"/>
          <w:sz w:val="19"/>
        </w:rPr>
        <w:t xml:space="preserve"> im Umfang mehrerer Zehnerpotenzen zur Refinanzierung eines Custom-Silicon-Roadmap-Kunden — der Design­partner (</w:t>
      </w:r>
      <w:r>
        <w:rPr>
          <w:rFonts w:ascii="Arial" w:hAnsi="Arial"/>
          <w:b w:val="0"/>
          <w:i/>
          <w:sz w:val="19"/>
        </w:rPr>
        <w:t>Broadcom</w:t>
      </w:r>
      <w:r>
        <w:rPr>
          <w:rFonts w:ascii="Arial" w:hAnsi="Arial"/>
          <w:b w:val="0"/>
          <w:i w:val="0"/>
          <w:sz w:val="19"/>
        </w:rPr>
        <w:t>) übernimmt gleichzeitig die Rolle des Teilbürgen und des Rohstoff-Lieferanten, während die institutionellen Kapital-Anker (</w:t>
      </w:r>
      <w:r>
        <w:rPr>
          <w:rFonts w:ascii="Arial" w:hAnsi="Arial"/>
          <w:b w:val="0"/>
          <w:i/>
          <w:sz w:val="19"/>
        </w:rPr>
        <w:t>Apollo</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mit denen aus Konstruktion (v) identisch sind. Die Kombination aus fremd­finanzierter Custom-Silicon-Zuweisung und in Aussicht stehendem 2-Billionen-Dollar-Börsengang schärft zwei Beobachtungen des Papiers: Erstens verlagert sich die Bemessungsbasis der KI-Wertschöpfung binnen Wochen aus der klassischen Anbieter­bilanz in ein Netz von Zweckgesellschaften und Vendor-Garantien, was die Bestandsanknüpfung inländischer Steuer- oder Beteiligungslogik (§ 4.5, § 8.3) empirisch weiter erschwert. Zweitens findet die im Papier skizzierte </w:t>
      </w:r>
      <w:r>
        <w:rPr>
          <w:rFonts w:ascii="Arial" w:hAnsi="Arial"/>
          <w:b w:val="0"/>
          <w:i/>
          <w:sz w:val="19"/>
        </w:rPr>
        <w:t>KI-Renten</w:t>
      </w:r>
      <w:r>
        <w:rPr>
          <w:rFonts w:ascii="Arial" w:hAnsi="Arial"/>
          <w:b w:val="0"/>
          <w:i w:val="0"/>
          <w:sz w:val="19"/>
        </w:rPr>
        <w:t xml:space="preserve">-Debatte in der bevorstehenden </w:t>
      </w:r>
      <w:r>
        <w:rPr>
          <w:rFonts w:ascii="Arial" w:hAnsi="Arial"/>
          <w:b w:val="0"/>
          <w:i/>
          <w:sz w:val="19"/>
        </w:rPr>
        <w:t>Anthropic</w:t>
      </w:r>
      <w:r>
        <w:rPr>
          <w:rFonts w:ascii="Arial" w:hAnsi="Arial"/>
          <w:b w:val="0"/>
          <w:i w:val="0"/>
          <w:sz w:val="19"/>
        </w:rPr>
        <w:t>-Erstnotiz einen konkreten Prüfstein — sollte die Zielbewertung auch nur annähernd erreicht werden, wird die Frage der öffentlichen Teilhabe an einem im Fünf­jahres­fenster entstandenen 2-Billionen-Dollar-Wertspeicher (§ 8.3) nicht länger hypothetisch. Für die Deutschland-These folgt daraus keine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Auf der US-Talent-Bestandsdimension der Frontier-Renten schrittt derweil die bereits im § 8.2 aufgenommene </w:t>
      </w:r>
      <w:r>
        <w:rPr>
          <w:rFonts w:ascii="Arial" w:hAnsi="Arial"/>
          <w:b w:val="0"/>
          <w:i/>
          <w:sz w:val="19"/>
        </w:rPr>
        <w:t>Apple</w:t>
      </w:r>
      <w:r>
        <w:rPr>
          <w:rFonts w:ascii="Arial" w:hAnsi="Arial"/>
          <w:b w:val="0"/>
          <w:i w:val="0"/>
          <w:sz w:val="19"/>
        </w:rPr>
        <w:t xml:space="preserve">-Klage gegen </w:t>
      </w:r>
      <w:r>
        <w:rPr>
          <w:rFonts w:ascii="Arial" w:hAnsi="Arial"/>
          <w:b w:val="0"/>
          <w:i/>
          <w:sz w:val="19"/>
        </w:rPr>
        <w:t>OpenAI</w:t>
      </w:r>
      <w:r>
        <w:rPr>
          <w:rFonts w:ascii="Arial" w:hAnsi="Arial"/>
          <w:b w:val="0"/>
          <w:i w:val="0"/>
          <w:sz w:val="19"/>
        </w:rPr>
        <w:t xml:space="preserve"> (10. Juli 2026, US District Court for the Northern District of California) in eine verfahrensmäßig entscheidende Phase: Am 4. August 2026 hat </w:t>
      </w:r>
      <w:r>
        <w:rPr>
          <w:rFonts w:ascii="Arial" w:hAnsi="Arial"/>
          <w:b w:val="0"/>
          <w:i/>
          <w:sz w:val="19"/>
        </w:rPr>
        <w:t>Apple</w:t>
      </w:r>
      <w:r>
        <w:rPr>
          <w:rFonts w:ascii="Arial" w:hAnsi="Arial"/>
          <w:b w:val="0"/>
          <w:i w:val="0"/>
          <w:sz w:val="19"/>
        </w:rPr>
        <w:t xml:space="preserve"> nach übereinstimmender Berichterstattung von </w:t>
      </w:r>
      <w:r>
        <w:rPr>
          <w:rFonts w:ascii="Arial" w:hAnsi="Arial"/>
          <w:b w:val="0"/>
          <w:i/>
          <w:sz w:val="19"/>
        </w:rPr>
        <w:t>Claims Journal</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JURIST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w:t>
      </w:r>
      <w:r>
        <w:rPr>
          <w:rFonts w:ascii="Arial" w:hAnsi="Arial"/>
          <w:b w:val="0"/>
          <w:i/>
          <w:sz w:val="19"/>
        </w:rPr>
        <w:t>Express Tribune</w:t>
      </w:r>
      <w:r>
        <w:rPr>
          <w:rFonts w:ascii="Arial" w:hAnsi="Arial"/>
          <w:b w:val="0"/>
          <w:i w:val="0"/>
          <w:sz w:val="19"/>
        </w:rPr>
        <w:t xml:space="preserve"> und </w:t>
      </w:r>
      <w:r>
        <w:rPr>
          <w:rFonts w:ascii="Arial" w:hAnsi="Arial"/>
          <w:b w:val="0"/>
          <w:i/>
          <w:sz w:val="19"/>
        </w:rPr>
        <w:t>Business Standard</w:t>
      </w:r>
      <w:r>
        <w:rPr>
          <w:rFonts w:ascii="Arial" w:hAnsi="Arial"/>
          <w:b w:val="0"/>
          <w:i w:val="0"/>
          <w:sz w:val="19"/>
        </w:rPr>
        <w:t xml:space="preserve"> eine </w:t>
      </w:r>
      <w:r>
        <w:rPr>
          <w:rFonts w:ascii="Arial" w:hAnsi="Arial"/>
          <w:b w:val="0"/>
          <w:i/>
          <w:sz w:val="19"/>
        </w:rPr>
        <w:t>preliminary injunction</w:t>
      </w:r>
      <w:r>
        <w:rPr>
          <w:rFonts w:ascii="Arial" w:hAnsi="Arial"/>
          <w:b w:val="0"/>
          <w:i w:val="0"/>
          <w:sz w:val="19"/>
        </w:rPr>
        <w:t xml:space="preserve"> gegen </w:t>
      </w:r>
      <w:r>
        <w:rPr>
          <w:rFonts w:ascii="Arial" w:hAnsi="Arial"/>
          <w:b w:val="0"/>
          <w:i/>
          <w:sz w:val="19"/>
        </w:rPr>
        <w:t>OpenAI</w:t>
      </w:r>
      <w:r>
        <w:rPr>
          <w:rFonts w:ascii="Arial" w:hAnsi="Arial"/>
          <w:b w:val="0"/>
          <w:i w:val="0"/>
          <w:sz w:val="19"/>
        </w:rPr>
        <w:t xml:space="preserve">, dessen Hardware-Tochter </w:t>
      </w:r>
      <w:r>
        <w:rPr>
          <w:rFonts w:ascii="Arial" w:hAnsi="Arial"/>
          <w:b w:val="0"/>
          <w:i/>
          <w:sz w:val="19"/>
        </w:rPr>
        <w:t>io Products, Inc.</w:t>
      </w:r>
      <w:r>
        <w:rPr>
          <w:rFonts w:ascii="Arial" w:hAnsi="Arial"/>
          <w:b w:val="0"/>
          <w:i w:val="0"/>
          <w:sz w:val="19"/>
        </w:rPr>
        <w:t xml:space="preserve">, sowie die früheren Apple-Beschäftigten </w:t>
      </w:r>
      <w:r>
        <w:rPr>
          <w:rFonts w:ascii="Arial" w:hAnsi="Arial"/>
          <w:b w:val="0"/>
          <w:i/>
          <w:sz w:val="19"/>
        </w:rPr>
        <w:t>Tang Yew Tan</w:t>
      </w:r>
      <w:r>
        <w:rPr>
          <w:rFonts w:ascii="Arial" w:hAnsi="Arial"/>
          <w:b w:val="0"/>
          <w:i w:val="0"/>
          <w:sz w:val="19"/>
        </w:rPr>
        <w:t xml:space="preserve"> und </w:t>
      </w:r>
      <w:r>
        <w:rPr>
          <w:rFonts w:ascii="Arial" w:hAnsi="Arial"/>
          <w:b w:val="0"/>
          <w:i/>
          <w:sz w:val="19"/>
        </w:rPr>
        <w:t>Chang Liu</w:t>
      </w:r>
      <w:r>
        <w:rPr>
          <w:rFonts w:ascii="Arial" w:hAnsi="Arial"/>
          <w:b w:val="0"/>
          <w:i w:val="0"/>
          <w:sz w:val="19"/>
        </w:rPr>
        <w:t xml:space="preserve"> beantragt, die den Zugriff, den Erwerb, die Nutzung und die Offenlegung der behaupteten </w:t>
      </w:r>
      <w:r>
        <w:rPr>
          <w:rFonts w:ascii="Arial" w:hAnsi="Arial"/>
          <w:b w:val="0"/>
          <w:i/>
          <w:sz w:val="19"/>
        </w:rPr>
        <w:t>trade secrets</w:t>
      </w:r>
      <w:r>
        <w:rPr>
          <w:rFonts w:ascii="Arial" w:hAnsi="Arial"/>
          <w:b w:val="0"/>
          <w:i w:val="0"/>
          <w:sz w:val="19"/>
        </w:rPr>
        <w:t xml:space="preserve"> für die Verfahrensdauer untersagen soll; parallel wurde ein Antrag auf </w:t>
      </w:r>
      <w:r>
        <w:rPr>
          <w:rFonts w:ascii="Arial" w:hAnsi="Arial"/>
          <w:b w:val="0"/>
          <w:i/>
          <w:sz w:val="19"/>
        </w:rPr>
        <w:t>expedited discovery</w:t>
      </w:r>
      <w:r>
        <w:rPr>
          <w:rFonts w:ascii="Arial" w:hAnsi="Arial"/>
          <w:b w:val="0"/>
          <w:i w:val="0"/>
          <w:sz w:val="19"/>
        </w:rPr>
        <w:t xml:space="preserve"> eingebracht. </w:t>
      </w:r>
      <w:r>
        <w:rPr>
          <w:rFonts w:ascii="Arial" w:hAnsi="Arial"/>
          <w:b w:val="0"/>
          <w:i/>
          <w:sz w:val="19"/>
        </w:rPr>
        <w:t>OpenAI</w:t>
      </w:r>
      <w:r>
        <w:rPr>
          <w:rFonts w:ascii="Arial" w:hAnsi="Arial"/>
          <w:b w:val="0"/>
          <w:i w:val="0"/>
          <w:sz w:val="19"/>
        </w:rPr>
        <w:t xml:space="preserve"> hat am 5. August 2026 nach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und der </w:t>
      </w:r>
      <w:r>
        <w:rPr>
          <w:rFonts w:ascii="Arial" w:hAnsi="Arial"/>
          <w:b w:val="0"/>
          <w:i/>
          <w:sz w:val="19"/>
        </w:rPr>
        <w:t>Insurance Journal</w:t>
      </w:r>
      <w:r>
        <w:rPr>
          <w:rFonts w:ascii="Arial" w:hAnsi="Arial"/>
          <w:b w:val="0"/>
          <w:i w:val="0"/>
          <w:sz w:val="19"/>
        </w:rPr>
        <w:t xml:space="preserve"> mit einer 31-seitigen Motion zur </w:t>
      </w:r>
      <w:r>
        <w:rPr>
          <w:rFonts w:ascii="Arial" w:hAnsi="Arial"/>
          <w:b w:val="0"/>
          <w:i/>
          <w:sz w:val="19"/>
        </w:rPr>
        <w:t>Klageabweisung</w:t>
      </w:r>
      <w:r>
        <w:rPr>
          <w:rFonts w:ascii="Arial" w:hAnsi="Arial"/>
          <w:b w:val="0"/>
          <w:i w:val="0"/>
          <w:sz w:val="19"/>
        </w:rPr>
        <w:t xml:space="preserve"> („motion to dismiss") reagiert, in der das Unternehmen die Angaben zu den </w:t>
      </w:r>
      <w:r>
        <w:rPr>
          <w:rFonts w:ascii="Arial" w:hAnsi="Arial"/>
          <w:b w:val="0"/>
          <w:i/>
          <w:sz w:val="19"/>
        </w:rPr>
        <w:t>trade secrets</w:t>
      </w:r>
      <w:r>
        <w:rPr>
          <w:rFonts w:ascii="Arial" w:hAnsi="Arial"/>
          <w:b w:val="0"/>
          <w:i w:val="0"/>
          <w:sz w:val="19"/>
        </w:rPr>
        <w:t xml:space="preserve"> als unzureichend präzisiert, das Eigentumsverhältnis als nicht belegt und die Aneignung durch die Beklagten als nicht plausibel dargelegt rügt; ergänzend werden Apple-eigene </w:t>
      </w:r>
      <w:r>
        <w:rPr>
          <w:rFonts w:ascii="Arial" w:hAnsi="Arial"/>
          <w:b w:val="0"/>
          <w:i/>
          <w:sz w:val="19"/>
        </w:rPr>
        <w:t>Offboarding</w:t>
      </w:r>
      <w:r>
        <w:rPr>
          <w:rFonts w:ascii="Arial" w:hAnsi="Arial"/>
          <w:b w:val="0"/>
          <w:i w:val="0"/>
          <w:sz w:val="19"/>
        </w:rPr>
        <w:t xml:space="preserve">- und </w:t>
      </w:r>
      <w:r>
        <w:rPr>
          <w:rFonts w:ascii="Arial" w:hAnsi="Arial"/>
          <w:b w:val="0"/>
          <w:i/>
          <w:sz w:val="19"/>
        </w:rPr>
        <w:t>Sicherheitspraktiken</w:t>
      </w:r>
      <w:r>
        <w:rPr>
          <w:rFonts w:ascii="Arial" w:hAnsi="Arial"/>
          <w:b w:val="0"/>
          <w:i w:val="0"/>
          <w:sz w:val="19"/>
        </w:rPr>
        <w:t xml:space="preserve"> (u. a. der spätere Manager-Zugang zu einem iCloud-Konto eines ausgeschiedenen Ingenieurs) als selbst untergrabendes Beweismittel gegen die Geheimhaltungsvorsorge geltend gemacht. Die Anhörung zum Injunction-Antrag ist auf den 1. Oktober 2026 in San José terminiert. Für die in § 8.2 entwickelte Rohstoff-Analogie schärft der prozessuale Doppelschritt die dortige Beobachtung, dass die Talent-Bestände der Frontier-Modelle zunehmend justiziabel werden: Sobald Trade-Secret-Verfahren die Beweislast von der </w:t>
      </w:r>
      <w:r>
        <w:rPr>
          <w:rFonts w:ascii="Arial" w:hAnsi="Arial"/>
          <w:b w:val="0"/>
          <w:i/>
          <w:sz w:val="19"/>
        </w:rPr>
        <w:t>trade secret</w:t>
      </w:r>
      <w:r>
        <w:rPr>
          <w:rFonts w:ascii="Arial" w:hAnsi="Arial"/>
          <w:b w:val="0"/>
          <w:i w:val="0"/>
          <w:sz w:val="19"/>
        </w:rPr>
        <w:t xml:space="preserve">-Präzisierung auf die </w:t>
      </w:r>
      <w:r>
        <w:rPr>
          <w:rFonts w:ascii="Arial" w:hAnsi="Arial"/>
          <w:b w:val="0"/>
          <w:i/>
          <w:sz w:val="19"/>
        </w:rPr>
        <w:t>Sicherheits- und Offboarding-Praxis</w:t>
      </w:r>
      <w:r>
        <w:rPr>
          <w:rFonts w:ascii="Arial" w:hAnsi="Arial"/>
          <w:b w:val="0"/>
          <w:i w:val="0"/>
          <w:sz w:val="19"/>
        </w:rPr>
        <w:t xml:space="preserve"> des Klägers verlagern, verstärkt sich das Argument der fiskalischen Volatilität einer bestands­orientierten Zugriffslogik zusätzlich — die Marktkapitalisierung eines Frontier-Anbieters kann nicht nur durch neue Talent-Zugänge (DeepMind, § 8.2), sondern auch durch die Auslegung der Sorgfaltspflichten des Klägers spürbar bewegt werden. Für die Deutschland-These (§ 8.3) folgt daraus keine zusätzliche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Dritte Fortschreibung (Stand 26. August 2026): Die im Vorlauf um Konstruktion (vi) </w:t>
      </w:r>
      <w:r>
        <w:rPr>
          <w:rFonts w:ascii="Arial" w:hAnsi="Arial"/>
          <w:b w:val="0"/>
          <w:i/>
          <w:sz w:val="19"/>
        </w:rPr>
        <w:t>Vendor-financed junior/senior debt</w:t>
      </w:r>
      <w:r>
        <w:rPr>
          <w:rFonts w:ascii="Arial" w:hAnsi="Arial"/>
          <w:b w:val="0"/>
          <w:i w:val="0"/>
          <w:sz w:val="19"/>
        </w:rPr>
        <w:t xml:space="preserve"> verdichtete Compute-Finanzierungs­schicht spiegelt sich seit dem 19. August 2026 erstmals in einer makrofinanziellen Marktverwerfung an der US-Bond-Frontlinie, die die im Papier bislang isoliert markierten Einzelvorgänge zu einem aggregierten Systemwirkungsbefund zusammenzieht. Nach übereinstimmender Berichterstattung von </w:t>
      </w:r>
      <w:r>
        <w:rPr>
          <w:rFonts w:ascii="Arial" w:hAnsi="Arial"/>
          <w:b w:val="0"/>
          <w:i/>
          <w:sz w:val="19"/>
        </w:rPr>
        <w:t>Bloomberg</w:t>
      </w:r>
      <w:r>
        <w:rPr>
          <w:rFonts w:ascii="Arial" w:hAnsi="Arial"/>
          <w:b w:val="0"/>
          <w:i w:val="0"/>
          <w:sz w:val="19"/>
        </w:rPr>
        <w:t xml:space="preserve"> (23. August 2026, „US Long Bonds Risk Deeper Selloff Without Clear Warsh Guidance"), </w:t>
      </w:r>
      <w:r>
        <w:rPr>
          <w:rFonts w:ascii="Arial" w:hAnsi="Arial"/>
          <w:b w:val="0"/>
          <w:i/>
          <w:sz w:val="19"/>
        </w:rPr>
        <w:t>CNBC</w:t>
      </w:r>
      <w:r>
        <w:rPr>
          <w:rFonts w:ascii="Arial" w:hAnsi="Arial"/>
          <w:b w:val="0"/>
          <w:i w:val="0"/>
          <w:sz w:val="19"/>
        </w:rPr>
        <w:t xml:space="preserve"> („Bessent moves to curb Treasury yields, putting new pressure on Warsh's Fed", 19. August 2026), </w:t>
      </w:r>
      <w:r>
        <w:rPr>
          <w:rFonts w:ascii="Arial" w:hAnsi="Arial"/>
          <w:b w:val="0"/>
          <w:i/>
          <w:sz w:val="19"/>
        </w:rPr>
        <w:t>Axios</w:t>
      </w:r>
      <w:r>
        <w:rPr>
          <w:rFonts w:ascii="Arial" w:hAnsi="Arial"/>
          <w:b w:val="0"/>
          <w:i w:val="0"/>
          <w:sz w:val="19"/>
        </w:rPr>
        <w:t xml:space="preserve"> (19. August 2026), </w:t>
      </w:r>
      <w:r>
        <w:rPr>
          <w:rFonts w:ascii="Arial" w:hAnsi="Arial"/>
          <w:b w:val="0"/>
          <w:i/>
          <w:sz w:val="19"/>
        </w:rPr>
        <w:t>NBC News</w:t>
      </w:r>
      <w:r>
        <w:rPr>
          <w:rFonts w:ascii="Arial" w:hAnsi="Arial"/>
          <w:b w:val="0"/>
          <w:i w:val="0"/>
          <w:sz w:val="19"/>
        </w:rPr>
        <w:t xml:space="preserve">, </w:t>
      </w:r>
      <w:r>
        <w:rPr>
          <w:rFonts w:ascii="Arial" w:hAnsi="Arial"/>
          <w:b w:val="0"/>
          <w:i/>
          <w:sz w:val="19"/>
        </w:rPr>
        <w:t>Council on Foreign Relations</w:t>
      </w:r>
      <w:r>
        <w:rPr>
          <w:rFonts w:ascii="Arial" w:hAnsi="Arial"/>
          <w:b w:val="0"/>
          <w:i w:val="0"/>
          <w:sz w:val="19"/>
        </w:rPr>
        <w:t xml:space="preserve"> („What the Treasury's Buyback Surprise Says About the Bond Market") sowie </w:t>
      </w:r>
      <w:r>
        <w:rPr>
          <w:rFonts w:ascii="Arial" w:hAnsi="Arial"/>
          <w:b w:val="0"/>
          <w:i/>
          <w:sz w:val="19"/>
        </w:rPr>
        <w:t>TechTimes</w:t>
      </w:r>
      <w:r>
        <w:rPr>
          <w:rFonts w:ascii="Arial" w:hAnsi="Arial"/>
          <w:b w:val="0"/>
          <w:i w:val="0"/>
          <w:sz w:val="19"/>
        </w:rPr>
        <w:t xml:space="preserve"> („Warsh Keynote at Jackson Hole: AI Capex Is Breaking His Rate-Hold Case", 25. August 2026) hat </w:t>
      </w:r>
      <w:r>
        <w:rPr>
          <w:rFonts w:ascii="Arial" w:hAnsi="Arial"/>
          <w:b w:val="0"/>
          <w:i/>
          <w:sz w:val="19"/>
        </w:rPr>
        <w:t>Vanguard</w:t>
      </w:r>
      <w:r>
        <w:rPr>
          <w:rFonts w:ascii="Arial" w:hAnsi="Arial"/>
          <w:b w:val="0"/>
          <w:i w:val="0"/>
          <w:sz w:val="19"/>
        </w:rPr>
        <w:t xml:space="preserve"> das aggregierte Volumen KI-bezogener Schuldverschreibungen für das gesamte Jahr 2026 — Hyperscaler, Chip-Hersteller, Rechen­zentrums­entwickler und Versorgungsunternehmen zusammengenommen — auf 300 bis 570 Milliarden US-Dollar veranschlagt; nach der Zählung von </w:t>
      </w:r>
      <w:r>
        <w:rPr>
          <w:rFonts w:ascii="Arial" w:hAnsi="Arial"/>
          <w:b w:val="0"/>
          <w:i/>
          <w:sz w:val="19"/>
        </w:rPr>
        <w:t>S&amp;P Global</w:t>
      </w:r>
      <w:r>
        <w:rPr>
          <w:rFonts w:ascii="Arial" w:hAnsi="Arial"/>
          <w:b w:val="0"/>
          <w:i w:val="0"/>
          <w:sz w:val="19"/>
        </w:rPr>
        <w:t xml:space="preserve"> wurden bis Mitte 2026 bereits rund 225 Milliarden US-Dollar an KI-bezogenen Bonds emittiert (nahezu Verzehnfachung gegenüber dem Vorjahres­zeitraum), die fünf US-Hyperscaler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haben nach </w:t>
      </w:r>
      <w:r>
        <w:rPr>
          <w:rFonts w:ascii="Arial" w:hAnsi="Arial"/>
          <w:b w:val="0"/>
          <w:i/>
          <w:sz w:val="19"/>
        </w:rPr>
        <w:t>Bloomberg</w:t>
      </w:r>
      <w:r>
        <w:rPr>
          <w:rFonts w:ascii="Arial" w:hAnsi="Arial"/>
          <w:b w:val="0"/>
          <w:i w:val="0"/>
          <w:sz w:val="19"/>
        </w:rPr>
        <w:t xml:space="preserve">-Angaben bis zum 31. Juli 2026 rund 132 Milliarden US-Dollar am Bondmarkt aufgenommen (gegenüber einem Jahres­durchschnitt von rund 35 Milliarden US-Dollar in den Vorjahren), darunter ein Multitranchen-Angebot in Höhe von rund 53 Milliarden US-Dollar und ein „Century-Bond" mit hundertjähriger Laufzeit; </w:t>
      </w:r>
      <w:r>
        <w:rPr>
          <w:rFonts w:ascii="Arial" w:hAnsi="Arial"/>
          <w:b w:val="0"/>
          <w:i/>
          <w:sz w:val="19"/>
        </w:rPr>
        <w:t>Morgan Stanley</w:t>
      </w:r>
      <w:r>
        <w:rPr>
          <w:rFonts w:ascii="Arial" w:hAnsi="Arial"/>
          <w:b w:val="0"/>
          <w:i w:val="0"/>
          <w:sz w:val="19"/>
        </w:rPr>
        <w:t xml:space="preserve"> prognostiziert nach </w:t>
      </w:r>
      <w:r>
        <w:rPr>
          <w:rFonts w:ascii="Arial" w:hAnsi="Arial"/>
          <w:b w:val="0"/>
          <w:i/>
          <w:sz w:val="19"/>
        </w:rPr>
        <w:t>Forbes</w:t>
      </w:r>
      <w:r>
        <w:rPr>
          <w:rFonts w:ascii="Arial" w:hAnsi="Arial"/>
          <w:b w:val="0"/>
          <w:i w:val="0"/>
          <w:sz w:val="19"/>
        </w:rPr>
        <w:t xml:space="preserve">-Rezeption vom 17. Juli 2026 rund 570 Milliarden US-Dollar globale KI-Debt-Emission für 2026 und leitet daraus eine Finanzierungslücke von rund 1,5 Billionen US-Dollar zwischen erforderlichen Rechen­zentrums­investitionen (~2,9 Billionen US-Dollar bis 2028) und dem verfügbaren Konzern-Cashflow (~1,4 Billionen US-Dollar) ab. Diese Angebotsspitze verdrängt institutionelles Kapital aus dem US-Treasury-Markt: Die Rendite dreißigjähriger US-Staatsanleihen erreichte zeitweise ihren höchsten Stand seit 2007, worauf US-Finanz­minister Scott Bessent am 19. August 2026 eine Verdopplung des Buyback-Volumens für Long-Bonds von 2 auf 4 Milliarden US-Dollar pro Operation im Zeitfenster 9. September bis 4. November 2026 ankündigte — nach Council-on-Foreign-Relations-Einordnung ein Signal, dass die Grenze zwischen Fiskal- und Geldpolitik durch den KI-Capex-Druck neu vermessen wird. Für die geldpolitische Führung entsteht dadurch nach </w:t>
      </w:r>
      <w:r>
        <w:rPr>
          <w:rFonts w:ascii="Arial" w:hAnsi="Arial"/>
          <w:b w:val="0"/>
          <w:i/>
          <w:sz w:val="19"/>
        </w:rPr>
        <w:t>Bloomberg</w:t>
      </w:r>
      <w:r>
        <w:rPr>
          <w:rFonts w:ascii="Arial" w:hAnsi="Arial"/>
          <w:b w:val="0"/>
          <w:i w:val="0"/>
          <w:sz w:val="19"/>
        </w:rPr>
        <w:t xml:space="preserve">-Analyse ein struktureller Zielkonflikt: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der sein Amt mit einem angekündigten „regime change" gegen persistente Inflation angetreten ist, wird in seinem Jackson-Hole-Keynote am 28. August 2026 nach den zitierten Vorberichten (Konjunktivpflicht nach § 4.2 Claude.md) zwischen zwei entgegen­gesetzten KI-Wirkungspfaden abwägen müssen: einer langfristig-disinflationären Produktivitätswirkung aus KI-Deployment einerseits und einer kurzfristig inflationär und zinserhöhend wirkenden Bondmarkt-Verwerfung durch KI-Capex andererseits, wobei drei Fed-Gouverneure zuletzt öffentlich für Zinserhöhungen dissentierten — eine interne Divergenz auf einem Niveau, das die </w:t>
      </w:r>
      <w:r>
        <w:rPr>
          <w:rFonts w:ascii="Arial" w:hAnsi="Arial"/>
          <w:b w:val="0"/>
          <w:i/>
          <w:sz w:val="19"/>
        </w:rPr>
        <w:t>Federal Reserve</w:t>
      </w:r>
      <w:r>
        <w:rPr>
          <w:rFonts w:ascii="Arial" w:hAnsi="Arial"/>
          <w:b w:val="0"/>
          <w:i w:val="0"/>
          <w:sz w:val="19"/>
        </w:rPr>
        <w:t xml:space="preserve"> seit 2016 nicht mehr gesehen hat. Für die in diesem Kapitel entwickelte Rohstoff-Analogie ergänzt der Vorgang die sechs zuvor markierten Muster (i–vi) um eine siebte, aggregierte Konstruktion: (vii) </w:t>
      </w:r>
      <w:r>
        <w:rPr>
          <w:rFonts w:ascii="Arial" w:hAnsi="Arial"/>
          <w:b w:val="0"/>
          <w:i/>
          <w:sz w:val="19"/>
        </w:rPr>
        <w:t>makrofinanzielle Verdrängungswirkung</w:t>
      </w:r>
      <w:r>
        <w:rPr>
          <w:rFonts w:ascii="Arial" w:hAnsi="Arial"/>
          <w:b w:val="0"/>
          <w:i w:val="0"/>
          <w:sz w:val="19"/>
        </w:rPr>
        <w:t xml:space="preserve"> der Compute-Finanzierungs­schicht gegenüber der Staats­finanzierung, in der die im Papier dokumentierten Einzelvorgänge (</w:t>
      </w:r>
      <w:r>
        <w:rPr>
          <w:rFonts w:ascii="Arial" w:hAnsi="Arial"/>
          <w:b w:val="0"/>
          <w:i/>
          <w:sz w:val="19"/>
        </w:rPr>
        <w:t>Broadcom</w:t>
      </w:r>
      <w:r>
        <w:rPr>
          <w:rFonts w:ascii="Arial" w:hAnsi="Arial"/>
          <w:b w:val="0"/>
          <w:i w:val="0"/>
          <w:sz w:val="19"/>
        </w:rPr>
        <w:t xml:space="preserve">-Debt, </w:t>
      </w:r>
      <w:r>
        <w:rPr>
          <w:rFonts w:ascii="Arial" w:hAnsi="Arial"/>
          <w:b w:val="0"/>
          <w:i/>
          <w:sz w:val="19"/>
        </w:rPr>
        <w:t>Anthropic</w:t>
      </w:r>
      <w:r>
        <w:rPr>
          <w:rFonts w:ascii="Arial" w:hAnsi="Arial"/>
          <w:b w:val="0"/>
          <w:i w:val="0"/>
          <w:sz w:val="19"/>
        </w:rPr>
        <w:t xml:space="preserve">-SPV, </w:t>
      </w:r>
      <w:r>
        <w:rPr>
          <w:rFonts w:ascii="Arial" w:hAnsi="Arial"/>
          <w:b w:val="0"/>
          <w:i/>
          <w:sz w:val="19"/>
        </w:rPr>
        <w:t>Nvidia</w:t>
      </w:r>
      <w:r>
        <w:rPr>
          <w:rFonts w:ascii="Arial" w:hAnsi="Arial"/>
          <w:b w:val="0"/>
          <w:i w:val="0"/>
          <w:sz w:val="19"/>
        </w:rPr>
        <w:t>-</w:t>
      </w:r>
      <w:r>
        <w:rPr>
          <w:rFonts w:ascii="Arial" w:hAnsi="Arial"/>
          <w:b w:val="0"/>
          <w:i/>
          <w:sz w:val="19"/>
        </w:rPr>
        <w:t>Lancium</w:t>
      </w:r>
      <w:r>
        <w:rPr>
          <w:rFonts w:ascii="Arial" w:hAnsi="Arial"/>
          <w:b w:val="0"/>
          <w:i w:val="0"/>
          <w:sz w:val="19"/>
        </w:rPr>
        <w:t>-Beteiligung, Custom-Silicon-Kaskade) nicht mehr als isolierte Kapital­markt­episoden, sondern als aggregierte Ökosystem-Emission mit direkter Rückwirkung auf US-Zinskurve und Geldpolitik erscheinen. Für die Deutschland-These (§ 8.3) verdichtet dies drei Beobachtungen: Erstens gewinnt die Wertschöpfungs- statt Bestands­orientierung der Zugriffslogik weiter an Robustheit, weil das KI-Renten-Volumen nun sichtbar Fiskal- und Geldpolitik in der Frontier-Ökonomie berührt und damit den Adressierungs­gegenstand einer inländischen Umverteilung selbst instabiler macht. Zweitens fügt die Kopplung zwischen KI-Capex-Bondmarkt und Zinskurve der in § 8.4 skizzierten Systemstabilitäts-Dimension eine unmittelbare Kanalisierung hinzu: KI-getriebene Verschiebungen wirken nicht nur langfristig auf Arbeits- und Sozialversicherungs­systeme, sondern kurzfristig auf die Refinanzierungs­kosten von Staaten. Drittens ergänzt der Vorgang die in § 4.5 verortete Sanders-</w:t>
      </w:r>
      <w:r>
        <w:rPr>
          <w:rFonts w:ascii="Arial" w:hAnsi="Arial"/>
          <w:b w:val="0"/>
          <w:i/>
          <w:sz w:val="19"/>
        </w:rPr>
        <w:t>American A.I. Sovereign Wealth Fund Act</w:t>
      </w:r>
      <w:r>
        <w:rPr>
          <w:rFonts w:ascii="Arial" w:hAnsi="Arial"/>
          <w:b w:val="0"/>
          <w:i w:val="0"/>
          <w:sz w:val="19"/>
        </w:rPr>
        <w:t>-Debatte um eine bislang unter­gewichtete Volatilitäts­quelle: Eine bestands­orientierte Zugriffslogik trifft in einem Umfeld, in dem die Marktkapitalisierungen der adressierten Anbieter selbst zunehmend an einer fremdfinanzierten Compute-Schicht hängen, auf eine strukturell fragilere Bemessungs­grundlage — mit unmittelbarer Rückwirkung auf die stabileren wertschöpfungs­bezogenen Zugriffe (§ 8.3) und auf die in § 4.2 dokumentierte deutsche Rechtslage-Kette, deren fehlende fiskalische Adressierung der KI-Verdrängung (Antwort der Bundesregierung, Drucksache 21/7620) sich nun auch in einer fehlenden makro­finanziellen Adressierung der KI-Capex-Ökonomie fortsetzt.</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jc w:val="both"/>
      </w:pPr>
      <w:r>
        <w:rPr>
          <w:rFonts w:ascii="Arial" w:hAnsi="Arial"/>
          <w:b/>
          <w:i w:val="0"/>
          <w:sz w:val="19"/>
        </w:rPr>
        <w:t>EU-*AI-Gigafactories*-Ausschreibung und Rencontre-Rede von der Leyens (30. Juli / 27. August 2026):</w:t>
      </w:r>
      <w:r>
        <w:rPr>
          <w:rFonts w:ascii="Arial" w:hAnsi="Arial"/>
          <w:b w:val="0"/>
          <w:i w:val="0"/>
          <w:sz w:val="19"/>
        </w:rPr>
        <w:t xml:space="preserve"> Am 30. Juli 2026 hat das </w:t>
      </w:r>
      <w:r>
        <w:rPr>
          <w:rFonts w:ascii="Arial" w:hAnsi="Arial"/>
          <w:b w:val="0"/>
          <w:i/>
          <w:sz w:val="19"/>
        </w:rPr>
        <w:t>EuroHPC Joint Undertaking</w:t>
      </w:r>
      <w:r>
        <w:rPr>
          <w:rFonts w:ascii="Arial" w:hAnsi="Arial"/>
          <w:b w:val="0"/>
          <w:i w:val="0"/>
          <w:sz w:val="19"/>
        </w:rPr>
        <w:t xml:space="preserve"> nach der Pressemitteilung der Europäischen Kommission („EU launches AI Gigafactories call to boost Europe's computing capacity and unlock more than €30 billion in investment", IP/26/1708) und flankierender Berichterstattung von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IBTimes UK</w:t>
      </w:r>
      <w:r>
        <w:rPr>
          <w:rFonts w:ascii="Arial" w:hAnsi="Arial"/>
          <w:b w:val="0"/>
          <w:i w:val="0"/>
          <w:sz w:val="19"/>
        </w:rPr>
        <w:t xml:space="preserve"> eine offene Ausschreibung für bis zu sieben </w:t>
      </w:r>
      <w:r>
        <w:rPr>
          <w:rFonts w:ascii="Arial" w:hAnsi="Arial"/>
          <w:b w:val="0"/>
          <w:i/>
          <w:sz w:val="19"/>
        </w:rPr>
        <w:t>AI Gigafactories</w:t>
      </w:r>
      <w:r>
        <w:rPr>
          <w:rFonts w:ascii="Arial" w:hAnsi="Arial"/>
          <w:b w:val="0"/>
          <w:i w:val="0"/>
          <w:sz w:val="19"/>
        </w:rPr>
        <w:t xml:space="preserve"> in der Europäischen Union eröffnet: bis zu 10 Milliarden Euro öffentliche Kofinanzierung aus dem EU-Haushalt und den Mitgliedstaaten sollen mit mindestens 20 Milliarden Euro erwartetem Privatkapital verbunden werden; jede Gigafactory kombiniert KI-Prozessoren, Software-Stack, Cloud-Technologie, Hochgeschwindigkeits­konnektivität und Rechenzentrums­infrastruktur. Angebotsfrist ist der 12. November 2026, Vergabeentscheidungen werden für Anfang 2027 erwartet. Am 27. August 2026 hat </w:t>
      </w:r>
      <w:r>
        <w:rPr>
          <w:rFonts w:ascii="Arial" w:hAnsi="Arial"/>
          <w:b w:val="0"/>
          <w:i/>
          <w:sz w:val="19"/>
        </w:rPr>
        <w:t>Ursula von der Leyen</w:t>
      </w:r>
      <w:r>
        <w:rPr>
          <w:rFonts w:ascii="Arial" w:hAnsi="Arial"/>
          <w:b w:val="0"/>
          <w:i w:val="0"/>
          <w:sz w:val="19"/>
        </w:rPr>
        <w:t xml:space="preserve"> nach Berichterstattung von </w:t>
      </w:r>
      <w:r>
        <w:rPr>
          <w:rFonts w:ascii="Arial" w:hAnsi="Arial"/>
          <w:b w:val="0"/>
          <w:i/>
          <w:sz w:val="19"/>
        </w:rPr>
        <w:t>Eunews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auf der </w:t>
      </w:r>
      <w:r>
        <w:rPr>
          <w:rFonts w:ascii="Arial" w:hAnsi="Arial"/>
          <w:b w:val="0"/>
          <w:i/>
          <w:sz w:val="19"/>
        </w:rPr>
        <w:t>Rencontre des Entrepreneurs de France</w:t>
      </w:r>
      <w:r>
        <w:rPr>
          <w:rFonts w:ascii="Arial" w:hAnsi="Arial"/>
          <w:b w:val="0"/>
          <w:i w:val="0"/>
          <w:sz w:val="19"/>
        </w:rPr>
        <w:t xml:space="preserve"> in Paris die begleitende Doppel-Formel ausgegeben,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Für die im Absatz oben formulierte Veredelungsstrategie ergibt sich damit ein präzisierter EU-institutioneller Rahmen. Erstens bindet die Ausschreibung das an einen Standort-Bezug: Der Aufbau der Gigafactories erfolgt im </w:t>
      </w:r>
      <w:r>
        <w:rPr>
          <w:rFonts w:ascii="Arial" w:hAnsi="Arial"/>
          <w:b w:val="0"/>
          <w:i/>
          <w:sz w:val="19"/>
        </w:rPr>
        <w:t>EuroHPC</w:t>
      </w:r>
      <w:r>
        <w:rPr>
          <w:rFonts w:ascii="Arial" w:hAnsi="Arial"/>
          <w:b w:val="0"/>
          <w:i w:val="0"/>
          <w:sz w:val="19"/>
        </w:rPr>
        <w:t xml:space="preserve">-Verbund, damit prinzipiell zugänglich für inländische wie europäische Verarbeitungs­ökosysteme (Konjunktivpflicht nach § 4.2 Claude.md, da die Standort- und Konsortial­entscheidungen erst mit den Vergaben im ersten Quartal 2027 vorliegen). Zweitens rückt der Vorgang die im Papier bereits markierte </w:t>
      </w:r>
      <w:r>
        <w:rPr>
          <w:rFonts w:ascii="Arial" w:hAnsi="Arial"/>
          <w:b w:val="0"/>
          <w:i/>
          <w:sz w:val="19"/>
        </w:rPr>
        <w:t>Compute-Kapazitäts</w:t>
      </w:r>
      <w:r>
        <w:rPr>
          <w:rFonts w:ascii="Arial" w:hAnsi="Arial"/>
          <w:b w:val="0"/>
          <w:i w:val="0"/>
          <w:sz w:val="19"/>
        </w:rPr>
        <w:t xml:space="preserve">-Lücke Deutschlands und der EU (§ 8.2) auf eine legislative Zeitleiste, die vor der abschließenden Wahl der drei Säulen der Deutschland-These (Veredelungsstrategie, Wertschöpfungsabgabe, Teilhabefonds) genutzt werden kann, um inländische Anschluss­stellen für die </w:t>
      </w:r>
      <w:r>
        <w:rPr>
          <w:rFonts w:ascii="Arial" w:hAnsi="Arial"/>
          <w:b w:val="0"/>
          <w:i/>
          <w:sz w:val="19"/>
        </w:rPr>
        <w:t>Anwendungs</w:t>
      </w:r>
      <w:r>
        <w:rPr>
          <w:rFonts w:ascii="Arial" w:hAnsi="Arial"/>
          <w:b w:val="0"/>
          <w:i w:val="0"/>
          <w:sz w:val="19"/>
        </w:rPr>
        <w:t>-Ebene (§ 8.3) mit gesichertem Compute-Zugriff zu verankern. Drittens ergänzt die Doppel-Formel „produzieren, investieren, schützen" die im Papier dokumentierte Regulierungs-Perspektive des EU-</w:t>
      </w:r>
      <w:r>
        <w:rPr>
          <w:rFonts w:ascii="Arial" w:hAnsi="Arial"/>
          <w:b w:val="0"/>
          <w:i/>
          <w:sz w:val="19"/>
        </w:rPr>
        <w:t>AI Acts</w:t>
      </w:r>
      <w:r>
        <w:rPr>
          <w:rFonts w:ascii="Arial" w:hAnsi="Arial"/>
          <w:b w:val="0"/>
          <w:i w:val="0"/>
          <w:sz w:val="19"/>
        </w:rPr>
        <w:t xml:space="preserve"> um eine industriepolitische </w:t>
      </w:r>
      <w:r>
        <w:rPr>
          <w:rFonts w:ascii="Arial" w:hAnsi="Arial"/>
          <w:b w:val="0"/>
          <w:i/>
          <w:sz w:val="19"/>
        </w:rPr>
        <w:t>Wertschöpfungs</w:t>
      </w:r>
      <w:r>
        <w:rPr>
          <w:rFonts w:ascii="Arial" w:hAnsi="Arial"/>
          <w:b w:val="0"/>
          <w:i w:val="0"/>
          <w:sz w:val="19"/>
        </w:rPr>
        <w:t>-Dimension, die die im Papier vorgeschlagene Zugriffsarchitektur (wertschöpfungs­bezogen statt bestands­orientiert) an eine EU-institutionelle Investitionslogik anschließbar macht — ohne die in § 4.2 dokumentierte deutsche Rechtslage-Kette (fehlende fiskalische Adressierung der KI-Verdrängung, Drucksache 21/7620) zu ersetzen.</w:t>
      </w:r>
    </w:p>
    <w:p>
      <w:pPr>
        <w:jc w:val="both"/>
      </w:pPr>
      <w:r>
        <w:rPr>
          <w:rFonts w:ascii="Arial" w:hAnsi="Arial"/>
          <w:b/>
          <w:i w:val="0"/>
          <w:sz w:val="19"/>
        </w:rPr>
        <w:t>Erste Fortschreibung (Primärquelle der Rencontre-Rede vom 27. August 2026 — SPEECH/26/1765):</w:t>
      </w:r>
      <w:r>
        <w:rPr>
          <w:rFonts w:ascii="Arial" w:hAnsi="Arial"/>
          <w:b w:val="0"/>
          <w:i w:val="0"/>
          <w:sz w:val="19"/>
        </w:rPr>
        <w:t xml:space="preserve"> Der über den EU-Presscorner öffentlich zugängliche Primärquellen­text der </w:t>
      </w:r>
      <w:r>
        <w:rPr>
          <w:rFonts w:ascii="Arial" w:hAnsi="Arial"/>
          <w:b w:val="0"/>
          <w:i/>
          <w:sz w:val="19"/>
        </w:rPr>
        <w:t>Rencontre-des-Entrepreneurs-de-France</w:t>
      </w:r>
      <w:r>
        <w:rPr>
          <w:rFonts w:ascii="Arial" w:hAnsi="Arial"/>
          <w:b w:val="0"/>
          <w:i w:val="0"/>
          <w:sz w:val="19"/>
        </w:rPr>
        <w:t xml:space="preserve">-Rede vom 27. August 2026 in Paris (Europäische Kommission, SPEECH/26/1765, ec.europa.eu/commission/presscorner/detail/en/speech_26_1765) präzisiert die im Absatz oben aus Sekundärrezeption geführte Doppel-Formel „produzieren, investieren und schützen" um zwei für die Deutschland-These strukturell relevante Ergänzungen. Erstens habe </w:t>
      </w:r>
      <w:r>
        <w:rPr>
          <w:rFonts w:ascii="Arial" w:hAnsi="Arial"/>
          <w:b w:val="0"/>
          <w:i/>
          <w:sz w:val="19"/>
        </w:rPr>
        <w:t>von der Leyen</w:t>
      </w:r>
      <w:r>
        <w:rPr>
          <w:rFonts w:ascii="Arial" w:hAnsi="Arial"/>
          <w:b w:val="0"/>
          <w:i w:val="0"/>
          <w:sz w:val="19"/>
        </w:rPr>
        <w:t xml:space="preserve"> die im Absatz oben referenzierte </w:t>
      </w:r>
      <w:r>
        <w:rPr>
          <w:rFonts w:ascii="Arial" w:hAnsi="Arial"/>
          <w:b w:val="0"/>
          <w:i/>
          <w:sz w:val="19"/>
        </w:rPr>
        <w:t>AI-Gigafactories</w:t>
      </w:r>
      <w:r>
        <w:rPr>
          <w:rFonts w:ascii="Arial" w:hAnsi="Arial"/>
          <w:b w:val="0"/>
          <w:i w:val="0"/>
          <w:sz w:val="19"/>
        </w:rPr>
        <w:t xml:space="preserve">-Ausschreibung mit der Angabe untermauert, die erste Ausschreibungsrunde habe 77 Vorschläge aus 16 Mitgliedstaaten an 60 Standorten hervorgebracht und die zweite Runde sei „diesen Sommer" (Sommer 2026) eröffnet worden; zugleich habe sie die inländische KI-Adoption mit der Formulierung </w:t>
      </w:r>
      <w:r>
        <w:rPr>
          <w:rFonts w:ascii="Arial" w:hAnsi="Arial"/>
          <w:b w:val="0"/>
          <w:i/>
          <w:sz w:val="19"/>
        </w:rPr>
        <w:t>„our businesses are already adopting AI at a similar pace to their American competitors"</w:t>
      </w:r>
      <w:r>
        <w:rPr>
          <w:rFonts w:ascii="Arial" w:hAnsi="Arial"/>
          <w:b w:val="0"/>
          <w:i w:val="0"/>
          <w:sz w:val="19"/>
        </w:rPr>
        <w:t xml:space="preserve"> auf eine Beobachtungsebene gestellt, die nahe an den in § 8.1 formulierten </w:t>
      </w:r>
      <w:r>
        <w:rPr>
          <w:rFonts w:ascii="Arial" w:hAnsi="Arial"/>
          <w:b w:val="0"/>
          <w:i/>
          <w:sz w:val="19"/>
        </w:rPr>
        <w:t>IAB-Kurzbericht</w:t>
      </w:r>
      <w:r>
        <w:rPr>
          <w:rFonts w:ascii="Arial" w:hAnsi="Arial"/>
          <w:b w:val="0"/>
          <w:i w:val="0"/>
          <w:sz w:val="19"/>
        </w:rPr>
        <w:t xml:space="preserve">-08/2026-Befund (24 % der Betriebe, 48 % bei Großbetrieben mit 200 und mehr Beschäftigten) heranrückt (Konjunktivpflicht nach § 4.2 Claude.md, da die Aussage eine politische Positionierung ist und keine belastbare Erhebung anführt). Zweitens habe die Rede erstmals ein </w:t>
      </w:r>
      <w:r>
        <w:rPr>
          <w:rFonts w:ascii="Arial" w:hAnsi="Arial"/>
          <w:b w:val="0"/>
          <w:i/>
          <w:sz w:val="19"/>
        </w:rPr>
        <w:t>Fair-Labour-Mobility-Package</w:t>
      </w:r>
      <w:r>
        <w:rPr>
          <w:rFonts w:ascii="Arial" w:hAnsi="Arial"/>
          <w:b w:val="0"/>
          <w:i w:val="0"/>
          <w:sz w:val="19"/>
        </w:rPr>
        <w:t xml:space="preserve"> für den Herbst 2026 angekündigt, das drei Elemente kombiniere: eine Stärkung der </w:t>
      </w:r>
      <w:r>
        <w:rPr>
          <w:rFonts w:ascii="Arial" w:hAnsi="Arial"/>
          <w:b w:val="0"/>
          <w:i/>
          <w:sz w:val="19"/>
        </w:rPr>
        <w:t>European Labour Authority</w:t>
      </w:r>
      <w:r>
        <w:rPr>
          <w:rFonts w:ascii="Arial" w:hAnsi="Arial"/>
          <w:b w:val="0"/>
          <w:i w:val="0"/>
          <w:sz w:val="19"/>
        </w:rPr>
        <w:t xml:space="preserve">, die Einführung eines </w:t>
      </w:r>
      <w:r>
        <w:rPr>
          <w:rFonts w:ascii="Arial" w:hAnsi="Arial"/>
          <w:b w:val="0"/>
          <w:i/>
          <w:sz w:val="19"/>
        </w:rPr>
        <w:t>European Social Security Pass</w:t>
      </w:r>
      <w:r>
        <w:rPr>
          <w:rFonts w:ascii="Arial" w:hAnsi="Arial"/>
          <w:b w:val="0"/>
          <w:i w:val="0"/>
          <w:sz w:val="19"/>
        </w:rPr>
        <w:t xml:space="preserve"> und eine EU-weit erleichterte gegenseitige Anerkennung von Qualifikationen und Fertigkeiten. Für die in § 5.2 diskutierte Bürgerversicherungs-Logik und für die in § 8.3 formulierte wertschöpfungs­bezogene Zugriffsarchitektur ist die Ankündigung insofern relevant, als sie die europäische Absicherungs- und Mobilitäts­infrastruktur — statt der klassischen Wettbewerbs- und Binnenmarkt-Instrumente — als zentralen Adaptionsweg an KI-induzierte Beschäftigungsverschiebungen (§ 1.1) positioniert; die im Vorlauf zum EuroHPC-Ausschreibungspfad markierte legislative Zeitleiste (Angebotsfrist 12. November 2026, Vergabe Q1 2027) erhält damit eine parallele Zeitspur der EU-Arbeits- und Sozialpolitik. Ergänzend habe die Rede die 12 Omnibus-Vereinfachungspakete (rund 17 Milliarden Euro Jahres-Ersparnis, davon sechs Pakete = 6 Milliarden Euro bereits vereinbart), die </w:t>
      </w:r>
      <w:r>
        <w:rPr>
          <w:rFonts w:ascii="Arial" w:hAnsi="Arial"/>
          <w:b w:val="0"/>
          <w:i/>
          <w:sz w:val="19"/>
        </w:rPr>
        <w:t>Savings and Investment Union</w:t>
      </w:r>
      <w:r>
        <w:rPr>
          <w:rFonts w:ascii="Arial" w:hAnsi="Arial"/>
          <w:b w:val="0"/>
          <w:i w:val="0"/>
          <w:sz w:val="19"/>
        </w:rPr>
        <w:t xml:space="preserve"> mit bis zu 470 Milliarden Euro zusätzlich mobilisierbarer Investitionskapazität aus dem im Bankkonten-Bestand liegenden europäischen Haushalts­spar­volumen (rund 10 Billionen Euro), die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sowie einen </w:t>
      </w:r>
      <w:r>
        <w:rPr>
          <w:rFonts w:ascii="Arial" w:hAnsi="Arial"/>
          <w:b w:val="0"/>
          <w:i/>
          <w:sz w:val="19"/>
        </w:rPr>
        <w:t>Industrial Accelerator Act</w:t>
      </w:r>
      <w:r>
        <w:rPr>
          <w:rFonts w:ascii="Arial" w:hAnsi="Arial"/>
          <w:b w:val="0"/>
          <w:i w:val="0"/>
          <w:sz w:val="19"/>
        </w:rPr>
        <w:t xml:space="preserve"> mit </w:t>
      </w:r>
      <w:r>
        <w:rPr>
          <w:rFonts w:ascii="Arial" w:hAnsi="Arial"/>
          <w:b w:val="0"/>
          <w:i/>
          <w:sz w:val="19"/>
        </w:rPr>
        <w:t>European preference</w:t>
      </w:r>
      <w:r>
        <w:rPr>
          <w:rFonts w:ascii="Arial" w:hAnsi="Arial"/>
          <w:b w:val="0"/>
          <w:i w:val="0"/>
          <w:sz w:val="19"/>
        </w:rPr>
        <w:t xml:space="preserve">, beschleunigter Genehmigungspraxis und Leitmärkten für Stahl, Zement, Aluminium, Fahrzeuge, Batterien und saubere Technologien in einen einheitlichen wertschöpfungs­bezogenen Rahmen gestellt. Für die im Papier verortete Deutschland-These (§ 8.3, § 10.2) folgt daraus, dass die europäische Ebene — anders als in der Vorgängerversion 79.0 aus der Sekundärrezeption noch erkennbar — die </w:t>
      </w:r>
      <w:r>
        <w:rPr>
          <w:rFonts w:ascii="Arial" w:hAnsi="Arial"/>
          <w:b w:val="0"/>
          <w:i/>
          <w:sz w:val="19"/>
        </w:rPr>
        <w:t>Compute</w:t>
      </w:r>
      <w:r>
        <w:rPr>
          <w:rFonts w:ascii="Arial" w:hAnsi="Arial"/>
          <w:b w:val="0"/>
          <w:i w:val="0"/>
          <w:sz w:val="19"/>
        </w:rPr>
        <w:t xml:space="preserve">- und </w:t>
      </w:r>
      <w:r>
        <w:rPr>
          <w:rFonts w:ascii="Arial" w:hAnsi="Arial"/>
          <w:b w:val="0"/>
          <w:i/>
          <w:sz w:val="19"/>
        </w:rPr>
        <w:t>Anwendungs</w:t>
      </w:r>
      <w:r>
        <w:rPr>
          <w:rFonts w:ascii="Arial" w:hAnsi="Arial"/>
          <w:b w:val="0"/>
          <w:i w:val="0"/>
          <w:sz w:val="19"/>
        </w:rPr>
        <w:t xml:space="preserve">-Ebene der KI-Wertschöpfung ausdrücklich mit einer </w:t>
      </w:r>
      <w:r>
        <w:rPr>
          <w:rFonts w:ascii="Arial" w:hAnsi="Arial"/>
          <w:b w:val="0"/>
          <w:i/>
          <w:sz w:val="19"/>
        </w:rPr>
        <w:t>Arbeitsmarkt</w:t>
      </w:r>
      <w:r>
        <w:rPr>
          <w:rFonts w:ascii="Arial" w:hAnsi="Arial"/>
          <w:b w:val="0"/>
          <w:i w:val="0"/>
          <w:sz w:val="19"/>
        </w:rPr>
        <w:t xml:space="preserve">- und </w:t>
      </w:r>
      <w:r>
        <w:rPr>
          <w:rFonts w:ascii="Arial" w:hAnsi="Arial"/>
          <w:b w:val="0"/>
          <w:i/>
          <w:sz w:val="19"/>
        </w:rPr>
        <w:t>Sozialversicherungs</w:t>
      </w:r>
      <w:r>
        <w:rPr>
          <w:rFonts w:ascii="Arial" w:hAnsi="Arial"/>
          <w:b w:val="0"/>
          <w:i w:val="0"/>
          <w:sz w:val="19"/>
        </w:rPr>
        <w:t xml:space="preserve">-Infrastruktur koppelt und damit die im Papier vorgeschlagene wertschöpfungs­bezogene Zugriffsarchitektur institutionell an einen unmittelbar anschluss­fähigen europäischen Politikrahmen anschließt (Konjunktivpflicht nach § 4.2 Claude.md, da das </w:t>
      </w:r>
      <w:r>
        <w:rPr>
          <w:rFonts w:ascii="Arial" w:hAnsi="Arial"/>
          <w:b w:val="0"/>
          <w:i/>
          <w:sz w:val="19"/>
        </w:rPr>
        <w:t>Fair-Labour-Mobility-Package</w:t>
      </w:r>
      <w:r>
        <w:rPr>
          <w:rFonts w:ascii="Arial" w:hAnsi="Arial"/>
          <w:b w:val="0"/>
          <w:i w:val="0"/>
          <w:sz w:val="19"/>
        </w:rPr>
        <w:t xml:space="preserve"> zum Redaktionsschluss angekündigt, aber nicht als Legislativ­vorlage veröffentlicht ist).</w:t>
      </w:r>
    </w:p>
    <w:p>
      <w:pPr>
        <w:jc w:val="both"/>
      </w:pPr>
      <w:r>
        <w:rPr>
          <w:rFonts w:ascii="Arial" w:hAnsi="Arial"/>
          <w:b/>
          <w:i w:val="0"/>
          <w:sz w:val="19"/>
        </w:rPr>
        <w:t>Vierte Fortschreibung (Stand 28./29. August 2026, Warsh-Jackson-Hole-Keynote „In Our Time"):</w:t>
      </w:r>
      <w:r>
        <w:rPr>
          <w:rFonts w:ascii="Arial" w:hAnsi="Arial"/>
          <w:b w:val="0"/>
          <w:i w:val="0"/>
          <w:sz w:val="19"/>
        </w:rPr>
        <w:t xml:space="preserve"> Die im Vorlauf für den 28. August 2026 als Prüfstein zwischen disinflationärer KI-Produktivitätsthese und kurzfristig zinserhöhender Bondmarkt-Verwerfung markierte </w:t>
      </w:r>
      <w:r>
        <w:rPr>
          <w:rFonts w:ascii="Arial" w:hAnsi="Arial"/>
          <w:b w:val="0"/>
          <w:i/>
          <w:sz w:val="19"/>
        </w:rPr>
        <w:t>Kevin-Warsh</w:t>
      </w:r>
      <w:r>
        <w:rPr>
          <w:rFonts w:ascii="Arial" w:hAnsi="Arial"/>
          <w:b w:val="0"/>
          <w:i w:val="0"/>
          <w:sz w:val="19"/>
        </w:rPr>
        <w:t xml:space="preserve">-Keynote ist am 28. August 2026 unter dem Titel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gehalten worden (Primärquelle: </w:t>
      </w:r>
      <w:r>
        <w:rPr>
          <w:rFonts w:ascii="Arial" w:hAnsi="Arial"/>
          <w:b w:val="0"/>
          <w:i/>
          <w:sz w:val="19"/>
        </w:rPr>
        <w:t>Federal Reserve Board</w:t>
      </w:r>
      <w:r>
        <w:rPr>
          <w:rFonts w:ascii="Arial" w:hAnsi="Arial"/>
          <w:b w:val="0"/>
          <w:i w:val="0"/>
          <w:sz w:val="19"/>
        </w:rPr>
        <w:t xml:space="preserve">, Speech federalreserve.gov/newsevents/speech/warsh20260828a.htm). Warsh habe darin die Verdichtung der KI-Ökonomie explizit adressiert: die annualisierten Token-Umsätze der beiden führenden Labore auf mehr als 100 Milliarden US-Dollar bei einer Wachstumsrate von über 500 Prozent gegenüber dem Vorjahr beziffert, das Wachstum der Ausrüstungs- und Immaterialgüter­investitionen mit rund 9 Prozent als schnellstes Tempo seit 2021 benannt (mehr als die Hälfte davon KI-getrieben) und die Konzerngewinne mit mehr als 20 Prozent jährlichem Wachstum bei erhöhten Margen ausgewiesen (Konjunktivpflicht nach § 4.2 Claude.md, da die im Redetext genannten Größen makro­aggregiert sind und die vollständige Datenlage einer laufenden Sitzung der neu eingerichteten </w:t>
      </w:r>
      <w:r>
        <w:rPr>
          <w:rFonts w:ascii="Arial" w:hAnsi="Arial"/>
          <w:b w:val="0"/>
          <w:i/>
          <w:sz w:val="19"/>
        </w:rPr>
        <w:t>Federal Reserve</w:t>
      </w:r>
      <w:r>
        <w:rPr>
          <w:rFonts w:ascii="Arial" w:hAnsi="Arial"/>
          <w:b w:val="0"/>
          <w:i w:val="0"/>
          <w:sz w:val="19"/>
        </w:rPr>
        <w:t xml:space="preserve">-Task-Forces vorbehalten bleibt). Zwei geldpolitische Setzungen der Rede rahmen die im Vorlauf markierte Konstruktion (vii) </w:t>
      </w:r>
      <w:r>
        <w:rPr>
          <w:rFonts w:ascii="Arial" w:hAnsi="Arial"/>
          <w:b w:val="0"/>
          <w:i/>
          <w:sz w:val="19"/>
        </w:rPr>
        <w:t>makrofinanzielle Verdrängungswirkung</w:t>
      </w:r>
      <w:r>
        <w:rPr>
          <w:rFonts w:ascii="Arial" w:hAnsi="Arial"/>
          <w:b w:val="0"/>
          <w:i w:val="0"/>
          <w:sz w:val="19"/>
        </w:rPr>
        <w:t xml:space="preserve"> neu: Erstens habe Warsh eine Abkehr von der bisherigen </w:t>
      </w:r>
      <w:r>
        <w:rPr>
          <w:rFonts w:ascii="Arial" w:hAnsi="Arial"/>
          <w:b w:val="0"/>
          <w:i/>
          <w:sz w:val="19"/>
        </w:rPr>
        <w:t>forward-guidance</w:t>
      </w:r>
      <w:r>
        <w:rPr>
          <w:rFonts w:ascii="Arial" w:hAnsi="Arial"/>
          <w:b w:val="0"/>
          <w:i w:val="0"/>
          <w:sz w:val="19"/>
        </w:rPr>
        <w:t xml:space="preserve">-Praxis formuliert und </w:t>
      </w:r>
      <w:r>
        <w:rPr>
          <w:rFonts w:ascii="Arial" w:hAnsi="Arial"/>
          <w:b w:val="0"/>
          <w:i/>
          <w:sz w:val="19"/>
        </w:rPr>
        <w:t>„transparency in communications about future policy decisions is not a virtue unto itself"</w:t>
      </w:r>
      <w:r>
        <w:rPr>
          <w:rFonts w:ascii="Arial" w:hAnsi="Arial"/>
          <w:b w:val="0"/>
          <w:i w:val="0"/>
          <w:sz w:val="19"/>
        </w:rPr>
        <w:t xml:space="preserve"> mit einem </w:t>
      </w:r>
      <w:r>
        <w:rPr>
          <w:rFonts w:ascii="Arial" w:hAnsi="Arial"/>
          <w:b w:val="0"/>
          <w:i/>
          <w:sz w:val="19"/>
        </w:rPr>
        <w:t>hall-of-mirrors problem</w:t>
      </w:r>
      <w:r>
        <w:rPr>
          <w:rFonts w:ascii="Arial" w:hAnsi="Arial"/>
          <w:b w:val="0"/>
          <w:i w:val="0"/>
          <w:sz w:val="19"/>
        </w:rPr>
        <w:t xml:space="preserve"> zwischen Fed und Märkten begründet; zweitens habe er das Kernkriterium für einen Zinssenkungspfad — </w:t>
      </w:r>
      <w:r>
        <w:rPr>
          <w:rFonts w:ascii="Arial" w:hAnsi="Arial"/>
          <w:b w:val="0"/>
          <w:i/>
          <w:sz w:val="19"/>
        </w:rPr>
        <w:t>„we must be confident that underlying inflation is moving to our objective, clearly and at sufficient speed"</w:t>
      </w:r>
      <w:r>
        <w:rPr>
          <w:rFonts w:ascii="Arial" w:hAnsi="Arial"/>
          <w:b w:val="0"/>
          <w:i w:val="0"/>
          <w:sz w:val="19"/>
        </w:rPr>
        <w:t xml:space="preserve"> — an einen Breitenmesser für Preisdruck gebunden: 49 Prozent der PCE-Komponenten wiesen im Sechs-Monats-Fenster annualisierte Anstiege oberhalb von 3 Prozent auf. Fünf neu eingerichtete Task-Forces der </w:t>
      </w:r>
      <w:r>
        <w:rPr>
          <w:rFonts w:ascii="Arial" w:hAnsi="Arial"/>
          <w:b w:val="0"/>
          <w:i/>
          <w:sz w:val="19"/>
        </w:rPr>
        <w:t>Federal Reserve</w:t>
      </w:r>
      <w:r>
        <w:rPr>
          <w:rFonts w:ascii="Arial" w:hAnsi="Arial"/>
          <w:b w:val="0"/>
          <w:i w:val="0"/>
          <w:sz w:val="19"/>
        </w:rPr>
        <w:t xml:space="preserve"> — Kommunikation, Bilanzpolitik, Daten, Produktivität und Beschäftigung sowie Inflations­rahmenwerk — begleiteten die Neubestimmung geldpolitischer Verfahren (Sekundärrezeption: </w:t>
      </w:r>
      <w:r>
        <w:rPr>
          <w:rFonts w:ascii="Arial" w:hAnsi="Arial"/>
          <w:b w:val="0"/>
          <w:i/>
          <w:sz w:val="19"/>
        </w:rPr>
        <w:t>CNBC</w:t>
      </w:r>
      <w:r>
        <w:rPr>
          <w:rFonts w:ascii="Arial" w:hAnsi="Arial"/>
          <w:b w:val="0"/>
          <w:i w:val="0"/>
          <w:sz w:val="19"/>
        </w:rPr>
        <w:t xml:space="preserve"> 27./28. August 2026, </w:t>
      </w:r>
      <w:r>
        <w:rPr>
          <w:rFonts w:ascii="Arial" w:hAnsi="Arial"/>
          <w:b w:val="0"/>
          <w:i/>
          <w:sz w:val="19"/>
        </w:rPr>
        <w:t>„Fed Chairman Kevin Warsh delivers his key Jackson Hole speech Friday"</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Für die in § 8.2 entwickelte Rohstoff-Analogie ergänzt die Rede die Konstruktion (vii) um eine explizite geldpolitische Bestätigung: Die Compute-Finanzierungs­schicht sei auf Zentralbank-Ebene zum eigenständigen Beobachtungs­gegenstand geworden. Für die Deutschland-These (§ 8.3) folgt daraus eine weitere Verschiebung: Die im Vorlauf befürchtete Kollision zwischen langfristig-disinflationärer KI-Produktivitätswirkung und kurzfristig zinserhöhender KI-Capex-Bondmarkt-Verwerfung sei von Warsh nicht aufgelöst worden — die aggregierte Bond-Emission und die 20-%-Konzern­gewinn­dynamik erschienen im Redetext als </w:t>
      </w:r>
      <w:r>
        <w:rPr>
          <w:rFonts w:ascii="Arial" w:hAnsi="Arial"/>
          <w:b w:val="0"/>
          <w:i/>
          <w:sz w:val="19"/>
        </w:rPr>
        <w:t>unverdaute</w:t>
      </w:r>
      <w:r>
        <w:rPr>
          <w:rFonts w:ascii="Arial" w:hAnsi="Arial"/>
          <w:b w:val="0"/>
          <w:i w:val="0"/>
          <w:sz w:val="19"/>
        </w:rPr>
        <w:t xml:space="preserve"> Zusatzinformationen, deren monetärer Adressierungspfad Gegenstand der neu aufgesetzten Task-Forces bleibe. Für die stabileren wertschöpfungs­bezogenen Zugriffe der Deutschland-These (§ 8.3) und für die in § 8.4 skizzierte Systemstabilitäts-Dimension bestätigt der Vorgang die Robustheit einer wertschöpfungs- statt bestands­orientierten Anknüpfung, weil selbst die geldpolitische Führung der US-Notenbank die KI-Capex-Ökonomie derzeit nicht auf eine belastbare Bemessungs­grundlage abbilden könne — mit unmittelbarer Rückwirkung auf die in § 4.5 verortete Sanders-</w:t>
      </w:r>
      <w:r>
        <w:rPr>
          <w:rFonts w:ascii="Arial" w:hAnsi="Arial"/>
          <w:b w:val="0"/>
          <w:i/>
          <w:sz w:val="19"/>
        </w:rPr>
        <w:t>American-A.I.-Sovereign-Wealth-Fund-Act</w:t>
      </w:r>
      <w:r>
        <w:rPr>
          <w:rFonts w:ascii="Arial" w:hAnsi="Arial"/>
          <w:b w:val="0"/>
          <w:i w:val="0"/>
          <w:sz w:val="19"/>
        </w:rPr>
        <w:t>-Bestandslogik, deren fiskalische Volatilität durch die anhaltende Kopplung von KI-Capex-Bondmarkt und Zinskurve weiter verstärkt wird.</w:t>
      </w:r>
    </w:p>
    <w:p>
      <w:pPr>
        <w:jc w:val="both"/>
      </w:pPr>
      <w:r>
        <w:rPr>
          <w:rFonts w:ascii="Arial" w:hAnsi="Arial"/>
          <w:b/>
          <w:i w:val="0"/>
          <w:sz w:val="19"/>
        </w:rPr>
        <w:t>Fünfte Fortschreibung (Rhine-Group-Gründung 24. August 2026):</w:t>
      </w:r>
      <w:r>
        <w:rPr>
          <w:rFonts w:ascii="Arial" w:hAnsi="Arial"/>
          <w:b w:val="0"/>
          <w:i w:val="0"/>
          <w:sz w:val="19"/>
        </w:rPr>
        <w:t xml:space="preserve"> Wenige Tage vor der Rencontre-Rede und im gleichen europäischen Debattenkorridor tritt am 24. August 2026 nach der Berichterstattung von </w:t>
      </w:r>
      <w:r>
        <w:rPr>
          <w:rFonts w:ascii="Arial" w:hAnsi="Arial"/>
          <w:b w:val="0"/>
          <w:i/>
          <w:sz w:val="19"/>
        </w:rPr>
        <w:t>Il Sole 24 Ore</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und </w:t>
      </w:r>
      <w:r>
        <w:rPr>
          <w:rFonts w:ascii="Arial" w:hAnsi="Arial"/>
          <w:b w:val="0"/>
          <w:i/>
          <w:sz w:val="19"/>
        </w:rPr>
        <w:t>Dealroom.co</w:t>
      </w:r>
      <w:r>
        <w:rPr>
          <w:rFonts w:ascii="Arial" w:hAnsi="Arial"/>
          <w:b w:val="0"/>
          <w:i w:val="0"/>
          <w:sz w:val="19"/>
        </w:rPr>
        <w:t xml:space="preserve"> eine institutionelle Nachfolgeschicht des im Papier bereits verorteten </w:t>
      </w:r>
      <w:r>
        <w:rPr>
          <w:rFonts w:ascii="Arial" w:hAnsi="Arial"/>
          <w:b w:val="0"/>
          <w:i/>
          <w:sz w:val="19"/>
        </w:rPr>
        <w:t>Draghi-Berichts</w:t>
      </w:r>
      <w:r>
        <w:rPr>
          <w:rFonts w:ascii="Arial" w:hAnsi="Arial"/>
          <w:b w:val="0"/>
          <w:i w:val="0"/>
          <w:sz w:val="19"/>
        </w:rPr>
        <w:t xml:space="preserve"> über die europäische Wettbewerbsfähigkeit (2024) hinzu: die </w:t>
      </w:r>
      <w:r>
        <w:rPr>
          <w:rFonts w:ascii="Arial" w:hAnsi="Arial"/>
          <w:b w:val="0"/>
          <w:i/>
          <w:sz w:val="19"/>
        </w:rPr>
        <w:t>Rhine Group</w:t>
      </w:r>
      <w:r>
        <w:rPr>
          <w:rFonts w:ascii="Arial" w:hAnsi="Arial"/>
          <w:b w:val="0"/>
          <w:i w:val="0"/>
          <w:sz w:val="19"/>
        </w:rPr>
        <w:t xml:space="preserve">, ein neu gegründetes Konsortium aus rund fünfundfünfzig Ökonominnen und Ökonomen, Unternehmerinnen und Unternehmern, Wissenschaftlerinnen und Wissenschaftlern und ehemaligen Regierungsvertreterinnen und -vertretern unter Ko-Vorsitz von </w:t>
      </w:r>
      <w:r>
        <w:rPr>
          <w:rFonts w:ascii="Arial" w:hAnsi="Arial"/>
          <w:b w:val="0"/>
          <w:i/>
          <w:sz w:val="19"/>
        </w:rPr>
        <w:t>Mario Draghi</w:t>
      </w:r>
      <w:r>
        <w:rPr>
          <w:rFonts w:ascii="Arial" w:hAnsi="Arial"/>
          <w:b w:val="0"/>
          <w:i w:val="0"/>
          <w:sz w:val="19"/>
        </w:rPr>
        <w:t xml:space="preserve"> (ehemaliger EZB-Präsident, Autor des Berichts) und </w:t>
      </w:r>
      <w:r>
        <w:rPr>
          <w:rFonts w:ascii="Arial" w:hAnsi="Arial"/>
          <w:b w:val="0"/>
          <w:i/>
          <w:sz w:val="19"/>
        </w:rPr>
        <w:t>Patrick Collison</w:t>
      </w:r>
      <w:r>
        <w:rPr>
          <w:rFonts w:ascii="Arial" w:hAnsi="Arial"/>
          <w:b w:val="0"/>
          <w:i w:val="0"/>
          <w:sz w:val="19"/>
        </w:rPr>
        <w:t xml:space="preserve"> (Ko-Gründer und CEO von Stripe), mit </w:t>
      </w:r>
      <w:r>
        <w:rPr>
          <w:rFonts w:ascii="Arial" w:hAnsi="Arial"/>
          <w:b w:val="0"/>
          <w:i/>
          <w:sz w:val="19"/>
        </w:rPr>
        <w:t>Luis Garicano</w:t>
      </w:r>
      <w:r>
        <w:rPr>
          <w:rFonts w:ascii="Arial" w:hAnsi="Arial"/>
          <w:b w:val="0"/>
          <w:i w:val="0"/>
          <w:sz w:val="19"/>
        </w:rPr>
        <w:t xml:space="preserve"> (früherer Europaabgeordneter, spanischer Ökonom) als Exekutivdirektor. Nach der Selbstbeschreibung sei die Gruppe </w:t>
      </w:r>
      <w:r>
        <w:rPr>
          <w:rFonts w:ascii="Arial" w:hAnsi="Arial"/>
          <w:b w:val="0"/>
          <w:i/>
          <w:sz w:val="19"/>
        </w:rPr>
        <w:t>„a gathering of leaders from government, academia and business, built around the idea of turning evidence into action"</w:t>
      </w:r>
      <w:r>
        <w:rPr>
          <w:rFonts w:ascii="Arial" w:hAnsi="Arial"/>
          <w:b w:val="0"/>
          <w:i w:val="0"/>
          <w:sz w:val="19"/>
        </w:rPr>
        <w:t xml:space="preserve"> (Decode39 25. August 2026) und arbeite in </w:t>
      </w:r>
      <w:r>
        <w:rPr>
          <w:rFonts w:ascii="Arial" w:hAnsi="Arial"/>
          <w:b w:val="0"/>
          <w:i/>
          <w:sz w:val="19"/>
        </w:rPr>
        <w:t>Chatham-House-Rule</w:t>
      </w:r>
      <w:r>
        <w:rPr>
          <w:rFonts w:ascii="Arial" w:hAnsi="Arial"/>
          <w:b w:val="0"/>
          <w:i w:val="0"/>
          <w:sz w:val="19"/>
        </w:rPr>
        <w:t xml:space="preserve">-Format mit vorab verteilten Forschungspapieren an einer Übersetzung der rund einhundertsiebzig Empfehlungen des Draghi-Berichts in ein umsetzungsfähiges Reformprogramm; als Kern­diagnose führt sie an, dass nur vier der weltweit fünfzig größten Technologieunternehmen europäisch seien (Konjunktivpflicht nach § 4.2 Claude.md, da die Gruppe ausdrücklich als politik­beratende Struktur ohne eigene Legislativ­kompetenz auftritt). Die benannten Arbeitsschwerpunkte umfassen </w:t>
      </w:r>
      <w:r>
        <w:rPr>
          <w:rFonts w:ascii="Arial" w:hAnsi="Arial"/>
          <w:b w:val="0"/>
          <w:i/>
          <w:sz w:val="19"/>
        </w:rPr>
        <w:t>Künstliche Intelligenz</w:t>
      </w:r>
      <w:r>
        <w:rPr>
          <w:rFonts w:ascii="Arial" w:hAnsi="Arial"/>
          <w:b w:val="0"/>
          <w:i w:val="0"/>
          <w:sz w:val="19"/>
        </w:rPr>
        <w:t xml:space="preserve"> und andere aufstrebende Technologien, Digitalplattformen und wissenschaftliche Forschung, Energie, Industrie und Verteidigung, Kapitalmärkte und Produktivität sowie digitale Infrastruktur; zu den in der Berichterstattung genannten Gründungsmitgliedern zählen unter anderem </w:t>
      </w:r>
      <w:r>
        <w:rPr>
          <w:rFonts w:ascii="Arial" w:hAnsi="Arial"/>
          <w:b w:val="0"/>
          <w:i/>
          <w:sz w:val="19"/>
        </w:rPr>
        <w:t>Andrea Pignataro</w:t>
      </w:r>
      <w:r>
        <w:rPr>
          <w:rFonts w:ascii="Arial" w:hAnsi="Arial"/>
          <w:b w:val="0"/>
          <w:i w:val="0"/>
          <w:sz w:val="19"/>
        </w:rPr>
        <w:t xml:space="preserve"> (Gründer Ion Group), </w:t>
      </w:r>
      <w:r>
        <w:rPr>
          <w:rFonts w:ascii="Arial" w:hAnsi="Arial"/>
          <w:b w:val="0"/>
          <w:i/>
          <w:sz w:val="19"/>
        </w:rPr>
        <w:t>Lucrezia Reichlin</w:t>
      </w:r>
      <w:r>
        <w:rPr>
          <w:rFonts w:ascii="Arial" w:hAnsi="Arial"/>
          <w:b w:val="0"/>
          <w:i w:val="0"/>
          <w:sz w:val="19"/>
        </w:rPr>
        <w:t xml:space="preserve"> (London Business School), </w:t>
      </w:r>
      <w:r>
        <w:rPr>
          <w:rFonts w:ascii="Arial" w:hAnsi="Arial"/>
          <w:b w:val="0"/>
          <w:i/>
          <w:sz w:val="19"/>
        </w:rPr>
        <w:t>Francesco Giavazzi</w:t>
      </w:r>
      <w:r>
        <w:rPr>
          <w:rFonts w:ascii="Arial" w:hAnsi="Arial"/>
          <w:b w:val="0"/>
          <w:i w:val="0"/>
          <w:sz w:val="19"/>
        </w:rPr>
        <w:t xml:space="preserve"> und </w:t>
      </w:r>
      <w:r>
        <w:rPr>
          <w:rFonts w:ascii="Arial" w:hAnsi="Arial"/>
          <w:b w:val="0"/>
          <w:i/>
          <w:sz w:val="19"/>
        </w:rPr>
        <w:t>Francesco Decarolis</w:t>
      </w:r>
      <w:r>
        <w:rPr>
          <w:rFonts w:ascii="Arial" w:hAnsi="Arial"/>
          <w:b w:val="0"/>
          <w:i w:val="0"/>
          <w:sz w:val="19"/>
        </w:rPr>
        <w:t xml:space="preserve"> (Bocconi) sowie </w:t>
      </w:r>
      <w:r>
        <w:rPr>
          <w:rFonts w:ascii="Arial" w:hAnsi="Arial"/>
          <w:b w:val="0"/>
          <w:i/>
          <w:sz w:val="19"/>
        </w:rPr>
        <w:t>Vittorio Colao</w:t>
      </w:r>
      <w:r>
        <w:rPr>
          <w:rFonts w:ascii="Arial" w:hAnsi="Arial"/>
          <w:b w:val="0"/>
          <w:i w:val="0"/>
          <w:sz w:val="19"/>
        </w:rPr>
        <w:t xml:space="preserve"> (früherer Vodafone-CEO und italienischer Innovations­minister). Für die in § 8.2 entwickelte Veredelungsstrategie und für den in der </w:t>
      </w:r>
      <w:r>
        <w:rPr>
          <w:rFonts w:ascii="Arial" w:hAnsi="Arial"/>
          <w:b w:val="0"/>
          <w:i/>
          <w:sz w:val="19"/>
        </w:rPr>
        <w:t>Ersten Fortschreibung</w:t>
      </w:r>
      <w:r>
        <w:rPr>
          <w:rFonts w:ascii="Arial" w:hAnsi="Arial"/>
          <w:b w:val="0"/>
          <w:i w:val="0"/>
          <w:sz w:val="19"/>
        </w:rPr>
        <w:t xml:space="preserve"> rekonstruierten </w:t>
      </w:r>
      <w:r>
        <w:rPr>
          <w:rFonts w:ascii="Arial" w:hAnsi="Arial"/>
          <w:b w:val="0"/>
          <w:i/>
          <w:sz w:val="19"/>
        </w:rPr>
        <w:t>SPEECH/26/1765</w:t>
      </w:r>
      <w:r>
        <w:rPr>
          <w:rFonts w:ascii="Arial" w:hAnsi="Arial"/>
          <w:b w:val="0"/>
          <w:i w:val="0"/>
          <w:sz w:val="19"/>
        </w:rPr>
        <w:t>-Rahmen (LREF-Rede, EU-</w:t>
      </w:r>
      <w:r>
        <w:rPr>
          <w:rFonts w:ascii="Arial" w:hAnsi="Arial"/>
          <w:b w:val="0"/>
          <w:i/>
          <w:sz w:val="19"/>
        </w:rPr>
        <w:t>AI-Gigafactories</w:t>
      </w:r>
      <w:r>
        <w:rPr>
          <w:rFonts w:ascii="Arial" w:hAnsi="Arial"/>
          <w:b w:val="0"/>
          <w:i w:val="0"/>
          <w:sz w:val="19"/>
        </w:rPr>
        <w:t xml:space="preserve">, </w:t>
      </w:r>
      <w:r>
        <w:rPr>
          <w:rFonts w:ascii="Arial" w:hAnsi="Arial"/>
          <w:b w:val="0"/>
          <w:i/>
          <w:sz w:val="19"/>
        </w:rPr>
        <w:t>Fair-Labour-Mobility-Package</w:t>
      </w:r>
      <w:r>
        <w:rPr>
          <w:rFonts w:ascii="Arial" w:hAnsi="Arial"/>
          <w:b w:val="0"/>
          <w:i w:val="0"/>
          <w:sz w:val="19"/>
        </w:rPr>
        <w:t xml:space="preserve">) folgt daraus eine institutionelle Ergänzung in dreifacher Hinsicht. Erstens verlagert die Rhine Group die Verantwortung für die Umsetzung des Draghi-Berichts von einem einzelnen Autor und einer wechselnden Kommissionspräsidentschaft auf eine dauerhaftere multidisziplinäre Trägerstruktur, was die im Papier verortete europäische Anschluss­fähigkeit einer wertschöpfungs­bezogenen Zugriffsarchitektur an eine belastbarere Governance-Schicht bindet. Zweitens erweitert die transatlantische Ko-Vorsitzenden-Konfiguration Draghi/Collison den bislang stärker europäisch-institutionell rezipierten Draghi-Bericht um eine gezielt US-nahe Technologie-Unternehmens-Perspektive (Stripe, Ion Group, Vodafone-Erbe), ohne die von der Kommissionsseite in § 8.2 markierte </w:t>
      </w:r>
      <w:r>
        <w:rPr>
          <w:rFonts w:ascii="Arial" w:hAnsi="Arial"/>
          <w:b w:val="0"/>
          <w:i/>
          <w:sz w:val="19"/>
        </w:rPr>
        <w:t>„produzieren, investieren, schützen"</w:t>
      </w:r>
      <w:r>
        <w:rPr>
          <w:rFonts w:ascii="Arial" w:hAnsi="Arial"/>
          <w:b w:val="0"/>
          <w:i w:val="0"/>
          <w:sz w:val="19"/>
        </w:rPr>
        <w:t>-Formel aufzuweichen; für die in § 4.5 dokumentierte transatlantische Debattenkonstellation (Sanders-Fond, OpenAI-Papier, Casar-Konstruktion, Gates-</w:t>
      </w:r>
      <w:r>
        <w:rPr>
          <w:rFonts w:ascii="Arial" w:hAnsi="Arial"/>
          <w:b w:val="0"/>
          <w:i/>
          <w:sz w:val="19"/>
        </w:rPr>
        <w:t>Human-Reserved</w:t>
      </w:r>
      <w:r>
        <w:rPr>
          <w:rFonts w:ascii="Arial" w:hAnsi="Arial"/>
          <w:b w:val="0"/>
          <w:i w:val="0"/>
          <w:sz w:val="19"/>
        </w:rPr>
        <w:t xml:space="preserve">-Vorstoß) entsteht damit ein zusätzlicher europäisch-privater Referenzpunkt. Drittens rückt die von der Rhine Group angezeigte Kern­diagnose der Konzentration nur vier europäischer Unternehmen unter den fünfzig größten Tech-Konzernen die im Papier bereits verortete Frontier-Marktstruktur-Beobachtung (§ 8.2, Abschnitte zu Compute-Finanzierung und Frontier-Renten) auf eine institutionelle Umsetzungs­agenda und untermauert damit die im Papier vorgeschlagene </w:t>
      </w:r>
      <w:r>
        <w:rPr>
          <w:rFonts w:ascii="Arial" w:hAnsi="Arial"/>
          <w:b w:val="0"/>
          <w:i/>
          <w:sz w:val="19"/>
        </w:rPr>
        <w:t>Wertschöpfungs</w:t>
      </w:r>
      <w:r>
        <w:rPr>
          <w:rFonts w:ascii="Arial" w:hAnsi="Arial"/>
          <w:b w:val="0"/>
          <w:i w:val="0"/>
          <w:sz w:val="19"/>
        </w:rPr>
        <w:t>-statt-</w:t>
      </w:r>
      <w:r>
        <w:rPr>
          <w:rFonts w:ascii="Arial" w:hAnsi="Arial"/>
          <w:b w:val="0"/>
          <w:i/>
          <w:sz w:val="19"/>
        </w:rPr>
        <w:t>Bestands</w:t>
      </w:r>
      <w:r>
        <w:rPr>
          <w:rFonts w:ascii="Arial" w:hAnsi="Arial"/>
          <w:b w:val="0"/>
          <w:i w:val="0"/>
          <w:sz w:val="19"/>
        </w:rPr>
        <w:t>-Anknüpfung (§ 8.3, § 10.2) an einer belastbaren wettbewerbsökonomischen Ausgangslage. Ob und in welchem Zeithorizont die Rhine Group konkrete Reformvorschläge veröffentlicht, ist zum Redaktionsschluss offen; die Berichterstattung dokumentiert das Format (Chatham-House-Rule-Sitzungen mit vorab verteilten Forschungspapieren), nicht eine erste Publikationsagenda.</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jc w:val="both"/>
      </w:pPr>
      <w:r>
        <w:rPr>
          <w:rFonts w:ascii="Arial" w:hAnsi="Arial"/>
          <w:b/>
          <w:i w:val="0"/>
          <w:sz w:val="19"/>
        </w:rPr>
        <w:t>Anthropic-S-1-Filing und der „AI-Backlash" als eigener Risikofaktor (21./22. August 2026):</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(Ashley Capoot, 21. August 2026, </w:t>
      </w:r>
      <w:r>
        <w:rPr>
          <w:rFonts w:ascii="Arial" w:hAnsi="Arial"/>
          <w:b w:val="0"/>
          <w:i/>
          <w:sz w:val="19"/>
        </w:rPr>
        <w:t>„Anthropic IPO filing will show AI backlash as a risk factor, sources say"</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und </w:t>
      </w:r>
      <w:r>
        <w:rPr>
          <w:rFonts w:ascii="Arial" w:hAnsi="Arial"/>
          <w:b w:val="0"/>
          <w:i/>
          <w:sz w:val="19"/>
        </w:rPr>
        <w:t>Value Add Pulse</w:t>
      </w:r>
      <w:r>
        <w:rPr>
          <w:rFonts w:ascii="Arial" w:hAnsi="Arial"/>
          <w:b w:val="0"/>
          <w:i w:val="0"/>
          <w:sz w:val="19"/>
        </w:rPr>
        <w:t xml:space="preserve"> nehme </w:t>
      </w:r>
      <w:r>
        <w:rPr>
          <w:rFonts w:ascii="Arial" w:hAnsi="Arial"/>
          <w:b w:val="0"/>
          <w:i/>
          <w:sz w:val="19"/>
        </w:rPr>
        <w:t>Anthropic PBC</w:t>
      </w:r>
      <w:r>
        <w:rPr>
          <w:rFonts w:ascii="Arial" w:hAnsi="Arial"/>
          <w:b w:val="0"/>
          <w:i w:val="0"/>
          <w:sz w:val="19"/>
        </w:rPr>
        <w:t xml:space="preserve"> in der derzeit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IPO-Registrierung den öffentlichen gesellschaftlichen Widerstand gegen KI erstmals als eigenständige Kategorie unter den </w:t>
      </w:r>
      <w:r>
        <w:rPr>
          <w:rFonts w:ascii="Arial" w:hAnsi="Arial"/>
          <w:b w:val="0"/>
          <w:i/>
          <w:sz w:val="19"/>
        </w:rPr>
        <w:t>Risk Factors</w:t>
      </w:r>
      <w:r>
        <w:rPr>
          <w:rFonts w:ascii="Arial" w:hAnsi="Arial"/>
          <w:b w:val="0"/>
          <w:i w:val="0"/>
          <w:sz w:val="19"/>
        </w:rPr>
        <w:t xml:space="preserve"> auf (Konjunktivpflicht nach § 4.2 Claude.md, da der volle Prospekttext bis zum Redaktionsschluss nicht öffentlich ist). Drei Konturen der aufgenommenen Risikobeschreibung nennt die Berichterstattung: politische Kampagnen gegen KI im laufenden US-Wahlzyklus, Proteste an Rechenzentrums­standorten — im </w:t>
      </w:r>
      <w:r>
        <w:rPr>
          <w:rFonts w:ascii="Arial" w:hAnsi="Arial"/>
          <w:b w:val="0"/>
          <w:i/>
          <w:sz w:val="19"/>
        </w:rPr>
        <w:t>CNBC</w:t>
      </w:r>
      <w:r>
        <w:rPr>
          <w:rFonts w:ascii="Arial" w:hAnsi="Arial"/>
          <w:b w:val="0"/>
          <w:i w:val="0"/>
          <w:sz w:val="19"/>
        </w:rPr>
        <w:t xml:space="preserve">-Beitrag mit Verweis auf eine </w:t>
      </w:r>
      <w:r>
        <w:rPr>
          <w:rFonts w:ascii="Arial" w:hAnsi="Arial"/>
          <w:b w:val="0"/>
          <w:i/>
          <w:sz w:val="19"/>
        </w:rPr>
        <w:t>Gallup</w:t>
      </w:r>
      <w:r>
        <w:rPr>
          <w:rFonts w:ascii="Arial" w:hAnsi="Arial"/>
          <w:b w:val="0"/>
          <w:i w:val="0"/>
          <w:sz w:val="19"/>
        </w:rPr>
        <w:t xml:space="preserve">-Erhebung vom Mai 2026, in der rund sieben von zehn US-Amerikanerinnen und -Amerikanern den Bau neuer KI-Rechenzentren in ihrer Umgebung ablehnten (davon rund die Hälfte in </w:t>
      </w:r>
      <w:r>
        <w:rPr>
          <w:rFonts w:ascii="Arial" w:hAnsi="Arial"/>
          <w:b w:val="0"/>
          <w:i/>
          <w:sz w:val="19"/>
        </w:rPr>
        <w:t>starker</w:t>
      </w:r>
      <w:r>
        <w:rPr>
          <w:rFonts w:ascii="Arial" w:hAnsi="Arial"/>
          <w:b w:val="0"/>
          <w:i w:val="0"/>
          <w:sz w:val="19"/>
        </w:rPr>
        <w:t xml:space="preserve"> Ablehnung) — sowie einzelne gewaltförmige Vorfälle gegen KI-Führungspersonal. Der Chief Financial Officer </w:t>
      </w:r>
      <w:r>
        <w:rPr>
          <w:rFonts w:ascii="Arial" w:hAnsi="Arial"/>
          <w:b w:val="0"/>
          <w:i/>
          <w:sz w:val="19"/>
        </w:rPr>
        <w:t>Krishna Rao</w:t>
      </w:r>
      <w:r>
        <w:rPr>
          <w:rFonts w:ascii="Arial" w:hAnsi="Arial"/>
          <w:b w:val="0"/>
          <w:i w:val="0"/>
          <w:sz w:val="19"/>
        </w:rPr>
        <w:t xml:space="preserve"> stelle sich in vorbereitenden Investorengesprächen konkret Fragen zu Wettbewerbs- und Margendruck durch Open-Weight-Modelle und zu einer möglichen Verlangsamung des Rechen­zentrums­ausbaus; die im Papier bereits verzeichnete Zielbewertung (§ 8.2, Bloomberg 17. August 2026, rund 2 Billionen US-Dollar) rücke damit an eine ausdrücklich formulierte Legitimationsbedingung: den gesellschaftlichen Konsens für den weiteren KI-Ausbau. Für die in § 8.3 formulierte Teilhabearchitektur verdichten sich zwei Rückwirkungen. Erstens bestätigt die Aufnahme des </w:t>
      </w:r>
      <w:r>
        <w:rPr>
          <w:rFonts w:ascii="Arial" w:hAnsi="Arial"/>
          <w:b w:val="0"/>
          <w:i/>
          <w:sz w:val="19"/>
        </w:rPr>
        <w:t>AI-Backlash</w:t>
      </w:r>
      <w:r>
        <w:rPr>
          <w:rFonts w:ascii="Arial" w:hAnsi="Arial"/>
          <w:b w:val="0"/>
          <w:i w:val="0"/>
          <w:sz w:val="19"/>
        </w:rPr>
        <w:t xml:space="preserve"> als </w:t>
      </w:r>
      <w:r>
        <w:rPr>
          <w:rFonts w:ascii="Arial" w:hAnsi="Arial"/>
          <w:b w:val="0"/>
          <w:i/>
          <w:sz w:val="19"/>
        </w:rPr>
        <w:t>standalone risk factor</w:t>
      </w:r>
      <w:r>
        <w:rPr>
          <w:rFonts w:ascii="Arial" w:hAnsi="Arial"/>
          <w:b w:val="0"/>
          <w:i w:val="0"/>
          <w:sz w:val="19"/>
        </w:rPr>
        <w:t xml:space="preserve"> — nach </w:t>
      </w:r>
      <w:r>
        <w:rPr>
          <w:rFonts w:ascii="Arial" w:hAnsi="Arial"/>
          <w:b w:val="0"/>
          <w:i/>
          <w:sz w:val="19"/>
        </w:rPr>
        <w:t>Gizmodo</w:t>
      </w:r>
      <w:r>
        <w:rPr>
          <w:rFonts w:ascii="Arial" w:hAnsi="Arial"/>
          <w:b w:val="0"/>
          <w:i w:val="0"/>
          <w:sz w:val="19"/>
        </w:rPr>
        <w:t>-Einordnung erstmals bei einem Frontier-KI-Anbieter dieser Größenordnung — den in § 8.4 skizzierten Zusammenhang zwischen KI-induzierter Transformationsgeschwindigkeit und politischer Systemstabilität auf einer Kapitalmarkt-Ebene: Die politisch-gesellschaftliche Legitimation des KI-Ausbaus werde zu einer bilanzierten Größe der Investorenkommunikation. Zweitens stützt der Vorgang die gegenüber der Sanders-Bestandslogik (</w:t>
      </w:r>
      <w:r>
        <w:rPr>
          <w:rFonts w:ascii="Arial" w:hAnsi="Arial"/>
          <w:b w:val="0"/>
          <w:i/>
          <w:sz w:val="19"/>
        </w:rPr>
        <w:t>American-A.I.-Sovereign-Wealth-Fund-Act</w:t>
      </w:r>
      <w:r>
        <w:rPr>
          <w:rFonts w:ascii="Arial" w:hAnsi="Arial"/>
          <w:b w:val="0"/>
          <w:i w:val="0"/>
          <w:sz w:val="19"/>
        </w:rPr>
        <w:t xml:space="preserve">, § 4.5) in § 8.3 formulierte Präferenz für eine wertschöpfungs­bezogene statt marktkapitalisierungs­bezogene Zugriffslogik zusätzlich: Sobald der Risikofaktor </w:t>
      </w:r>
      <w:r>
        <w:rPr>
          <w:rFonts w:ascii="Arial" w:hAnsi="Arial"/>
          <w:b w:val="0"/>
          <w:i/>
          <w:sz w:val="19"/>
        </w:rPr>
        <w:t>AI-Backlash</w:t>
      </w:r>
      <w:r>
        <w:rPr>
          <w:rFonts w:ascii="Arial" w:hAnsi="Arial"/>
          <w:b w:val="0"/>
          <w:i w:val="0"/>
          <w:sz w:val="19"/>
        </w:rPr>
        <w:t xml:space="preserve"> — mit Regulierungs­restriktionen, Reputations­schäden und protest­bedingten Standort­verlusten — in die Bewertungslogik einer Anthropic-IPO eingehe, werde die Marktkapitalisierung einzelner Frontier-Anbieter zu einer erneut fragileren Bemessungs­grundlage, während die in § 8.3 vorgeschlagene inländische Wertschöpfungs­abschöpfung von diesen Volatilitäten strukturell entkoppelt bleibe. Für die Deutschland-These ergibt sich damit eine parallele empirische Bestätigung durch zwei Beobachter aus der US-Frontier-Ökonomie selbst: Die geldpolitische Ebene (Warsh, § 8.2, vierte Fortschreibung) und die Kapitalmarkt-Ebene (Anthropic-S-1, hier) weisen jeweils darauf hin, dass die Bemessungs­grundlage einer bestands­orientierten Umverteilungslogik im Frontier-Segment strukturell fragil bleibt, während eine wertschöpfungs­bezogene Anknüpfung im inländischen Anwendungs­raum (§ 8.3) an Robustheit gewinnt.</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jc w:val="both"/>
      </w:pPr>
      <w:r>
        <w:rPr>
          <w:rFonts w:ascii="Arial" w:hAnsi="Arial"/>
          <w:b w:val="0"/>
          <w:i w:val="0"/>
          <w:sz w:val="19"/>
        </w:rPr>
        <w:t xml:space="preserve">Ruffert, A. (12. August 2026). </w:t>
      </w:r>
      <w:r>
        <w:rPr>
          <w:rFonts w:ascii="Arial" w:hAnsi="Arial"/>
          <w:b w:val="0"/>
          <w:i/>
          <w:sz w:val="19"/>
        </w:rPr>
        <w:t>Unternehmen erwarten eher sinkende Löhne durch Einsatz von Künstlicher Intelligenz.</w:t>
      </w:r>
      <w:r>
        <w:rPr>
          <w:rFonts w:ascii="Arial" w:hAnsi="Arial"/>
          <w:b w:val="0"/>
          <w:i w:val="0"/>
          <w:sz w:val="19"/>
        </w:rPr>
        <w:t xml:space="preserve"> ifo Konjunkturperspektiven 07/2026, ifo Institut, München. Auswertung der </w:t>
      </w:r>
      <w:r>
        <w:rPr>
          <w:rFonts w:ascii="Arial" w:hAnsi="Arial"/>
          <w:b w:val="0"/>
          <w:i/>
          <w:sz w:val="19"/>
        </w:rPr>
        <w:t>ifo</w:t>
      </w:r>
      <w:r>
        <w:rPr>
          <w:rFonts w:ascii="Arial" w:hAnsi="Arial"/>
          <w:b w:val="0"/>
          <w:i w:val="0"/>
          <w:sz w:val="19"/>
        </w:rPr>
        <w:t>-Konjunkturumfrage vom Juni 2026 mit rund 3.000 KI-nutzenden deutschen Unternehmen: rund 50 % erwarten für Berufseinsteigerinnen und -einsteiger und rund 40 % auch für erfahrene Beschäftigte sinkende Löhne über einen Fünfjahres­horizont; im Detail 48,3 % (nicht-akademisch) beziehungsweise 50,8 % (akademisch) Lohnkompression für Junior-Beschäftigte mit weniger als fünf Jahren Berufserfahrung; nur 5,9 % (nicht-akademisch) beziehungsweise 16,3 % (akademisch) Lohn­zuwachs für dieselbe Gruppe; 26 % Lohn­zuwachs für Beschäftigte mit Hochschulabschluss und längerer Berufserfahrung; sektorale Spreizung Dienstleistungen 53,3 % / 44,2 % (Junior / Senior nicht-akademisch), Handel 47,9 % / 41,3 %, verarbeitendes Gewerbe 46,5 % / 38,9 %, Bauwesen 39 % / 31,3 %. https://www.ifo.de/fakten/2026-08-12/unternehmen-erwarten-eher-sinkende-loehne-durch-einsatz-von-kuenstlicher</w:t>
      </w:r>
    </w:p>
    <w:p>
      <w:pPr>
        <w:jc w:val="both"/>
      </w:pPr>
      <w:r>
        <w:rPr>
          <w:rFonts w:ascii="Arial" w:hAnsi="Arial"/>
          <w:b w:val="0"/>
          <w:i w:val="0"/>
          <w:sz w:val="19"/>
        </w:rPr>
        <w:t xml:space="preserve">Ding, Y., Ma, M. (S.), Wu, J., &amp; Yang, Y. (26. April 2026). </w:t>
      </w:r>
      <w:r>
        <w:rPr>
          <w:rFonts w:ascii="Arial" w:hAnsi="Arial"/>
          <w:b w:val="0"/>
          <w:i/>
          <w:sz w:val="19"/>
        </w:rPr>
        <w:t>Tracking Artificial Intelligence Sentiment in the U.S. Labor Market.</w:t>
      </w:r>
      <w:r>
        <w:rPr>
          <w:rFonts w:ascii="Arial" w:hAnsi="Arial"/>
          <w:b w:val="0"/>
          <w:i w:val="0"/>
          <w:sz w:val="19"/>
        </w:rPr>
        <w:t xml:space="preserve"> SSRN Working Paper 6652799, Katz Graduate School of Business, University of Pittsburgh. Multi-Datenquellen-Studie (Glassdoor-Employee-Reviews, Earnings-Call-Disclosures, LinkedIn-Karriereprofile, firm-level Job-Postings) über rund 3.200 US-Firmen zwischen 2021 und 2025 mit sechs Analysedimensionen (AI-Talent-Share, Hiring, Retention, Salary Premium, Employee- und Executive-Sentiment): Employee-KI-Sentiment signifikant negativer als generelles Employee-Sentiment; starke positive Assoziation zwischen Employee-KI-Sentiment und firm-produktivität; Management-KI-Sentiment systematisch optimistischer, erklärt Produktivitätsvariation nicht; KI-attribuierte Layoffs beschädigen Employee-KI-Sentiment nachhaltig; Firmen mit höherem AI-Talent-Share weisen höhere Gesamt-Fluktuation, niedrigere Einstellungs­raten und langsameres Beschäftigungs­wachstum auf; signifikanter und zunehmender Wage-Premium sowie stärkere Aufwärtsmobilität für AI-skilled Employees. https://dx.doi.org/10.2139/ssrn.6652799</w:t>
      </w:r>
    </w:p>
    <w:p>
      <w:pPr>
        <w:jc w:val="both"/>
      </w:pPr>
      <w:r>
        <w:rPr>
          <w:rFonts w:ascii="Arial" w:hAnsi="Arial"/>
          <w:b w:val="0"/>
          <w:i w:val="0"/>
          <w:sz w:val="19"/>
        </w:rPr>
        <w:t xml:space="preserve">Goldman Sachs / Briggs, J., Hatzius, J. et al. (19. August 2026). </w:t>
      </w:r>
      <w:r>
        <w:rPr>
          <w:rFonts w:ascii="Arial" w:hAnsi="Arial"/>
          <w:b w:val="0"/>
          <w:i/>
          <w:sz w:val="19"/>
        </w:rPr>
        <w:t>Global Economics Comment: Is AI Impacting Global Labor Markets?</w:t>
      </w:r>
      <w:r>
        <w:rPr>
          <w:rFonts w:ascii="Arial" w:hAnsi="Arial"/>
          <w:b w:val="0"/>
          <w:i w:val="0"/>
          <w:sz w:val="19"/>
        </w:rPr>
        <w:t xml:space="preserve"> Goldman Sachs Global Investment Research, Global Economics Comment. Sell-Side-Auswertung von mehr als 800 Berufen in mehreren Industrieländern (Frankreich, Kanada, Vereinigte Staaten, Australien, Deutschland u. a.) auf Basis von </w:t>
      </w:r>
      <w:r>
        <w:rPr>
          <w:rFonts w:ascii="Arial" w:hAnsi="Arial"/>
          <w:b w:val="0"/>
          <w:i/>
          <w:sz w:val="19"/>
        </w:rPr>
        <w:t>ONET-</w:t>
      </w:r>
      <w:r>
        <w:rPr>
          <w:rFonts w:ascii="Arial" w:hAnsi="Arial"/>
          <w:b w:val="0"/>
          <w:i w:val="0"/>
          <w:sz w:val="19"/>
        </w:rPr>
        <w:t xml:space="preserve">/BLS-Expositions­metriken und laufenden Stellen­wachstums­daten seit dem zweiten Halbjahr 2022; Kernbefunde: Ein Anstieg der berufs­spezifischen KI-Exposition um 10 Prozentpunkte reduziert das jährliche Beschäftigungs­wachstum im breiten Arbeitsmarkt um rund 0,1 Prozentpunkte, für Berufseinsteigerinnen und -einsteiger jedoch um mehr als das Dreifache (Australien über 0,6 Prozentpunkte, Vereinigte Staaten über 0,2 Prozentpunkte); sektorspezifische Beschäftigungslücken zum historischen Trend im Call-Center-Segment rund 39 % (USA), 33 % (Kanada), 27 % (Deutschland); weitere Untertrend-Ausschläge in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Goldman ordnet den Aggregat-Effekt weiterhin als „limited to a narrow set of industries and workers" ein. Rezeption u. a. durch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(Bashir), </w:t>
      </w:r>
      <w:r>
        <w:rPr>
          <w:rFonts w:ascii="Arial" w:hAnsi="Arial"/>
          <w:b w:val="0"/>
          <w:i/>
          <w:sz w:val="19"/>
        </w:rPr>
        <w:t>PYMNTS</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(19./20. August 2026). https://www.cnbc.com/2026/08/19/goldman-ai-impact-employment-jobs.html | https://finance.yahoo.com/technology/ai/articles/goldman-sachs-report-shows-entry-090559386.html | https://www.pymnts.com/economy/2026/goldman-finds-entry-level-workers-more-vulnerable-to-ai-displacement/ | https://www.ibtimes.co.uk/ai-impact-entry-level-jobs-global-perspective-1815180</w:t>
      </w:r>
    </w:p>
    <w:p>
      <w:pPr>
        <w:jc w:val="both"/>
      </w:pPr>
      <w:r>
        <w:rPr>
          <w:rFonts w:ascii="Arial" w:hAnsi="Arial"/>
          <w:b w:val="0"/>
          <w:i w:val="0"/>
          <w:sz w:val="19"/>
        </w:rPr>
        <w:t xml:space="preserve">Bank of Korea / Oh, S. (18. August 2026). </w:t>
      </w:r>
      <w:r>
        <w:rPr>
          <w:rFonts w:ascii="Arial" w:hAnsi="Arial"/>
          <w:b w:val="0"/>
          <w:i/>
          <w:sz w:val="19"/>
        </w:rPr>
        <w:t>AI-exposed sectors see sharp drop in youth employment: BOK report.</w:t>
      </w:r>
      <w:r>
        <w:rPr>
          <w:rFonts w:ascii="Arial" w:hAnsi="Arial"/>
          <w:b w:val="0"/>
          <w:i w:val="0"/>
          <w:sz w:val="19"/>
        </w:rPr>
        <w:t xml:space="preserve"> Bank of Korea Research Department. Kohortenanalyse der Beschäftigungsentwicklung der 15- bis 29-Jährigen zwischen Juni 2022 (ChatGPT-Startpunkt als Baseline) und Juni 2026: rund 285.000 Netto-Arbeitsplatzverluste in dieser Kohorte, davon rund 268.000 (etwa 94 %) in KI-exponierten Sektoren; im selben Zeitraum Netto-Zugewinn von rund 230.000 Arbeitsplätzen bei Beschäftigten über 50 Jahren, davon rund 173.000 in KI-nahen Branchen. Sektorspezifische Jugend­beschäftigungsrückgänge: </w:t>
      </w:r>
      <w:r>
        <w:rPr>
          <w:rFonts w:ascii="Arial" w:hAnsi="Arial"/>
          <w:b w:val="0"/>
          <w:i/>
          <w:sz w:val="19"/>
        </w:rPr>
        <w:t>Informations­dienstleistungen</w:t>
      </w:r>
      <w:r>
        <w:rPr>
          <w:rFonts w:ascii="Arial" w:hAnsi="Arial"/>
          <w:b w:val="0"/>
          <w:i w:val="0"/>
          <w:sz w:val="19"/>
        </w:rPr>
        <w:t xml:space="preserve"> rund 31,4 %, </w:t>
      </w:r>
      <w:r>
        <w:rPr>
          <w:rFonts w:ascii="Arial" w:hAnsi="Arial"/>
          <w:b w:val="0"/>
          <w:i/>
          <w:sz w:val="19"/>
        </w:rPr>
        <w:t>Verlagswesen</w:t>
      </w:r>
      <w:r>
        <w:rPr>
          <w:rFonts w:ascii="Arial" w:hAnsi="Arial"/>
          <w:b w:val="0"/>
          <w:i w:val="0"/>
          <w:sz w:val="19"/>
        </w:rPr>
        <w:t xml:space="preserve"> rund 27,4 %, </w:t>
      </w:r>
      <w:r>
        <w:rPr>
          <w:rFonts w:ascii="Arial" w:hAnsi="Arial"/>
          <w:b w:val="0"/>
          <w:i/>
          <w:sz w:val="19"/>
        </w:rPr>
        <w:t>Computer­programmierung</w:t>
      </w:r>
      <w:r>
        <w:rPr>
          <w:rFonts w:ascii="Arial" w:hAnsi="Arial"/>
          <w:b w:val="0"/>
          <w:i w:val="0"/>
          <w:sz w:val="19"/>
        </w:rPr>
        <w:t xml:space="preserve"> rund 16,6 %, </w:t>
      </w:r>
      <w:r>
        <w:rPr>
          <w:rFonts w:ascii="Arial" w:hAnsi="Arial"/>
          <w:b w:val="0"/>
          <w:i/>
          <w:sz w:val="19"/>
        </w:rPr>
        <w:t>professionelle Dienstleistungen</w:t>
      </w:r>
      <w:r>
        <w:rPr>
          <w:rFonts w:ascii="Arial" w:hAnsi="Arial"/>
          <w:b w:val="0"/>
          <w:i w:val="0"/>
          <w:sz w:val="19"/>
        </w:rPr>
        <w:t xml:space="preserve"> rund 11,6 %. Zusätzliche Beobachtung zur Arbeitslosen­quote nach Bildungsniveau: Hochschulabsolventinnen und -absolventen von 8,2 % (2019–2022) auf 7,0 %, mittlere Abschlüsse von 8,0 % auf 5,4 % (Ausweitung der Bildungsprämien-Differenz um rund 1,6 Prozentpunkte). Publikation durch </w:t>
      </w:r>
      <w:r>
        <w:rPr>
          <w:rFonts w:ascii="Arial" w:hAnsi="Arial"/>
          <w:b w:val="0"/>
          <w:i/>
          <w:sz w:val="19"/>
        </w:rPr>
        <w:t>The Korea Times</w:t>
      </w:r>
      <w:r>
        <w:rPr>
          <w:rFonts w:ascii="Arial" w:hAnsi="Arial"/>
          <w:b w:val="0"/>
          <w:i w:val="0"/>
          <w:sz w:val="19"/>
        </w:rPr>
        <w:t xml:space="preserve">, IANS, Xinhua, </w:t>
      </w:r>
      <w:r>
        <w:rPr>
          <w:rFonts w:ascii="Arial" w:hAnsi="Arial"/>
          <w:b w:val="0"/>
          <w:i/>
          <w:sz w:val="19"/>
        </w:rPr>
        <w:t>TechTimes</w:t>
      </w:r>
      <w:r>
        <w:rPr>
          <w:rFonts w:ascii="Arial" w:hAnsi="Arial"/>
          <w:b w:val="0"/>
          <w:i w:val="0"/>
          <w:sz w:val="19"/>
        </w:rPr>
        <w:t xml:space="preserve"> (18. August 2026). Aufnahme in § 3.5 und § 6.1 als südkoreanischer Referenzpunkt zur Kohorten-Dimension der KI-Wirkung; Rückwirkung auf § 8.3 (Teilhabefrage) und § 8.4 (Systemstabilität). https://www.koreatimes.co.kr/southkorea/society/20260818/ai-exposed-sectors-see-sharp-drop-in-youth-employment-bok-report | https://english.news.cn/20260818/330e2bfb97824b4fbeb026e89e4ab02f/c.html | https://ianslive.in/ai-exposed-sectors-see-sharp-drop-in-youth-employment-bok--20260818090001</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jc w:val="both"/>
      </w:pPr>
      <w:r>
        <w:rPr>
          <w:rFonts w:ascii="Arial" w:hAnsi="Arial"/>
          <w:b w:val="0"/>
          <w:i w:val="0"/>
          <w:sz w:val="19"/>
        </w:rPr>
        <w:t xml:space="preserve">Cooley LLP. (3. August 2026). </w:t>
      </w:r>
      <w:r>
        <w:rPr>
          <w:rFonts w:ascii="Arial" w:hAnsi="Arial"/>
          <w:b w:val="0"/>
          <w:i/>
          <w:sz w:val="19"/>
        </w:rPr>
        <w:t>EU AI Act: Transparency Obligations Take Effect 2 August 2026.</w:t>
      </w:r>
      <w:r>
        <w:rPr>
          <w:rFonts w:ascii="Arial" w:hAnsi="Arial"/>
          <w:b w:val="0"/>
          <w:i w:val="0"/>
          <w:sz w:val="19"/>
        </w:rPr>
        <w:t xml:space="preserve"> Praktikerauswertung zur Aktivierung der AI-Act-Transparenzpflichten (Art. 50: Chatbot-Erkennbarkeit, maschinenlesbare Kennzeichnung generativer Ausgaben, Deepfake-Kennzeichnung, biometrische Transparenz), zum Sanktionsrahmen (Art. 101 AI Act: Bußgelder bis 15 Millionen Euro oder 3 % des weltweiten Jahresumsatzes nach Höchstbetrag) und zur begrenzten Übergangsfrist bis 2. Dezember 2026 für Marking- und Detection-Anforderungen an bereits eingesetzte generative Systeme. Aufnahme in § 4.4 als Präzisierungsbeleg zur Aktivierung des Durchsetzungsregimes. https://www.cooley.com/news/insight/2026/2026-08-03-eu-ai-act-transparency-obligations-take-effect-2-august-2026</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Gates, B. (26. August 2026). </w:t>
      </w:r>
      <w:r>
        <w:rPr>
          <w:rFonts w:ascii="Arial" w:hAnsi="Arial"/>
          <w:b w:val="0"/>
          <w:i/>
          <w:sz w:val="19"/>
        </w:rPr>
        <w:t>Make AI Work for Everyone: A Turbulent AI Era and Critical Choices to Make.</w:t>
      </w:r>
      <w:r>
        <w:rPr>
          <w:rFonts w:ascii="Arial" w:hAnsi="Arial"/>
          <w:b w:val="0"/>
          <w:i w:val="0"/>
          <w:sz w:val="19"/>
        </w:rPr>
        <w:t xml:space="preserve"> GatesNotes-Aufsatz (rund 6.000 Wörter). Drei Politikvorschläge: (i) Aufbau neuer nationaler und internationaler Institutionen zur Steuerung des KI-Übergangs, (ii) Prinzip </w:t>
      </w:r>
      <w:r>
        <w:rPr>
          <w:rFonts w:ascii="Arial" w:hAnsi="Arial"/>
          <w:b w:val="0"/>
          <w:i/>
          <w:sz w:val="19"/>
        </w:rPr>
        <w:t>„Human Reserved"</w:t>
      </w:r>
      <w:r>
        <w:rPr>
          <w:rFonts w:ascii="Arial" w:hAnsi="Arial"/>
          <w:b w:val="0"/>
          <w:i w:val="0"/>
          <w:sz w:val="19"/>
        </w:rPr>
        <w:t xml:space="preserve"> (Zielanteil bis 40 % der Arbeit für Menschen, Instrumente verkürzte Arbeitszeit und früherer Renteneintritt; Beispielfelder Kinderbetreuung, Schöffendienst, teilweise Bildung und Gesundheit), (iii) Umkehr der steuerlichen Anreize durch eine Abgabe auf Roboter und KI-Token (Aufkommen in Umschulung und soziale Sicherung). Rezeption durch </w:t>
      </w:r>
      <w:r>
        <w:rPr>
          <w:rFonts w:ascii="Arial" w:hAnsi="Arial"/>
          <w:b w:val="0"/>
          <w:i/>
          <w:sz w:val="19"/>
        </w:rPr>
        <w:t>Bloomberg</w:t>
      </w:r>
      <w:r>
        <w:rPr>
          <w:rFonts w:ascii="Arial" w:hAnsi="Arial"/>
          <w:b w:val="0"/>
          <w:i w:val="0"/>
          <w:sz w:val="19"/>
        </w:rPr>
        <w:t xml:space="preserve"> („Five Takeaways From Bill Gates' Essay on AI's Potential Risks", 26. August 2026), </w:t>
      </w:r>
      <w:r>
        <w:rPr>
          <w:rFonts w:ascii="Arial" w:hAnsi="Arial"/>
          <w:b w:val="0"/>
          <w:i/>
          <w:sz w:val="19"/>
        </w:rPr>
        <w:t>CNBC</w:t>
      </w:r>
      <w:r>
        <w:rPr>
          <w:rFonts w:ascii="Arial" w:hAnsi="Arial"/>
          <w:b w:val="0"/>
          <w:i w:val="0"/>
          <w:sz w:val="19"/>
        </w:rPr>
        <w:t xml:space="preserve"> („Why we need 'Human Reserved' jobs: Bill Gates' AI memo" / „Bill Gates warns 'there is no plan' for the 'upheaval' AI will cause", 26. August 2026), </w:t>
      </w:r>
      <w:r>
        <w:rPr>
          <w:rFonts w:ascii="Arial" w:hAnsi="Arial"/>
          <w:b w:val="0"/>
          <w:i/>
          <w:sz w:val="19"/>
        </w:rPr>
        <w:t>Axios</w:t>
      </w:r>
      <w:r>
        <w:rPr>
          <w:rFonts w:ascii="Arial" w:hAnsi="Arial"/>
          <w:b w:val="0"/>
          <w:i w:val="0"/>
          <w:sz w:val="19"/>
        </w:rPr>
        <w:t xml:space="preserve"> („Bill Gates sounds the alarm on an AI transition" / „Bill Gates wants to keep some jobs off-limits to AI", 26. August 2026), </w:t>
      </w:r>
      <w:r>
        <w:rPr>
          <w:rFonts w:ascii="Arial" w:hAnsi="Arial"/>
          <w:b w:val="0"/>
          <w:i/>
          <w:sz w:val="19"/>
        </w:rPr>
        <w:t>TechCrunch</w:t>
      </w:r>
      <w:r>
        <w:rPr>
          <w:rFonts w:ascii="Arial" w:hAnsi="Arial"/>
          <w:b w:val="0"/>
          <w:i w:val="0"/>
          <w:sz w:val="19"/>
        </w:rPr>
        <w:t xml:space="preserve"> („Bill Gates wants to see a robot tax and 'Human Reserved' jobs to mitigate harms from AI", 26. August 2026), </w:t>
      </w:r>
      <w:r>
        <w:rPr>
          <w:rFonts w:ascii="Arial" w:hAnsi="Arial"/>
          <w:b w:val="0"/>
          <w:i/>
          <w:sz w:val="19"/>
        </w:rPr>
        <w:t>Fortune</w:t>
      </w:r>
      <w:r>
        <w:rPr>
          <w:rFonts w:ascii="Arial" w:hAnsi="Arial"/>
          <w:b w:val="0"/>
          <w:i w:val="0"/>
          <w:sz w:val="19"/>
        </w:rPr>
        <w:t xml:space="preserve"> („Bill Gates wants to tax robots and AI tokens to deter businesses from replacing humans" / „Bill Gates fears world leaders are unprepared for 3 major AI risks", 26. August 2026), </w:t>
      </w:r>
      <w:r>
        <w:rPr>
          <w:rFonts w:ascii="Arial" w:hAnsi="Arial"/>
          <w:b w:val="0"/>
          <w:i/>
          <w:sz w:val="19"/>
        </w:rPr>
        <w:t>GeekWire</w:t>
      </w:r>
      <w:r>
        <w:rPr>
          <w:rFonts w:ascii="Arial" w:hAnsi="Arial"/>
          <w:b w:val="0"/>
          <w:i w:val="0"/>
          <w:sz w:val="19"/>
        </w:rPr>
        <w:t xml:space="preserve"> („'I am very concerned': Bill Gates says the world needs a plan to deal with AI, and he has three ideas to start", 26. August 2026), </w:t>
      </w:r>
      <w:r>
        <w:rPr>
          <w:rFonts w:ascii="Arial" w:hAnsi="Arial"/>
          <w:b w:val="0"/>
          <w:i/>
          <w:sz w:val="19"/>
        </w:rPr>
        <w:t>CNN Business</w:t>
      </w:r>
      <w:r>
        <w:rPr>
          <w:rFonts w:ascii="Arial" w:hAnsi="Arial"/>
          <w:b w:val="0"/>
          <w:i w:val="0"/>
          <w:sz w:val="19"/>
        </w:rPr>
        <w:t xml:space="preserve"> („Bill Gates says there needs to be limits on AI", 26. August 2026), </w:t>
      </w:r>
      <w:r>
        <w:rPr>
          <w:rFonts w:ascii="Arial" w:hAnsi="Arial"/>
          <w:b w:val="0"/>
          <w:i/>
          <w:sz w:val="19"/>
        </w:rPr>
        <w:t>Tom's Hardware</w:t>
      </w:r>
      <w:r>
        <w:rPr>
          <w:rFonts w:ascii="Arial" w:hAnsi="Arial"/>
          <w:b w:val="0"/>
          <w:i w:val="0"/>
          <w:sz w:val="19"/>
        </w:rPr>
        <w:t xml:space="preserve"> („Bill Gates calls for some jobs to be 'Human Reserved,' suggests taxing AI tokens and robots", 26. August 2026), </w:t>
      </w:r>
      <w:r>
        <w:rPr>
          <w:rFonts w:ascii="Arial" w:hAnsi="Arial"/>
          <w:b w:val="0"/>
          <w:i/>
          <w:sz w:val="19"/>
        </w:rPr>
        <w:t>Forbes</w:t>
      </w:r>
      <w:r>
        <w:rPr>
          <w:rFonts w:ascii="Arial" w:hAnsi="Arial"/>
          <w:b w:val="0"/>
          <w:i w:val="0"/>
          <w:sz w:val="19"/>
        </w:rPr>
        <w:t xml:space="preserve"> („Bill Gates Says Some Jobs Should Be Off-Limits To AI — Who's Impacted?", 26. August 2026), </w:t>
      </w:r>
      <w:r>
        <w:rPr>
          <w:rFonts w:ascii="Arial" w:hAnsi="Arial"/>
          <w:b w:val="0"/>
          <w:i/>
          <w:sz w:val="19"/>
        </w:rPr>
        <w:t>The Next Web</w:t>
      </w:r>
      <w:r>
        <w:rPr>
          <w:rFonts w:ascii="Arial" w:hAnsi="Arial"/>
          <w:b w:val="0"/>
          <w:i w:val="0"/>
          <w:sz w:val="19"/>
        </w:rPr>
        <w:t xml:space="preserve"> („Bill Gates proposes 'Human Reserved' jobs and a tax on AI"), </w:t>
      </w:r>
      <w:r>
        <w:rPr>
          <w:rFonts w:ascii="Arial" w:hAnsi="Arial"/>
          <w:b w:val="0"/>
          <w:i/>
          <w:sz w:val="19"/>
        </w:rPr>
        <w:t>Quartz</w:t>
      </w:r>
      <w:r>
        <w:rPr>
          <w:rFonts w:ascii="Arial" w:hAnsi="Arial"/>
          <w:b w:val="0"/>
          <w:i w:val="0"/>
          <w:sz w:val="19"/>
        </w:rPr>
        <w:t xml:space="preserve"> („Bill Gates warns the world isn't ready for the AI upheaval", 26. August 2026), </w:t>
      </w:r>
      <w:r>
        <w:rPr>
          <w:rFonts w:ascii="Arial" w:hAnsi="Arial"/>
          <w:b w:val="0"/>
          <w:i/>
          <w:sz w:val="19"/>
        </w:rPr>
        <w:t>Fox Business</w:t>
      </w:r>
      <w:r>
        <w:rPr>
          <w:rFonts w:ascii="Arial" w:hAnsi="Arial"/>
          <w:b w:val="0"/>
          <w:i w:val="0"/>
          <w:sz w:val="19"/>
        </w:rPr>
        <w:t xml:space="preserve"> („Bill Gates calls for human reserved jobs amid AI workforce changes", 26. August 2026), </w:t>
      </w:r>
      <w:r>
        <w:rPr>
          <w:rFonts w:ascii="Arial" w:hAnsi="Arial"/>
          <w:b w:val="0"/>
          <w:i/>
          <w:sz w:val="19"/>
        </w:rPr>
        <w:t>The National</w:t>
      </w:r>
      <w:r>
        <w:rPr>
          <w:rFonts w:ascii="Arial" w:hAnsi="Arial"/>
          <w:b w:val="0"/>
          <w:i w:val="0"/>
          <w:sz w:val="19"/>
        </w:rPr>
        <w:t xml:space="preserve"> („Bill Gates wants jobs reserved for humans amid AI boom", 26. August 2026), </w:t>
      </w:r>
      <w:r>
        <w:rPr>
          <w:rFonts w:ascii="Arial" w:hAnsi="Arial"/>
          <w:b w:val="0"/>
          <w:i/>
          <w:sz w:val="19"/>
        </w:rPr>
        <w:t>BeInCrypto</w:t>
      </w:r>
      <w:r>
        <w:rPr>
          <w:rFonts w:ascii="Arial" w:hAnsi="Arial"/>
          <w:b w:val="0"/>
          <w:i w:val="0"/>
          <w:sz w:val="19"/>
        </w:rPr>
        <w:t xml:space="preserve"> („Bill Gates Wants Up to 40% of Jobs Reserved for Humans, Not AI"), Yahoo Finance („3 key takeaways from Bill Gates' stark warning about AI and jobs"), </w:t>
      </w:r>
      <w:r>
        <w:rPr>
          <w:rFonts w:ascii="Arial" w:hAnsi="Arial"/>
          <w:b w:val="0"/>
          <w:i/>
          <w:sz w:val="19"/>
        </w:rPr>
        <w:t>The Spokesman-Review</w:t>
      </w:r>
      <w:r>
        <w:rPr>
          <w:rFonts w:ascii="Arial" w:hAnsi="Arial"/>
          <w:b w:val="0"/>
          <w:i w:val="0"/>
          <w:sz w:val="19"/>
        </w:rPr>
        <w:t xml:space="preserve"> („Bill Gates warns of job losses, rising harm in plea for AI policies", 26. August 2026). Aufnahme in § 4.5 mit Rückwirkung auf § 2.1 (Typ 5 Ersatzabgabe), § 5.1 (Wertschöpfungsabgabe-Anknüpfung), § 5.3 (Verkürzung der Arbeitszeit als Verteilungsinstrument), § 7 (Human-Reserved-Perimeter in Gesundheit und Bildung), § 8.3 (Teilhabefrage), § 8.4 (Systemstabilität) und § 9.1 (Perimeter-Definition und Kausalattribution). https://www.gatesnotes.com/what-comes-next-with-ai | https://www.bloomberg.com/news/articles/2026-08-26/five-takeaways-from-bill-gates-essay-on-ai-s-potential-risks | https://www.cnbc.com/2026/08/26/why-we-need-human-reserved-jobs-bill-gates-ai-memo.html | https://www.cnbc.com/2026/08/26/bill-gates-ai-jobs-economic-upheaval.html | https://www.axios.com/2026/08/26/bill-gates-sounds-the-alarm-on-an-ai-transition | https://www.axios.com/2026/08/26/bill-gates-wants-to-keep-some-jobs-off-limits-to-ai | https://techcrunch.com/2026/08/26/bill-gates-wants-to-see-a-robot-tax-and-human-reserved-jobs-to-mitigate-harms-from-ai/ | https://fortune.com/2026/08/26/bill-gates-robot-ai-tax-replacehuman-workers/ | https://fortune.com/2026/08/26/bill-gates-ai-warning-risks-benefit-world-leaders/ | https://www.geekwire.com/2026/i-am-very-concerned-bill-gates-says-the-world-needs-a-plan-to-deal-with-ai-and-he-has-three-ideas-to-start/ | https://www.cnn.com/2026/08/26/business/bill-gates-wants-limits-on-ai | https://www.tomshardware.com/tech-industry/artificial-intelligence/bill-gates-calls-for-some-jobs-to-be-human-reserved-suggests-taxing-ai-tokens-and-robots-billionaire-says-that-ai-era-will-be-one-of-the-most-turbulent-times-in-human-history | https://www.forbes.com/sites/rachelwells/2026/08/26/bill-gates-says-some-jobs-should-be-off-limits-to-ai-whos-impacted/ | https://thenextweb.com/news/bill-gates-human-reserved-jobs-ai | https://qz.com/bill-gates-ai-warning-jobs-society-upheaval-082626 | https://www.foxbusiness.com/technology/bill-gates-outlines-stakes-ai-era-greatest-equalizer-worst-source-injustice | https://www.thenationalnews.com/future/technology/2026/08/26/bill-gates-warning-about-ai-jobs/ | https://beincrypto.com/bill-gates-human-reserved-jobs-ai/ | https://finance.yahoo.com/technology/ai/articles/3-key-takeaways-bill-gates-090540503.html | https://www.spokesman.com/stories/2026/aug/26/bill-gates-warns-of-job-losses-rising-harm-in-plea/</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Lee, H.-m. (이해민, </w:t>
      </w:r>
      <w:r>
        <w:rPr>
          <w:rFonts w:ascii="Arial" w:hAnsi="Arial"/>
          <w:b w:val="0"/>
          <w:i/>
          <w:sz w:val="19"/>
        </w:rPr>
        <w:t>Rebuilding Korea Party</w:t>
      </w:r>
      <w:r>
        <w:rPr>
          <w:rFonts w:ascii="Arial" w:hAnsi="Arial"/>
          <w:b w:val="0"/>
          <w:i w:val="0"/>
          <w:sz w:val="19"/>
        </w:rPr>
        <w:t xml:space="preserve"> / 조국혁신당) &amp; Lee, J.-h. (이주희, </w:t>
      </w:r>
      <w:r>
        <w:rPr>
          <w:rFonts w:ascii="Arial" w:hAnsi="Arial"/>
          <w:b w:val="0"/>
          <w:i/>
          <w:sz w:val="19"/>
        </w:rPr>
        <w:t>Democratic Party of Korea</w:t>
      </w:r>
      <w:r>
        <w:rPr>
          <w:rFonts w:ascii="Arial" w:hAnsi="Arial"/>
          <w:b w:val="0"/>
          <w:i w:val="0"/>
          <w:sz w:val="19"/>
        </w:rPr>
        <w:t xml:space="preserve"> / 더불어민주당) / National Assembly of the Republic of Korea / edaily / ZDNet Korea / bloter / 디지털데일리 / TechTimes. (14. August 2026). </w:t>
      </w:r>
      <w:r>
        <w:rPr>
          <w:rFonts w:ascii="Arial" w:hAnsi="Arial"/>
          <w:b w:val="0"/>
          <w:i/>
          <w:sz w:val="19"/>
        </w:rPr>
        <w:t>AI 전환 대응을 위한 기본사회법안 / 국가재정법 일부개정법률안 / 부담금 관리 기본법 일부개정법률안 — AI Transition Response Basic Society Act and companion amendments.</w:t>
      </w:r>
      <w:r>
        <w:rPr>
          <w:rFonts w:ascii="Arial" w:hAnsi="Arial"/>
          <w:b w:val="0"/>
          <w:i w:val="0"/>
          <w:sz w:val="19"/>
        </w:rPr>
        <w:t xml:space="preserve"> Drei-Gesetzes-Paket, das den erstmaligen </w:t>
      </w:r>
      <w:r>
        <w:rPr>
          <w:rFonts w:ascii="Arial" w:hAnsi="Arial"/>
          <w:b w:val="0"/>
          <w:i/>
          <w:sz w:val="19"/>
        </w:rPr>
        <w:t>AI Transition Response Contribution</w:t>
      </w:r>
      <w:r>
        <w:rPr>
          <w:rFonts w:ascii="Arial" w:hAnsi="Arial"/>
          <w:b w:val="0"/>
          <w:i w:val="0"/>
          <w:sz w:val="19"/>
        </w:rPr>
        <w:t xml:space="preserve"> („AI 전환 대응 분담금") einführt: Erhebung auf Arbeitgeber, deren KI- und Automatisierungseinsatz eine wesentliche substituierende Wirkung auf Beschäftigung oder Aufgabenzuschnitt entfaltet, mit dem Auslöseschwellenwert nach präsidialer Durchführungsverordnung; Aufkommen fließt in einen neu eingerichteten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mit Zweckbindung auf Umschulung, Kompetenzentwicklung, Vermittlung in neue Beschäftigung und Mindest­einkommens­absicherung; Ermäßigungen bzw. Befreiungen für Arbeitgeber, die Beschäftigung sichern oder ausweiten, sowie für belastungsbegrenzte Betriebe. Erste nationale Gesetzgebung, die eine KI-Verdrängungs­abgabe an die </w:t>
      </w:r>
      <w:r>
        <w:rPr>
          <w:rFonts w:ascii="Arial" w:hAnsi="Arial"/>
          <w:b w:val="0"/>
          <w:i/>
          <w:sz w:val="19"/>
        </w:rPr>
        <w:t>Deployer-Ebene</w:t>
      </w:r>
      <w:r>
        <w:rPr>
          <w:rFonts w:ascii="Arial" w:hAnsi="Arial"/>
          <w:b w:val="0"/>
          <w:i w:val="0"/>
          <w:sz w:val="19"/>
        </w:rPr>
        <w:t xml:space="preserve"> (Personalentscheidung des Arbeitgebers) statt an Umsatz, Token-Absatz, Modellvertrieb oder Rechenzentrums-Verbrauch der Anbieterseite koppelt; als aufkommenserzeugendes Gegenstück zur nur elf Tage früher vorgelegten MOEF-</w:t>
      </w:r>
      <w:r>
        <w:rPr>
          <w:rFonts w:ascii="Arial" w:hAnsi="Arial"/>
          <w:b w:val="0"/>
          <w:i/>
          <w:sz w:val="19"/>
        </w:rPr>
        <w:t>Domestic Production Tax Credit</w:t>
      </w:r>
      <w:r>
        <w:rPr>
          <w:rFonts w:ascii="Arial" w:hAnsi="Arial"/>
          <w:b w:val="0"/>
          <w:i w:val="0"/>
          <w:sz w:val="19"/>
        </w:rPr>
        <w:t xml:space="preserve"> strukturell komplementär. Aufnahme in § 6.1 als Aktualisierung mit Rückwirkung auf § 4.5 (Deployer-Kausalattribution wie H.R. 10044, aber ohne Anbieter-Excise), § 5.1 (funktional analoge Zweckbindung zur Wertschöpfungsabgabe-Debatte), § 8.3 (Teilhabefonds-Vergleichspunkt) und § 9.1 (Kausalattribution im Verwaltungsvollzug). https://zdnet.co.kr/view/?no=20260814171346 | https://www.bloter.net/news/articleView.html?idxno=671021 | https://www.ddaily.co.kr/page/view/2026081417121671193 | https://edaily.co.kr/News/Read?mediaCodeNo=257&amp;newsId=05366086645547320 | https://newsfn.co.kr/View.aspx?No=4188077 | https://www.techtimes.com/articles/324577/20260815/south-korea-bills-make-employers-pay-when-ai-cuts-jobs-not-ai-vendors.htm</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jc w:val="both"/>
      </w:pPr>
      <w:r>
        <w:rPr>
          <w:rFonts w:ascii="Arial" w:hAnsi="Arial"/>
          <w:b w:val="0"/>
          <w:i w:val="0"/>
          <w:sz w:val="19"/>
        </w:rPr>
        <w:t xml:space="preserve">Board of Governors of the Federal Reserve System. (19. August 2026). </w:t>
      </w:r>
      <w:r>
        <w:rPr>
          <w:rFonts w:ascii="Arial" w:hAnsi="Arial"/>
          <w:b w:val="0"/>
          <w:i/>
          <w:sz w:val="19"/>
        </w:rPr>
        <w:t>Minutes of the Federal Open Market Committee, July 28–29, 2026.</w:t>
      </w:r>
      <w:r>
        <w:rPr>
          <w:rFonts w:ascii="Arial" w:hAnsi="Arial"/>
          <w:b w:val="0"/>
          <w:i w:val="0"/>
          <w:sz w:val="19"/>
        </w:rPr>
        <w:t xml:space="preserve"> Amtliche FOMC-Sitzungs­dokumentation der Juli-Sitzung, veröffentlicht am 19. August 2026 (Standard-Drei-Wochen-Frist). Erstmals in einem geldpolitischen Beschluss­dokument explizite, mehrfach ausformulierte Auslegung der KI-Wirkung auf Arbeitsmarkt, Produktivität und Preisniveau (nach </w:t>
      </w:r>
      <w:r>
        <w:rPr>
          <w:rFonts w:ascii="Arial" w:hAnsi="Arial"/>
          <w:b w:val="0"/>
          <w:i/>
          <w:sz w:val="19"/>
        </w:rPr>
        <w:t>Bloomberg</w:t>
      </w:r>
      <w:r>
        <w:rPr>
          <w:rFonts w:ascii="Arial" w:hAnsi="Arial"/>
          <w:b w:val="0"/>
          <w:i w:val="0"/>
          <w:sz w:val="19"/>
        </w:rPr>
        <w:t xml:space="preserve">-Auszählung vom 20. August 2026, </w:t>
      </w:r>
      <w:r>
        <w:rPr>
          <w:rFonts w:ascii="Arial" w:hAnsi="Arial"/>
          <w:b w:val="0"/>
          <w:i/>
          <w:sz w:val="19"/>
        </w:rPr>
        <w:t>„AI Has Infiltrated the Fed, at Least in Policy Meeting Debates"</w:t>
      </w:r>
      <w:r>
        <w:rPr>
          <w:rFonts w:ascii="Arial" w:hAnsi="Arial"/>
          <w:b w:val="0"/>
          <w:i w:val="0"/>
          <w:sz w:val="19"/>
        </w:rPr>
        <w:t xml:space="preserve">, rund 18 KI-Erwähnungen in 15 zusammenhängenden Absätzen des Ausblicks- und Diskussions­teils). Kernaussagen im Konjunktiv referiert nach § 4.2 Claude.md: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mittelfristig würden Produktivitäts­gewinne aus der KI-Adoption die Produktions­kosten reduzieren und das aggregierte Angebot ausweiten; kurzfristig sei der KI-Buildout inflationär (Materialien für Rechenzentren wie Chips und Stahl, verwandte Konsumkategorien Elektronik und Software mit deutlichen Preissteigerungen);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Sekundärrezeption: </w:t>
      </w:r>
      <w:r>
        <w:rPr>
          <w:rFonts w:ascii="Arial" w:hAnsi="Arial"/>
          <w:b w:val="0"/>
          <w:i/>
          <w:sz w:val="19"/>
        </w:rPr>
        <w:t>Bloomberg</w:t>
      </w:r>
      <w:r>
        <w:rPr>
          <w:rFonts w:ascii="Arial" w:hAnsi="Arial"/>
          <w:b w:val="0"/>
          <w:i w:val="0"/>
          <w:sz w:val="19"/>
        </w:rPr>
        <w:t xml:space="preserve"> (20. August 2026), </w:t>
      </w:r>
      <w:r>
        <w:rPr>
          <w:rFonts w:ascii="Arial" w:hAnsi="Arial"/>
          <w:b w:val="0"/>
          <w:i/>
          <w:sz w:val="19"/>
        </w:rPr>
        <w:t>CNBC</w:t>
      </w:r>
      <w:r>
        <w:rPr>
          <w:rFonts w:ascii="Arial" w:hAnsi="Arial"/>
          <w:b w:val="0"/>
          <w:i w:val="0"/>
          <w:sz w:val="19"/>
        </w:rPr>
        <w:t xml:space="preserve"> (19. August 2026, </w:t>
      </w:r>
      <w:r>
        <w:rPr>
          <w:rFonts w:ascii="Arial" w:hAnsi="Arial"/>
          <w:b w:val="0"/>
          <w:i/>
          <w:sz w:val="19"/>
        </w:rPr>
        <w:t>„Fed minutes July 2026: Officials saw need for rate hike if inflation doesn't cool"</w:t>
      </w:r>
      <w:r>
        <w:rPr>
          <w:rFonts w:ascii="Arial" w:hAnsi="Arial"/>
          <w:b w:val="0"/>
          <w:i w:val="0"/>
          <w:sz w:val="19"/>
        </w:rPr>
        <w:t xml:space="preserve">), </w:t>
      </w:r>
      <w:r>
        <w:rPr>
          <w:rFonts w:ascii="Arial" w:hAnsi="Arial"/>
          <w:b w:val="0"/>
          <w:i/>
          <w:sz w:val="19"/>
        </w:rPr>
        <w:t>Newsquawk</w:t>
      </w:r>
      <w:r>
        <w:rPr>
          <w:rFonts w:ascii="Arial" w:hAnsi="Arial"/>
          <w:b w:val="0"/>
          <w:i w:val="0"/>
          <w:sz w:val="19"/>
        </w:rPr>
        <w:t>/</w:t>
      </w:r>
      <w:r>
        <w:rPr>
          <w:rFonts w:ascii="Arial" w:hAnsi="Arial"/>
          <w:b w:val="0"/>
          <w:i/>
          <w:sz w:val="19"/>
        </w:rPr>
        <w:t>PNC Economics</w:t>
      </w:r>
      <w:r>
        <w:rPr>
          <w:rFonts w:ascii="Arial" w:hAnsi="Arial"/>
          <w:b w:val="0"/>
          <w:i w:val="0"/>
          <w:sz w:val="19"/>
        </w:rPr>
        <w:t xml:space="preserve"> (19. August 2026 Preview/Recap), </w:t>
      </w:r>
      <w:r>
        <w:rPr>
          <w:rFonts w:ascii="Arial" w:hAnsi="Arial"/>
          <w:b w:val="0"/>
          <w:i/>
          <w:sz w:val="19"/>
        </w:rPr>
        <w:t>FXStreet</w:t>
      </w:r>
      <w:r>
        <w:rPr>
          <w:rFonts w:ascii="Arial" w:hAnsi="Arial"/>
          <w:b w:val="0"/>
          <w:i w:val="0"/>
          <w:sz w:val="19"/>
        </w:rPr>
        <w:t xml:space="preserve"> (20. August 2026, MUFG-Kommentar). Aufnahme in § 3.5 als </w:t>
      </w:r>
      <w:r>
        <w:rPr>
          <w:rFonts w:ascii="Arial" w:hAnsi="Arial"/>
          <w:b w:val="0"/>
          <w:i/>
          <w:sz w:val="19"/>
        </w:rPr>
        <w:t>Empirische Ergänzung USA — Federal-Reserve-FOMC-Minutes</w:t>
      </w:r>
      <w:r>
        <w:rPr>
          <w:rFonts w:ascii="Arial" w:hAnsi="Arial"/>
          <w:b w:val="0"/>
          <w:i w:val="0"/>
          <w:sz w:val="19"/>
        </w:rPr>
        <w:t xml:space="preserve"> mit Rückwirkung auf § 8.4 (Systemstabilität, Timing-Asymmetrie), § 9.1 (Kausalattribution) und § 5.1/§ 8.3 (Robustheit einer wertschöpfungs­orientierten Bemessungs­basis gegenüber Investitions-/Produktivitäts-Zeitdivergenz). https://www.federalreserve.gov/monetarypolicy/fomcminutes20260729.htm | https://www.federalreserve.gov/newsevents/pressreleases/monetary20260819a.htm | https://www.federalreserve.gov/monetarypolicy/files/fomcminutes20260729.pdf | https://www.bloomberg.com/news/articles/2026-08-20/ai-has-infiltrated-the-fed-at-least-in-policy-meeting-debates | https://www.cnbc.com/2026/08/19/fed-minutes-july-2026-officials-saw-need-for-rate-hike-if-inflation-doesnt-cool.html</w:t>
      </w:r>
    </w:p>
    <w:p>
      <w:pPr>
        <w:jc w:val="both"/>
      </w:pPr>
      <w:r>
        <w:rPr>
          <w:rFonts w:ascii="Arial" w:hAnsi="Arial"/>
          <w:b w:val="0"/>
          <w:i w:val="0"/>
          <w:sz w:val="19"/>
        </w:rPr>
        <w:t xml:space="preserve">Republic of Korea, Ministry of Planning and Budget (기획재정부) / Park, H.-k. (Minister). (21. August 2026). </w:t>
      </w:r>
      <w:r>
        <w:rPr>
          <w:rFonts w:ascii="Arial" w:hAnsi="Arial"/>
          <w:b w:val="0"/>
          <w:i/>
          <w:sz w:val="19"/>
        </w:rPr>
        <w:t>Future Response Fund („미래대응기금") — Announcement of a fiscal reservoir financed by AI- and chip-driven windfall tax revenue.</w:t>
      </w:r>
      <w:r>
        <w:rPr>
          <w:rFonts w:ascii="Arial" w:hAnsi="Arial"/>
          <w:b w:val="0"/>
          <w:i w:val="0"/>
          <w:sz w:val="19"/>
        </w:rPr>
        <w:t xml:space="preserve"> Am 21. August 2026 vom südkoreanischen </w:t>
      </w:r>
      <w:r>
        <w:rPr>
          <w:rFonts w:ascii="Arial" w:hAnsi="Arial"/>
          <w:b w:val="0"/>
          <w:i/>
          <w:sz w:val="19"/>
        </w:rPr>
        <w:t>Ministry of Planning and Budget</w:t>
      </w:r>
      <w:r>
        <w:rPr>
          <w:rFonts w:ascii="Arial" w:hAnsi="Arial"/>
          <w:b w:val="0"/>
          <w:i w:val="0"/>
          <w:sz w:val="19"/>
        </w:rPr>
        <w:t xml:space="preserve"> angekündigter </w:t>
      </w:r>
      <w:r>
        <w:rPr>
          <w:rFonts w:ascii="Arial" w:hAnsi="Arial"/>
          <w:b w:val="0"/>
          <w:i/>
          <w:sz w:val="19"/>
        </w:rPr>
        <w:t>Fiscal-Reservoir-Fund</w:t>
      </w:r>
      <w:r>
        <w:rPr>
          <w:rFonts w:ascii="Arial" w:hAnsi="Arial"/>
          <w:b w:val="0"/>
          <w:i w:val="0"/>
          <w:sz w:val="19"/>
        </w:rPr>
        <w:t xml:space="preserve"> mit geplantem Anfangsvolumen von mindestens 100 Billionen KRW (rund 72 Milliarden US-Dollar; nach </w:t>
      </w:r>
      <w:r>
        <w:rPr>
          <w:rFonts w:ascii="Arial" w:hAnsi="Arial"/>
          <w:b w:val="0"/>
          <w:i/>
          <w:sz w:val="19"/>
        </w:rPr>
        <w:t>KED-Global</w:t>
      </w:r>
      <w:r>
        <w:rPr>
          <w:rFonts w:ascii="Arial" w:hAnsi="Arial"/>
          <w:b w:val="0"/>
          <w:i w:val="0"/>
          <w:sz w:val="19"/>
        </w:rPr>
        <w:t xml:space="preserve">-Bewertung bis zu rund 145 Milliarden US-Dollar über die Laufzeit), gespeist aus </w:t>
      </w:r>
      <w:r>
        <w:rPr>
          <w:rFonts w:ascii="Arial" w:hAnsi="Arial"/>
          <w:b w:val="0"/>
          <w:i/>
          <w:sz w:val="19"/>
        </w:rPr>
        <w:t>„Windfall Revenue"</w:t>
      </w:r>
      <w:r>
        <w:rPr>
          <w:rFonts w:ascii="Arial" w:hAnsi="Arial"/>
          <w:b w:val="0"/>
          <w:i w:val="0"/>
          <w:sz w:val="19"/>
        </w:rPr>
        <w:t xml:space="preserve">-Steuereinnahmen oberhalb des 10-Jahres-Durchschnitts­trends inländischer Aufkommen (in der laufenden Periode überwiegend halbleiter- und KI-getriebene Körperschaftsteuer). Vier Investitionsfelder: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und </w:t>
      </w:r>
      <w:r>
        <w:rPr>
          <w:rFonts w:ascii="Arial" w:hAnsi="Arial"/>
          <w:b w:val="0"/>
          <w:i/>
          <w:sz w:val="19"/>
        </w:rPr>
        <w:t>Bildung und Talent</w:t>
      </w:r>
      <w:r>
        <w:rPr>
          <w:rFonts w:ascii="Arial" w:hAnsi="Arial"/>
          <w:b w:val="0"/>
          <w:i w:val="0"/>
          <w:sz w:val="19"/>
        </w:rPr>
        <w:t xml:space="preserve"> (frühkindliche, hochschulische und lebenslange Bildung, Talentanziehung). Governance-Merkmale: Überschussakkumulation in Boom-Phasen, Supplementierung in Downturns, 20-%-Umschichtungs­flexibilität zwischen Einzelprojekten ohne Zustimmung der </w:t>
      </w:r>
      <w:r>
        <w:rPr>
          <w:rFonts w:ascii="Arial" w:hAnsi="Arial"/>
          <w:b w:val="0"/>
          <w:i/>
          <w:sz w:val="19"/>
        </w:rPr>
        <w:t>Nationalversammlung</w:t>
      </w:r>
      <w:r>
        <w:rPr>
          <w:rFonts w:ascii="Arial" w:hAnsi="Arial"/>
          <w:b w:val="0"/>
          <w:i w:val="0"/>
          <w:sz w:val="19"/>
        </w:rPr>
        <w:t xml:space="preserve">. Legislativer Zeitplan: Kabinettsberatung 1. September 2026, Vorlage an die </w:t>
      </w:r>
      <w:r>
        <w:rPr>
          <w:rFonts w:ascii="Arial" w:hAnsi="Arial"/>
          <w:b w:val="0"/>
          <w:i/>
          <w:sz w:val="19"/>
        </w:rPr>
        <w:t>Nationalversammlung</w:t>
      </w:r>
      <w:r>
        <w:rPr>
          <w:rFonts w:ascii="Arial" w:hAnsi="Arial"/>
          <w:b w:val="0"/>
          <w:i w:val="0"/>
          <w:sz w:val="19"/>
        </w:rPr>
        <w:t xml:space="preserve"> 3. September 2026 (Konjunktivpflicht nach § 4.2 Claude.md). Berichterstattung: </w:t>
      </w:r>
      <w:r>
        <w:rPr>
          <w:rFonts w:ascii="Arial" w:hAnsi="Arial"/>
          <w:b w:val="0"/>
          <w:i/>
          <w:sz w:val="19"/>
        </w:rPr>
        <w:t>KED Global</w:t>
      </w:r>
      <w:r>
        <w:rPr>
          <w:rFonts w:ascii="Arial" w:hAnsi="Arial"/>
          <w:b w:val="0"/>
          <w:i w:val="0"/>
          <w:sz w:val="19"/>
        </w:rPr>
        <w:t xml:space="preserve"> (21. August 2026, </w:t>
      </w:r>
      <w:r>
        <w:rPr>
          <w:rFonts w:ascii="Arial" w:hAnsi="Arial"/>
          <w:b w:val="0"/>
          <w:i/>
          <w:sz w:val="19"/>
        </w:rPr>
        <w:t>„South Korea taps chip tax windfall for estimated $145 bn fund, stoking fiscal discipline concerns"</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(21. August 2026, Autoren Kim Nam-myung und Lee Jung-hoon, </w:t>
      </w:r>
      <w:r>
        <w:rPr>
          <w:rFonts w:ascii="Arial" w:hAnsi="Arial"/>
          <w:b w:val="0"/>
          <w:i/>
          <w:sz w:val="19"/>
        </w:rPr>
        <w:t>„Korea to Create 100 Trillion Won Fund for Future Investment Next Year"</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(21. August 2026, </w:t>
      </w:r>
      <w:r>
        <w:rPr>
          <w:rFonts w:ascii="Arial" w:hAnsi="Arial"/>
          <w:b w:val="0"/>
          <w:i/>
          <w:sz w:val="19"/>
        </w:rPr>
        <w:t>„S. Korea to launch 'future fund' with 'windfall revenue' amid chip boom"</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(21. August 2026, </w:t>
      </w:r>
      <w:r>
        <w:rPr>
          <w:rFonts w:ascii="Arial" w:hAnsi="Arial"/>
          <w:b w:val="0"/>
          <w:i/>
          <w:sz w:val="19"/>
        </w:rPr>
        <w:t>„South Korea to launch Future Fund using AI and chip boom tax revenue"</w:t>
      </w:r>
      <w:r>
        <w:rPr>
          <w:rFonts w:ascii="Arial" w:hAnsi="Arial"/>
          <w:b w:val="0"/>
          <w:i w:val="0"/>
          <w:sz w:val="19"/>
        </w:rPr>
        <w:t xml:space="preserve"> und </w:t>
      </w:r>
      <w:r>
        <w:rPr>
          <w:rFonts w:ascii="Arial" w:hAnsi="Arial"/>
          <w:b w:val="0"/>
          <w:i/>
          <w:sz w:val="19"/>
        </w:rPr>
        <w:t>„South Korea to create Future Fund with chip tax windfall for AI investment"</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(20./21. August 2026, </w:t>
      </w:r>
      <w:r>
        <w:rPr>
          <w:rFonts w:ascii="Arial" w:hAnsi="Arial"/>
          <w:b w:val="0"/>
          <w:i/>
          <w:sz w:val="19"/>
        </w:rPr>
        <w:t>„South Korea plans chip windfall fund to back youth, AI investment"</w:t>
      </w:r>
      <w:r>
        <w:rPr>
          <w:rFonts w:ascii="Arial" w:hAnsi="Arial"/>
          <w:b w:val="0"/>
          <w:i w:val="0"/>
          <w:sz w:val="19"/>
        </w:rPr>
        <w:t xml:space="preserve">) sowie </w:t>
      </w:r>
      <w:r>
        <w:rPr>
          <w:rFonts w:ascii="Arial" w:hAnsi="Arial"/>
          <w:b w:val="0"/>
          <w:i/>
          <w:sz w:val="19"/>
        </w:rPr>
        <w:t>MLex</w:t>
      </w:r>
      <w:r>
        <w:rPr>
          <w:rFonts w:ascii="Arial" w:hAnsi="Arial"/>
          <w:b w:val="0"/>
          <w:i w:val="0"/>
          <w:sz w:val="19"/>
        </w:rPr>
        <w:t xml:space="preserve"> (21. August 2026, </w:t>
      </w:r>
      <w:r>
        <w:rPr>
          <w:rFonts w:ascii="Arial" w:hAnsi="Arial"/>
          <w:b w:val="0"/>
          <w:i/>
          <w:sz w:val="19"/>
        </w:rPr>
        <w:t>„South Korea plans future fund with surplus tax revenue from AI-driven chip boom"</w:t>
      </w:r>
      <w:r>
        <w:rPr>
          <w:rFonts w:ascii="Arial" w:hAnsi="Arial"/>
          <w:b w:val="0"/>
          <w:i w:val="0"/>
          <w:sz w:val="19"/>
        </w:rPr>
        <w:t>). Aufnahme in § 6.1 als dritte Aktualisierung der südkoreanischen Reformperiode 2026 mit Rückwirkung auf § 5.4 (Staatsfonds- und Dividenden­logik ohne Anbieter-Beteiligung), § 8.2 (Robustheit gegenüber bestands­orientierter fiskalischer Volatilität), § 8.3 (Teilhabefrage, Jugend-Priorität als politische Antwort auf die Bank-of-Korea-Kohorten­dokumentation) und § 4.5 (Vergleichspunkt zur Ausgabenseite des US-</w:t>
      </w:r>
      <w:r>
        <w:rPr>
          <w:rFonts w:ascii="Arial" w:hAnsi="Arial"/>
          <w:b w:val="0"/>
          <w:i/>
          <w:sz w:val="19"/>
        </w:rPr>
        <w:t>AI Tax and Work Protection Act</w:t>
      </w:r>
      <w:r>
        <w:rPr>
          <w:rFonts w:ascii="Arial" w:hAnsi="Arial"/>
          <w:b w:val="0"/>
          <w:i w:val="0"/>
          <w:sz w:val="19"/>
        </w:rPr>
        <w:t>). https://www.kedglobal.com/policy/newsView/ked202608210006 | https://en.sedaily.com/finance/2026/08/21/korea-to-create-100-trillion-won-fund-for-future-investment | https://www.koreaherald.com/article/10847943 | https://www.koreajoongangdaily.com/korea/korea-plans-future-fund-fueled-by-ai-chip-boom-tax-windfall/12836782 | https://www.koreajoongangdaily.com/business/korea-to-stash-chip-tax-windfall-in-new-fund-for-ai-future-tech/12837249 | https://finance.yahoo.com/economy/policy/articles/south-korea-plans-chip-windfall-fund-041053403.html | https://www.mlex.com/mlex/artificial-intelligence/articles/2516207/south-korea-plans-future-fund-with-surplus-tax-revenue-from-ai-driven-chip-boom</w:t>
      </w:r>
    </w:p>
    <w:p>
      <w:pPr>
        <w:jc w:val="both"/>
      </w:pPr>
      <w:r>
        <w:rPr>
          <w:rFonts w:ascii="Arial" w:hAnsi="Arial"/>
          <w:b w:val="0"/>
          <w:i w:val="0"/>
          <w:sz w:val="19"/>
        </w:rPr>
        <w:t xml:space="preserve">Friedrich, M., &amp; Kagerl, C. (27. August 2026). </w:t>
      </w:r>
      <w:r>
        <w:rPr>
          <w:rFonts w:ascii="Arial" w:hAnsi="Arial"/>
          <w:b w:val="0"/>
          <w:i/>
          <w:sz w:val="19"/>
        </w:rPr>
        <w:t>Künstliche Intelligenz in deutschen Betrieben: Jeder vierte Betrieb nutzt mittlerweile generative KI.</w:t>
      </w:r>
      <w:r>
        <w:rPr>
          <w:rFonts w:ascii="Arial" w:hAnsi="Arial"/>
          <w:b w:val="0"/>
          <w:i w:val="0"/>
          <w:sz w:val="19"/>
        </w:rPr>
        <w:t xml:space="preserve"> IAB-Kurzbericht 08/2026, Institut für Arbeitsmarkt- und Berufsforschung, Nürnberg (8 Seiten). DOI 10.48720/IAB.KB.2608. Kernbefunde auf Basis des </w:t>
      </w:r>
      <w:r>
        <w:rPr>
          <w:rFonts w:ascii="Arial" w:hAnsi="Arial"/>
          <w:b w:val="0"/>
          <w:i/>
          <w:sz w:val="19"/>
        </w:rPr>
        <w:t>IAB-Betriebspanels</w:t>
      </w:r>
      <w:r>
        <w:rPr>
          <w:rFonts w:ascii="Arial" w:hAnsi="Arial"/>
          <w:b w:val="0"/>
          <w:i w:val="0"/>
          <w:sz w:val="19"/>
        </w:rPr>
        <w:t xml:space="preserve"> (Konjunktivpflicht nach § 4.2 Claude.md): Anteil der Betriebe mit Nutzung generativer KI 2023 rund 5 %, 2025 rund 24 % (Verfünffachung in zwei Jahren); nach Betriebsgröße rund 48 % bei 200 und mehr Beschäftigten, rund 21 % bei weniger als zehn Beschäftigten; rund 90 % der nutzenden Betriebe greifen auf frei verfügbare Anwendungen zurück, rund 16 % auf mit eigenen Daten trainierte Modelle; Nutzungsschwerpunkte in wissensintensiven Dienstleistungen und in jungen Betrieben. Aufnahme in § 8.1 als empirische Verankerung der Drei-Faktor-Sicht auf inländischer Betriebs­ebene mit Rückwirkung auf § 1.1 (Ausgangslage, deutscher KI-Adoptionsstand), § 5.1 (Bemessungsbasis der Sozialstaats­finanzierung), § 8.2 (Veredelungsstrategie, Anwendungs­ebene) und § 8.3 (wertschöpfungs­orientierte Zugriffsarchitektur). https://iab.de/kuenstliche-intelligenz-in-deutschen-betrieben-jeder-vierte-betrieb-nutzt-mittlerweile-generative-ki/ | https://iab.de/presseinfo/jeder-vierte-betrieb-in-deutschland-nutzt-generative-ki/ | https://ideas.repec.org/p/iab/iabkbe/202608.html</w:t>
      </w:r>
    </w:p>
    <w:p>
      <w:pPr>
        <w:jc w:val="both"/>
      </w:pPr>
      <w:r>
        <w:rPr>
          <w:rFonts w:ascii="Arial" w:hAnsi="Arial"/>
          <w:b w:val="0"/>
          <w:i w:val="0"/>
          <w:sz w:val="19"/>
        </w:rPr>
        <w:t xml:space="preserve">European Commission / EuroHPC Joint Undertaking. (30. Juli 2026). </w:t>
      </w:r>
      <w:r>
        <w:rPr>
          <w:rFonts w:ascii="Arial" w:hAnsi="Arial"/>
          <w:b w:val="0"/>
          <w:i/>
          <w:sz w:val="19"/>
        </w:rPr>
        <w:t>EU launches AI Gigafactories call to boost Europe's computing capacity and unlock more than €30 billion in investment.</w:t>
      </w:r>
      <w:r>
        <w:rPr>
          <w:rFonts w:ascii="Arial" w:hAnsi="Arial"/>
          <w:b w:val="0"/>
          <w:i w:val="0"/>
          <w:sz w:val="19"/>
        </w:rPr>
        <w:t xml:space="preserve"> Pressemitteilung IP/26/1708. Offene Ausschreibung des </w:t>
      </w:r>
      <w:r>
        <w:rPr>
          <w:rFonts w:ascii="Arial" w:hAnsi="Arial"/>
          <w:b w:val="0"/>
          <w:i/>
          <w:sz w:val="19"/>
        </w:rPr>
        <w:t>EuroHPC Joint Undertaking</w:t>
      </w:r>
      <w:r>
        <w:rPr>
          <w:rFonts w:ascii="Arial" w:hAnsi="Arial"/>
          <w:b w:val="0"/>
          <w:i w:val="0"/>
          <w:sz w:val="19"/>
        </w:rPr>
        <w:t xml:space="preserve"> für bis zu sieben </w:t>
      </w:r>
      <w:r>
        <w:rPr>
          <w:rFonts w:ascii="Arial" w:hAnsi="Arial"/>
          <w:b w:val="0"/>
          <w:i/>
          <w:sz w:val="19"/>
        </w:rPr>
        <w:t>AI Gigafactories</w:t>
      </w:r>
      <w:r>
        <w:rPr>
          <w:rFonts w:ascii="Arial" w:hAnsi="Arial"/>
          <w:b w:val="0"/>
          <w:i w:val="0"/>
          <w:sz w:val="19"/>
        </w:rPr>
        <w:t xml:space="preserve"> in der Europäischen Union; bis zu 10 Milliarden Euro öffentliche Kofinanzierung (EU-Haushalt und Mitgliedstaaten) gekoppelt mit mindestens 20 Milliarden Euro erwartetem Privatkapital (aggregiertes Investitionsvolumen über 30 Milliarden Euro). Kombination aus KI-Prozessoren, Software-Stack, Cloud-Technologie, Hochgeschwindigkeits­konnektivität und Rechen­zentrums­infrastruktur; Nutzung durch öffentliche und private Anwender in den EuroHPC-Teilnehmerstaaten. Angebotsfrist 12. November 2026, Vergabeentscheidungen für Anfang 2027 erwartet; Bau- und Ausbaustart im selben Jahr (Konjunktivpflicht nach § 4.2 Claude.md). Sekundärrezeption: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(30. Juli 2026, </w:t>
      </w:r>
      <w:r>
        <w:rPr>
          <w:rFonts w:ascii="Arial" w:hAnsi="Arial"/>
          <w:b w:val="0"/>
          <w:i/>
          <w:sz w:val="19"/>
        </w:rPr>
        <w:t>„EU opens call for seven 'gigafactories' to train next-generation AI technologies"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„E.U. opens bids for 7 AI gigafactories in €30 billion push"</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„EU Opens Bids for Seven AI Super-Hubs To Break US and China Monopoly"</w:t>
      </w:r>
      <w:r>
        <w:rPr>
          <w:rFonts w:ascii="Arial" w:hAnsi="Arial"/>
          <w:b w:val="0"/>
          <w:i w:val="0"/>
          <w:sz w:val="19"/>
        </w:rPr>
        <w:t xml:space="preserve">). Aufnahme in § 8.2 als EU-institutioneller Rahmen der </w:t>
      </w:r>
      <w:r>
        <w:rPr>
          <w:rFonts w:ascii="Arial" w:hAnsi="Arial"/>
          <w:b w:val="0"/>
          <w:i/>
          <w:sz w:val="19"/>
        </w:rPr>
        <w:t>Veredelungsstrategie</w:t>
      </w:r>
      <w:r>
        <w:rPr>
          <w:rFonts w:ascii="Arial" w:hAnsi="Arial"/>
          <w:b w:val="0"/>
          <w:i w:val="0"/>
          <w:sz w:val="19"/>
        </w:rPr>
        <w:t xml:space="preserve"> mit Rückwirkung auf § 8.3 (Anwendungs­ebene inländischer Zugriffsarchitektur), § 4.4 (Europäisches Sekundärrecht und Harmonisierungsbedarf) und § 8.4 (Systemstabilität, Compute-Souveränität). https://ec.europa.eu/commission/presscorner/detail/en/ip_26_1708 | https://digital-strategy.ec.europa.eu/en/news/eu-launches-ai-gigafactories-call-boost-europes-computing-capacity-and-unlock-more-eu30-billion | https://www.hpcwire.com/off-the-wire/eurohpc-launches-tender-for-up-to-7-european-ai-gigafactories/ | https://www.euronews.com/my-europe/2026/07/30/eu-opens-call-for-seven-gigafactories-to-train-next-generation-ai-technologies | https://qz.com/eu-ai-gigafactories-bids-computing-30-billion-073126 | https://www.ibtimes.co.uk/eu-ai-gigafactories-tech-sovereignty-1811620</w:t>
      </w:r>
    </w:p>
    <w:p>
      <w:pPr>
        <w:jc w:val="both"/>
      </w:pPr>
      <w:r>
        <w:rPr>
          <w:rFonts w:ascii="Arial" w:hAnsi="Arial"/>
          <w:b w:val="0"/>
          <w:i w:val="0"/>
          <w:sz w:val="19"/>
        </w:rPr>
        <w:t xml:space="preserve">von der Leyen, U. (Präsidentin der Europäischen Kommission). (27. August 2026). </w:t>
      </w:r>
      <w:r>
        <w:rPr>
          <w:rFonts w:ascii="Arial" w:hAnsi="Arial"/>
          <w:b w:val="0"/>
          <w:i/>
          <w:sz w:val="19"/>
        </w:rPr>
        <w:t>Rede auf der</w:t>
      </w:r>
      <w:r>
        <w:rPr>
          <w:rFonts w:ascii="Arial" w:hAnsi="Arial"/>
          <w:b w:val="0"/>
          <w:i w:val="0"/>
          <w:sz w:val="19"/>
        </w:rPr>
        <w:t xml:space="preserve"> Rencontre des Entrepreneurs de France </w:t>
      </w:r>
      <w:r>
        <w:rPr>
          <w:rFonts w:ascii="Arial" w:hAnsi="Arial"/>
          <w:b w:val="0"/>
          <w:i/>
          <w:sz w:val="19"/>
        </w:rPr>
        <w:t>— „produce, invest and protect".</w:t>
      </w:r>
      <w:r>
        <w:rPr>
          <w:rFonts w:ascii="Arial" w:hAnsi="Arial"/>
          <w:b w:val="0"/>
          <w:i w:val="0"/>
          <w:sz w:val="19"/>
        </w:rPr>
        <w:t xml:space="preserve"> Sekundärrezeption durch </w:t>
      </w:r>
      <w:r>
        <w:rPr>
          <w:rFonts w:ascii="Arial" w:hAnsi="Arial"/>
          <w:b w:val="0"/>
          <w:i/>
          <w:sz w:val="19"/>
        </w:rPr>
        <w:t>Eunews</w:t>
      </w:r>
      <w:r>
        <w:rPr>
          <w:rFonts w:ascii="Arial" w:hAnsi="Arial"/>
          <w:b w:val="0"/>
          <w:i w:val="0"/>
          <w:sz w:val="19"/>
        </w:rPr>
        <w:t xml:space="preserve"> (</w:t>
      </w:r>
      <w:r>
        <w:rPr>
          <w:rFonts w:ascii="Arial" w:hAnsi="Arial"/>
          <w:b w:val="0"/>
          <w:i/>
          <w:sz w:val="19"/>
        </w:rPr>
        <w:t>„Produce, invest, and protect: von der Leyen's recipe for Europe's competitiveness"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w:t>
      </w:r>
      <w:r>
        <w:rPr>
          <w:rFonts w:ascii="Arial" w:hAnsi="Arial"/>
          <w:b w:val="0"/>
          <w:i/>
          <w:sz w:val="19"/>
        </w:rPr>
        <w:t>„Europe's independence hinges on innovation, von der Leyen says"</w:t>
      </w:r>
      <w:r>
        <w:rPr>
          <w:rFonts w:ascii="Arial" w:hAnsi="Arial"/>
          <w:b w:val="0"/>
          <w:i w:val="0"/>
          <w:sz w:val="19"/>
        </w:rPr>
        <w:t xml:space="preserve">). Kernaussagen im Konjunktiv referiert nach § 4.2 Claude.md: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Adminis­trations­abbau um 25 % (35 % für KMU) bis 2029; Verweis auf die 30. Juli 2026 gestartete </w:t>
      </w:r>
      <w:r>
        <w:rPr>
          <w:rFonts w:ascii="Arial" w:hAnsi="Arial"/>
          <w:b w:val="0"/>
          <w:i/>
          <w:sz w:val="19"/>
        </w:rPr>
        <w:t>AI-Gigafactories</w:t>
      </w:r>
      <w:r>
        <w:rPr>
          <w:rFonts w:ascii="Arial" w:hAnsi="Arial"/>
          <w:b w:val="0"/>
          <w:i w:val="0"/>
          <w:sz w:val="19"/>
        </w:rPr>
        <w:t xml:space="preserve">-Ausschreibung als tragende Säule der industriepolitischen Antwort. Aufnahme in § 8.2 als industriepolitische Flankierung der </w:t>
      </w:r>
      <w:r>
        <w:rPr>
          <w:rFonts w:ascii="Arial" w:hAnsi="Arial"/>
          <w:b w:val="0"/>
          <w:i/>
          <w:sz w:val="19"/>
        </w:rPr>
        <w:t>Veredelungsstrategie</w:t>
      </w:r>
      <w:r>
        <w:rPr>
          <w:rFonts w:ascii="Arial" w:hAnsi="Arial"/>
          <w:b w:val="0"/>
          <w:i w:val="0"/>
          <w:sz w:val="19"/>
        </w:rPr>
        <w:t xml:space="preserve"> mit Rückwirkung auf § 4.4 (europäisches Sekundärrecht) und § 8.4 (Systemstabilität). https://www.eunews.it/en/2026/08/27/produce-invest-and-protect-von-der-leyens-recipe-for-europes-competitiveness/ | https://sciencebusiness.net/news/planning-fp10/europes-independence-hinges-innovation-von-der-leyen-says</w:t>
      </w:r>
    </w:p>
    <w:p>
      <w:pPr>
        <w:jc w:val="both"/>
      </w:pPr>
      <w:r>
        <w:rPr>
          <w:rFonts w:ascii="Arial" w:hAnsi="Arial"/>
          <w:b w:val="0"/>
          <w:i w:val="0"/>
          <w:sz w:val="19"/>
        </w:rPr>
        <w:t xml:space="preserve">von der Leyen, U. (Präsidentin der Europäischen Kommission). (27. August 2026). </w:t>
      </w:r>
      <w:r>
        <w:rPr>
          <w:rFonts w:ascii="Arial" w:hAnsi="Arial"/>
          <w:b w:val="0"/>
          <w:i/>
          <w:sz w:val="19"/>
        </w:rPr>
        <w:t>Speech by President von der Leyen at the annual conference „La Rencontre des Entrepreneurs de France 2026".</w:t>
      </w:r>
      <w:r>
        <w:rPr>
          <w:rFonts w:ascii="Arial" w:hAnsi="Arial"/>
          <w:b w:val="0"/>
          <w:i w:val="0"/>
          <w:sz w:val="19"/>
        </w:rPr>
        <w:t xml:space="preserve"> SPEECH/26/1765, Paris. Primärquellen­text im </w:t>
      </w:r>
      <w:r>
        <w:rPr>
          <w:rFonts w:ascii="Arial" w:hAnsi="Arial"/>
          <w:b w:val="0"/>
          <w:i/>
          <w:sz w:val="19"/>
        </w:rPr>
        <w:t>Presscorner</w:t>
      </w:r>
      <w:r>
        <w:rPr>
          <w:rFonts w:ascii="Arial" w:hAnsi="Arial"/>
          <w:b w:val="0"/>
          <w:i w:val="0"/>
          <w:sz w:val="19"/>
        </w:rPr>
        <w:t xml:space="preserve"> der Europäischen Kommission. Sechs Herausforderungen für die europäische Wettbewerbsfähigkeit; für § 8.2 (Veredelungs­strategie) relevant sind die Angaben zur ersten </w:t>
      </w:r>
      <w:r>
        <w:rPr>
          <w:rFonts w:ascii="Arial" w:hAnsi="Arial"/>
          <w:b w:val="0"/>
          <w:i/>
          <w:sz w:val="19"/>
        </w:rPr>
        <w:t>AI-Gigafactories</w:t>
      </w:r>
      <w:r>
        <w:rPr>
          <w:rFonts w:ascii="Arial" w:hAnsi="Arial"/>
          <w:b w:val="0"/>
          <w:i w:val="0"/>
          <w:sz w:val="19"/>
        </w:rPr>
        <w:t xml:space="preserve">-Ausschreibung (77 Vorschläge aus 16 Mitgliedstaaten an 60 Standorten, zweite Runde eröffnet im Sommer 2026), das im Herbst 2026 angekündigte </w:t>
      </w:r>
      <w:r>
        <w:rPr>
          <w:rFonts w:ascii="Arial" w:hAnsi="Arial"/>
          <w:b w:val="0"/>
          <w:i/>
          <w:sz w:val="19"/>
        </w:rPr>
        <w:t>Fair-Labour-Mobility-Package</w:t>
      </w:r>
      <w:r>
        <w:rPr>
          <w:rFonts w:ascii="Arial" w:hAnsi="Arial"/>
          <w:b w:val="0"/>
          <w:i w:val="0"/>
          <w:sz w:val="19"/>
        </w:rPr>
        <w:t xml:space="preserve"> (Stärkung der </w:t>
      </w:r>
      <w:r>
        <w:rPr>
          <w:rFonts w:ascii="Arial" w:hAnsi="Arial"/>
          <w:b w:val="0"/>
          <w:i/>
          <w:sz w:val="19"/>
        </w:rPr>
        <w:t>European Labour Authority</w:t>
      </w:r>
      <w:r>
        <w:rPr>
          <w:rFonts w:ascii="Arial" w:hAnsi="Arial"/>
          <w:b w:val="0"/>
          <w:i w:val="0"/>
          <w:sz w:val="19"/>
        </w:rPr>
        <w:t xml:space="preserve">, </w:t>
      </w:r>
      <w:r>
        <w:rPr>
          <w:rFonts w:ascii="Arial" w:hAnsi="Arial"/>
          <w:b w:val="0"/>
          <w:i/>
          <w:sz w:val="19"/>
        </w:rPr>
        <w:t>European Social Security Pass</w:t>
      </w:r>
      <w:r>
        <w:rPr>
          <w:rFonts w:ascii="Arial" w:hAnsi="Arial"/>
          <w:b w:val="0"/>
          <w:i w:val="0"/>
          <w:sz w:val="19"/>
        </w:rPr>
        <w:t xml:space="preserve">, EU-weite Anerkennung von Qualifikationen), die </w:t>
      </w:r>
      <w:r>
        <w:rPr>
          <w:rFonts w:ascii="Arial" w:hAnsi="Arial"/>
          <w:b w:val="0"/>
          <w:i/>
          <w:sz w:val="19"/>
        </w:rPr>
        <w:t>Savings and Investment Union</w:t>
      </w:r>
      <w:r>
        <w:rPr>
          <w:rFonts w:ascii="Arial" w:hAnsi="Arial"/>
          <w:b w:val="0"/>
          <w:i w:val="0"/>
          <w:sz w:val="19"/>
        </w:rPr>
        <w:t xml:space="preserve"> (bis zu 470 Milliarden Euro zusätzlich mobilisierbar aus rund 10 Billionen Euro Haushalts­spar­volumen),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die 12 Omnibus-Vereinfachungspakete (17 Milliarden Euro Jahres-Ersparnis, davon sechs Pakete = 6 Milliarden Euro bereits vereinbart) sowie der </w:t>
      </w:r>
      <w:r>
        <w:rPr>
          <w:rFonts w:ascii="Arial" w:hAnsi="Arial"/>
          <w:b w:val="0"/>
          <w:i/>
          <w:sz w:val="19"/>
        </w:rPr>
        <w:t>Industrial Accelerator Act</w:t>
      </w:r>
      <w:r>
        <w:rPr>
          <w:rFonts w:ascii="Arial" w:hAnsi="Arial"/>
          <w:b w:val="0"/>
          <w:i w:val="0"/>
          <w:sz w:val="19"/>
        </w:rPr>
        <w:t xml:space="preserve"> (European preference, Leitmärkte für Stahl, Zement, Aluminium, Fahrzeuge, Batterien, saubere Technologien). Aufnahme in § 8.2 (Erste Fortschreibung Version 79.0 → 80.0) mit Rückwirkung auf § 5.2 (Bürgerversicherung), § 4.4 (europäisches Sekundärrecht) und § 8.3 (wertschöpfungs­bezogene Zugriffsarchitektur). https://ec.europa.eu/commission/presscorner/detail/en/speech_26_1765</w:t>
      </w:r>
    </w:p>
    <w:p>
      <w:pPr>
        <w:jc w:val="both"/>
      </w:pPr>
      <w:r>
        <w:rPr>
          <w:rFonts w:ascii="Arial" w:hAnsi="Arial"/>
          <w:b w:val="0"/>
          <w:i w:val="0"/>
          <w:sz w:val="19"/>
        </w:rPr>
        <w:t xml:space="preserve">Bundesregierung der Bundesrepublik Deutschland / Bundesministerium für Arbeit und Soziales / heise online / callcenterprofi.de. (20. August 2026, veröffentlicht in Sekundärrezeption ab 23. August 2026). </w:t>
      </w:r>
      <w:r>
        <w:rPr>
          <w:rFonts w:ascii="Arial" w:hAnsi="Arial"/>
          <w:b w:val="0"/>
          <w:i/>
          <w:sz w:val="19"/>
        </w:rPr>
        <w:t>Antwort der Bundesregierung auf die Kleine Anfrage der Abgeordneten Martin Hess, Dr. Gottfried Curio, weiterer Abgeordneter und der Fraktion der AfD — Auswirkungen Künstlicher Intelligenz auf den Arbeitsmarkteinstieg.</w:t>
      </w:r>
      <w:r>
        <w:rPr>
          <w:rFonts w:ascii="Arial" w:hAnsi="Arial"/>
          <w:b w:val="0"/>
          <w:i w:val="0"/>
          <w:sz w:val="19"/>
        </w:rPr>
        <w:t xml:space="preserve"> Bundestagsdrucksache 21/7620, 21. Wahlperiode, Antwort auf Kleine Anfrage 21/7421 (30. Juli 2026). Erste ausformulierte Positionierung der Bundesregierung zur KI-bedingten Verdrängungswirkung in einem parlamentarischen Antwort­dokument; Kernaussagen im Konjunktiv referiert nach § 4.2 Claude.md: keine belastbaren Hinweise auf einen systematischen KI-bedingten Beschäftigungsabbau in Deutschland, KI ersetze </w:t>
      </w:r>
      <w:r>
        <w:rPr>
          <w:rFonts w:ascii="Arial" w:hAnsi="Arial"/>
          <w:b w:val="0"/>
          <w:i/>
          <w:sz w:val="19"/>
        </w:rPr>
        <w:t>„selten ganze Berufsbilder"</w:t>
      </w:r>
      <w:r>
        <w:rPr>
          <w:rFonts w:ascii="Arial" w:hAnsi="Arial"/>
          <w:b w:val="0"/>
          <w:i w:val="0"/>
          <w:sz w:val="19"/>
        </w:rPr>
        <w:t xml:space="preserve"> und verändere primär </w:t>
      </w:r>
      <w:r>
        <w:rPr>
          <w:rFonts w:ascii="Arial" w:hAnsi="Arial"/>
          <w:b w:val="0"/>
          <w:i/>
          <w:sz w:val="19"/>
        </w:rPr>
        <w:t>„konkrete Aufgaben"</w:t>
      </w:r>
      <w:r>
        <w:rPr>
          <w:rFonts w:ascii="Arial" w:hAnsi="Arial"/>
          <w:b w:val="0"/>
          <w:i w:val="0"/>
          <w:sz w:val="19"/>
        </w:rPr>
        <w:t xml:space="preserve"> innerhalb bestehender Berufe, seit 2019 gesunkene Abgangsrate von Erwerbslosen unter 25 Jahren in Beschäftigung </w:t>
      </w:r>
      <w:r>
        <w:rPr>
          <w:rFonts w:ascii="Arial" w:hAnsi="Arial"/>
          <w:b w:val="0"/>
          <w:i/>
          <w:sz w:val="19"/>
        </w:rPr>
        <w:t>„nicht kausal"</w:t>
      </w:r>
      <w:r>
        <w:rPr>
          <w:rFonts w:ascii="Arial" w:hAnsi="Arial"/>
          <w:b w:val="0"/>
          <w:i w:val="0"/>
          <w:sz w:val="19"/>
        </w:rPr>
        <w:t xml:space="preserve"> mit KI-Nutzung verbindbar, keine empirische Evidenz für Gehaltseinbußen; als politische Reaktion Verweis auf das seit 2020 im </w:t>
      </w:r>
      <w:r>
        <w:rPr>
          <w:rFonts w:ascii="Arial" w:hAnsi="Arial"/>
          <w:b w:val="0"/>
          <w:i/>
          <w:sz w:val="19"/>
        </w:rPr>
        <w:t>Bundesministerium für Arbeit und Soziales</w:t>
      </w:r>
      <w:r>
        <w:rPr>
          <w:rFonts w:ascii="Arial" w:hAnsi="Arial"/>
          <w:b w:val="0"/>
          <w:i w:val="0"/>
          <w:sz w:val="19"/>
        </w:rPr>
        <w:t xml:space="preserve"> geführte </w:t>
      </w:r>
      <w:r>
        <w:rPr>
          <w:rFonts w:ascii="Arial" w:hAnsi="Arial"/>
          <w:b w:val="0"/>
          <w:i/>
          <w:sz w:val="19"/>
        </w:rPr>
        <w:t>Observatorium KI in Arbeit und Gesellschaft</w:t>
      </w:r>
      <w:r>
        <w:rPr>
          <w:rFonts w:ascii="Arial" w:hAnsi="Arial"/>
          <w:b w:val="0"/>
          <w:i w:val="0"/>
          <w:sz w:val="19"/>
        </w:rPr>
        <w:t xml:space="preserve">, das Projekt </w:t>
      </w:r>
      <w:r>
        <w:rPr>
          <w:rFonts w:ascii="Arial" w:hAnsi="Arial"/>
          <w:b w:val="0"/>
          <w:i/>
          <w:sz w:val="19"/>
        </w:rPr>
        <w:t>ai:conomics</w:t>
      </w:r>
      <w:r>
        <w:rPr>
          <w:rFonts w:ascii="Arial" w:hAnsi="Arial"/>
          <w:b w:val="0"/>
          <w:i w:val="0"/>
          <w:sz w:val="19"/>
        </w:rPr>
        <w:t xml:space="preserve"> und eine bis 2030 angestrebte Weiterbildungsquote von 65 Prozent, ohne Adressierung fiskalischer Instrumente (Robotersteuer nach § 2.1, Wertschöpfungsabgabe nach § 5.1, KI-spezifische Ersatzabgabe des Typs 5 nach § 2.1, Staatsfonds-Modell nach § 5.4). Sekundärrezeption: </w:t>
      </w:r>
      <w:r>
        <w:rPr>
          <w:rFonts w:ascii="Arial" w:hAnsi="Arial"/>
          <w:b w:val="0"/>
          <w:i/>
          <w:sz w:val="19"/>
        </w:rPr>
        <w:t>heise online</w:t>
      </w:r>
      <w:r>
        <w:rPr>
          <w:rFonts w:ascii="Arial" w:hAnsi="Arial"/>
          <w:b w:val="0"/>
          <w:i w:val="0"/>
          <w:sz w:val="19"/>
        </w:rPr>
        <w:t xml:space="preserve"> (23. August 2026, Zsolt Wilhelm, </w:t>
      </w:r>
      <w:r>
        <w:rPr>
          <w:rFonts w:ascii="Arial" w:hAnsi="Arial"/>
          <w:b w:val="0"/>
          <w:i/>
          <w:sz w:val="19"/>
        </w:rPr>
        <w:t>„KI am Arbeitsplatz: Bundesregierung sieht keinen systematischen Stellenabbau"</w:t>
      </w:r>
      <w:r>
        <w:rPr>
          <w:rFonts w:ascii="Arial" w:hAnsi="Arial"/>
          <w:b w:val="0"/>
          <w:i w:val="0"/>
          <w:sz w:val="19"/>
        </w:rPr>
        <w:t xml:space="preserve">), </w:t>
      </w:r>
      <w:r>
        <w:rPr>
          <w:rFonts w:ascii="Arial" w:hAnsi="Arial"/>
          <w:b w:val="0"/>
          <w:i/>
          <w:sz w:val="19"/>
        </w:rPr>
        <w:t>callcenterprofi.de</w:t>
      </w:r>
      <w:r>
        <w:rPr>
          <w:rFonts w:ascii="Arial" w:hAnsi="Arial"/>
          <w:b w:val="0"/>
          <w:i w:val="0"/>
          <w:sz w:val="19"/>
        </w:rPr>
        <w:t xml:space="preserve"> (24. August 2026, </w:t>
      </w:r>
      <w:r>
        <w:rPr>
          <w:rFonts w:ascii="Arial" w:hAnsi="Arial"/>
          <w:b w:val="0"/>
          <w:i/>
          <w:sz w:val="19"/>
        </w:rPr>
        <w:t>„Bundesregierung sieht bislang keinen KI-bedingten Beschäftigungsabbau"</w:t>
      </w:r>
      <w:r>
        <w:rPr>
          <w:rFonts w:ascii="Arial" w:hAnsi="Arial"/>
          <w:b w:val="0"/>
          <w:i w:val="0"/>
          <w:sz w:val="19"/>
        </w:rPr>
        <w:t xml:space="preserve">), </w:t>
      </w:r>
      <w:r>
        <w:rPr>
          <w:rFonts w:ascii="Arial" w:hAnsi="Arial"/>
          <w:b w:val="0"/>
          <w:i/>
          <w:sz w:val="19"/>
        </w:rPr>
        <w:t>business-punk.com</w:t>
      </w:r>
      <w:r>
        <w:rPr>
          <w:rFonts w:ascii="Arial" w:hAnsi="Arial"/>
          <w:b w:val="0"/>
          <w:i w:val="0"/>
          <w:sz w:val="19"/>
        </w:rPr>
        <w:t xml:space="preserve"> (August 2026, </w:t>
      </w:r>
      <w:r>
        <w:rPr>
          <w:rFonts w:ascii="Arial" w:hAnsi="Arial"/>
          <w:b w:val="0"/>
          <w:i/>
          <w:sz w:val="19"/>
        </w:rPr>
        <w:t>„KI-Jobangst: Berlin gibt Entwarnung, Zahlen malen ein anderes Bild"</w:t>
      </w:r>
      <w:r>
        <w:rPr>
          <w:rFonts w:ascii="Arial" w:hAnsi="Arial"/>
          <w:b w:val="0"/>
          <w:i w:val="0"/>
          <w:sz w:val="19"/>
        </w:rPr>
        <w:t xml:space="preserve">). Aufnahme in § 4.2 als </w:t>
      </w:r>
      <w:r>
        <w:rPr>
          <w:rFonts w:ascii="Arial" w:hAnsi="Arial"/>
          <w:b w:val="0"/>
          <w:i/>
          <w:sz w:val="19"/>
        </w:rPr>
        <w:t>Aktualisierung (Stand 23. August 2026)</w:t>
      </w:r>
      <w:r>
        <w:rPr>
          <w:rFonts w:ascii="Arial" w:hAnsi="Arial"/>
          <w:b w:val="0"/>
          <w:i w:val="0"/>
          <w:sz w:val="19"/>
        </w:rPr>
        <w:t xml:space="preserve"> mit Rückwirkung auf § 3.5 (Kausalattributions-Kontroverse), § 4.5 (Vergleichspunkt zur US-Sanders-/Casar-Vorlage und zur südkoreanischen Deployer-Beitrags­gesetz­gebung), § 5.1 (Wertschöpfungsabgabe-Debatte in Deutschland), § 8.4 (Systemstabilität, Timing-Asymmetrie) und § 9.1 (Kausalattribution im Verwaltungsvollzug). https://dserver.bundestag.de/btd/21/076/2107620.pdf | https://dserver.bundestag.de/btd/21/074/2107421.pdf | https://www.heise.de/news/KI-am-Arbeitsplatz-Bundesregierung-sieht-keinen-systematischen-Stellenabbau-11423001.html | https://www.callcenterprofi.de/branchennews/detailseite/bundesregierung-sieht-bislang-keinen-ki-bedingten-beschaeftigungsabbau-20268932/ | https://www.business-punk.com/work/ki-jobangst-berlin-gibt-entwarnung-zahlen-malen-ein-anderes-bild/</w:t>
      </w:r>
    </w:p>
    <w:p>
      <w:pPr>
        <w:jc w:val="both"/>
      </w:pPr>
      <w:r>
        <w:rPr>
          <w:rFonts w:ascii="Arial" w:hAnsi="Arial"/>
          <w:b w:val="0"/>
          <w:i w:val="0"/>
          <w:sz w:val="19"/>
        </w:rPr>
        <w:t xml:space="preserve">Warsh, K. (Chairman, Board of Governors of the Federal Reserve System). (28. August 2026). </w:t>
      </w:r>
      <w:r>
        <w:rPr>
          <w:rFonts w:ascii="Arial" w:hAnsi="Arial"/>
          <w:b w:val="0"/>
          <w:i/>
          <w:sz w:val="19"/>
        </w:rPr>
        <w:t>In Our Time — Keynote Remarks at the 2026 Jackson Hole Economic Policy Symposium.</w:t>
      </w:r>
      <w:r>
        <w:rPr>
          <w:rFonts w:ascii="Arial" w:hAnsi="Arial"/>
          <w:b w:val="0"/>
          <w:i w:val="0"/>
          <w:sz w:val="19"/>
        </w:rPr>
        <w:t xml:space="preserve"> Federal Reserve Bank of Kansas City. Kernaussagen im Konjunktiv referiert nach § 4.2 Claude.md: annualisierte Token-Umsätze der beiden führenden Labore mehr als 100 Milliarden US-Dollar (Wachstum &gt; 500 % gegenüber Vorjahr); Ausrüstungs- und Immaterialgüter­investitionen wachsen rund 9 % (schnellstes Tempo seit 2021, mehr als die Hälfte KI-getrieben); Konzerngewinne &gt; 20 % jährlich bei erhöhten Margen; Abkehr von der forward-guidance-Praxis (</w:t>
      </w:r>
      <w:r>
        <w:rPr>
          <w:rFonts w:ascii="Arial" w:hAnsi="Arial"/>
          <w:b w:val="0"/>
          <w:i/>
          <w:sz w:val="19"/>
        </w:rPr>
        <w:t>„transparency in communications about future policy decisions is not a virtue unto itself"</w:t>
      </w:r>
      <w:r>
        <w:rPr>
          <w:rFonts w:ascii="Arial" w:hAnsi="Arial"/>
          <w:b w:val="0"/>
          <w:i w:val="0"/>
          <w:sz w:val="19"/>
        </w:rPr>
        <w:t xml:space="preserve">) und Warnung vor einem </w:t>
      </w:r>
      <w:r>
        <w:rPr>
          <w:rFonts w:ascii="Arial" w:hAnsi="Arial"/>
          <w:b w:val="0"/>
          <w:i/>
          <w:sz w:val="19"/>
        </w:rPr>
        <w:t>hall-of-mirrors problem</w:t>
      </w:r>
      <w:r>
        <w:rPr>
          <w:rFonts w:ascii="Arial" w:hAnsi="Arial"/>
          <w:b w:val="0"/>
          <w:i w:val="0"/>
          <w:sz w:val="19"/>
        </w:rPr>
        <w:t xml:space="preserve"> zwischen Fed und Märkten; Kriterium für Zinssenkung (</w:t>
      </w:r>
      <w:r>
        <w:rPr>
          <w:rFonts w:ascii="Arial" w:hAnsi="Arial"/>
          <w:b w:val="0"/>
          <w:i/>
          <w:sz w:val="19"/>
        </w:rPr>
        <w:t>„underlying inflation … clearly and at sufficient speed"</w:t>
      </w:r>
      <w:r>
        <w:rPr>
          <w:rFonts w:ascii="Arial" w:hAnsi="Arial"/>
          <w:b w:val="0"/>
          <w:i w:val="0"/>
          <w:sz w:val="19"/>
        </w:rPr>
        <w:t xml:space="preserve">) gebunden an Breitenmesser: 49 % der PCE-Komponenten mit annualisierten Anstiegen über 3 % im 6-Monats-Fenster; fünf neu eingerichtete Fed-Task-Forces (Kommunikation, Bilanzpolitik, Daten, Produktivität und Beschäftigung, Inflations­rahmenwerk). Sekundärrezeption: </w:t>
      </w:r>
      <w:r>
        <w:rPr>
          <w:rFonts w:ascii="Arial" w:hAnsi="Arial"/>
          <w:b w:val="0"/>
          <w:i/>
          <w:sz w:val="19"/>
        </w:rPr>
        <w:t>CNBC</w:t>
      </w:r>
      <w:r>
        <w:rPr>
          <w:rFonts w:ascii="Arial" w:hAnsi="Arial"/>
          <w:b w:val="0"/>
          <w:i w:val="0"/>
          <w:sz w:val="19"/>
        </w:rPr>
        <w:t xml:space="preserve"> (27. August 2026, </w:t>
      </w:r>
      <w:r>
        <w:rPr>
          <w:rFonts w:ascii="Arial" w:hAnsi="Arial"/>
          <w:b w:val="0"/>
          <w:i/>
          <w:sz w:val="19"/>
        </w:rPr>
        <w:t>„Fed Chairman Kevin Warsh delivers his key Jackson Hole speech Friday. Here's what to expect"</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Aufnahme in § 8.2 als vierte Fortschreibung der Konstruktion (vii) </w:t>
      </w:r>
      <w:r>
        <w:rPr>
          <w:rFonts w:ascii="Arial" w:hAnsi="Arial"/>
          <w:b w:val="0"/>
          <w:i/>
          <w:sz w:val="19"/>
        </w:rPr>
        <w:t>makrofinanzielle Verdrängungswirkung</w:t>
      </w:r>
      <w:r>
        <w:rPr>
          <w:rFonts w:ascii="Arial" w:hAnsi="Arial"/>
          <w:b w:val="0"/>
          <w:i w:val="0"/>
          <w:sz w:val="19"/>
        </w:rPr>
        <w:t xml:space="preserve"> mit Rückwirkung auf § 8.3 (Bestätigung der wertschöpfungs­bezogenen Präferenz), § 8.4 (Systemstabilität, Kopplung KI-Capex/Zinskurve) und § 4.5 (fiskalische Volatilität der Sanders-Bestandslogik). https://www.federalreserve.gov/newsevents/speech/warsh20260828a.htm | https://www.cnbc.com/2026/08/27/fed-chairman-kevin-warsh-delivers-his-key-jackson-hole-speech-friday.html | https://crypto.news/warsh-jackson-hole-keynote-financial-innovation-crypto/ | https://www.xtb.com/en/education/jackson-hole-2026-warsh-fed-speech | https://www.regardsofwallstreet.com/news/jackson-hole-2026-dates-schedule-warsh-first-speech | https://qz.com/fed-chair-kevin-warsh-jackson-hole-speech-082826</w:t>
      </w:r>
    </w:p>
    <w:p>
      <w:pPr>
        <w:jc w:val="both"/>
      </w:pPr>
      <w:r>
        <w:rPr>
          <w:rFonts w:ascii="Arial" w:hAnsi="Arial"/>
          <w:b w:val="0"/>
          <w:i w:val="0"/>
          <w:sz w:val="19"/>
        </w:rPr>
        <w:t xml:space="preserve">Capoot, A. (21. August 2026). </w:t>
      </w:r>
      <w:r>
        <w:rPr>
          <w:rFonts w:ascii="Arial" w:hAnsi="Arial"/>
          <w:b w:val="0"/>
          <w:i/>
          <w:sz w:val="19"/>
        </w:rPr>
        <w:t>Anthropic IPO filing will show AI backlash as a risk factor, sources say.</w:t>
      </w:r>
      <w:r>
        <w:rPr>
          <w:rFonts w:ascii="Arial" w:hAnsi="Arial"/>
          <w:b w:val="0"/>
          <w:i w:val="0"/>
          <w:sz w:val="19"/>
        </w:rPr>
        <w:t xml:space="preserve"> CNBC. Erstmalige Rezeption eines eigenständigen Risikofaktors </w:t>
      </w:r>
      <w:r>
        <w:rPr>
          <w:rFonts w:ascii="Arial" w:hAnsi="Arial"/>
          <w:b w:val="0"/>
          <w:i/>
          <w:sz w:val="19"/>
        </w:rPr>
        <w:t>AI-Backlash</w:t>
      </w:r>
      <w:r>
        <w:rPr>
          <w:rFonts w:ascii="Arial" w:hAnsi="Arial"/>
          <w:b w:val="0"/>
          <w:i w:val="0"/>
          <w:sz w:val="19"/>
        </w:rPr>
        <w:t xml:space="preserve"> in einem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IPO-Prospekt eines Frontier-Modell-Anbieters (</w:t>
      </w:r>
      <w:r>
        <w:rPr>
          <w:rFonts w:ascii="Arial" w:hAnsi="Arial"/>
          <w:b w:val="0"/>
          <w:i/>
          <w:sz w:val="19"/>
        </w:rPr>
        <w:t>Anthropic PBC</w:t>
      </w:r>
      <w:r>
        <w:rPr>
          <w:rFonts w:ascii="Arial" w:hAnsi="Arial"/>
          <w:b w:val="0"/>
          <w:i w:val="0"/>
          <w:sz w:val="19"/>
        </w:rPr>
        <w:t xml:space="preserve">); Verweis auf eine </w:t>
      </w:r>
      <w:r>
        <w:rPr>
          <w:rFonts w:ascii="Arial" w:hAnsi="Arial"/>
          <w:b w:val="0"/>
          <w:i/>
          <w:sz w:val="19"/>
        </w:rPr>
        <w:t>Gallup</w:t>
      </w:r>
      <w:r>
        <w:rPr>
          <w:rFonts w:ascii="Arial" w:hAnsi="Arial"/>
          <w:b w:val="0"/>
          <w:i w:val="0"/>
          <w:sz w:val="19"/>
        </w:rPr>
        <w:t xml:space="preserve">-Erhebung vom Mai 2026 mit rund 70 % Ablehnung neuer KI-Rechenzentren im eigenen Umfeld (davon rund die Hälfte in </w:t>
      </w:r>
      <w:r>
        <w:rPr>
          <w:rFonts w:ascii="Arial" w:hAnsi="Arial"/>
          <w:b w:val="0"/>
          <w:i/>
          <w:sz w:val="19"/>
        </w:rPr>
        <w:t>starker</w:t>
      </w:r>
      <w:r>
        <w:rPr>
          <w:rFonts w:ascii="Arial" w:hAnsi="Arial"/>
          <w:b w:val="0"/>
          <w:i w:val="0"/>
          <w:sz w:val="19"/>
        </w:rPr>
        <w:t xml:space="preserve"> Ablehnung); Investorengespräche des Chief Financial Officers </w:t>
      </w:r>
      <w:r>
        <w:rPr>
          <w:rFonts w:ascii="Arial" w:hAnsi="Arial"/>
          <w:b w:val="0"/>
          <w:i/>
          <w:sz w:val="19"/>
        </w:rPr>
        <w:t>Krishna Rao</w:t>
      </w:r>
      <w:r>
        <w:rPr>
          <w:rFonts w:ascii="Arial" w:hAnsi="Arial"/>
          <w:b w:val="0"/>
          <w:i w:val="0"/>
          <w:sz w:val="19"/>
        </w:rPr>
        <w:t xml:space="preserve"> zu Wettbewerbs- und Margendruck durch Open-Weight-Modelle sowie zu einer möglichen Verlangsamung des Rechen­zentrums­ausbaus. Der Vorgang berührt die im Papier bereits verzeichnete Zielbewertung (</w:t>
      </w:r>
      <w:r>
        <w:rPr>
          <w:rFonts w:ascii="Arial" w:hAnsi="Arial"/>
          <w:b w:val="0"/>
          <w:i/>
          <w:sz w:val="19"/>
        </w:rPr>
        <w:t>Bloomberg</w:t>
      </w:r>
      <w:r>
        <w:rPr>
          <w:rFonts w:ascii="Arial" w:hAnsi="Arial"/>
          <w:b w:val="0"/>
          <w:i w:val="0"/>
          <w:sz w:val="19"/>
        </w:rPr>
        <w:t xml:space="preserve"> 17. August 2026, rund 2 Billionen US-Dollar) und markiert nach </w:t>
      </w:r>
      <w:r>
        <w:rPr>
          <w:rFonts w:ascii="Arial" w:hAnsi="Arial"/>
          <w:b w:val="0"/>
          <w:i/>
          <w:sz w:val="19"/>
        </w:rPr>
        <w:t>Gizmodo</w:t>
      </w:r>
      <w:r>
        <w:rPr>
          <w:rFonts w:ascii="Arial" w:hAnsi="Arial"/>
          <w:b w:val="0"/>
          <w:i w:val="0"/>
          <w:sz w:val="19"/>
        </w:rPr>
        <w:t xml:space="preserve">-Einordnung erstmals die Aufnahme eines </w:t>
      </w:r>
      <w:r>
        <w:rPr>
          <w:rFonts w:ascii="Arial" w:hAnsi="Arial"/>
          <w:b w:val="0"/>
          <w:i/>
          <w:sz w:val="19"/>
        </w:rPr>
        <w:t>AI-Backlash</w:t>
      </w:r>
      <w:r>
        <w:rPr>
          <w:rFonts w:ascii="Arial" w:hAnsi="Arial"/>
          <w:b w:val="0"/>
          <w:i w:val="0"/>
          <w:sz w:val="19"/>
        </w:rPr>
        <w:t xml:space="preserve">-Risikofaktors bei einem Frontier-KI-Anbieter dieser Größenordnung. Sekundärrezeption: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Value Add Pulse</w:t>
      </w:r>
      <w:r>
        <w:rPr>
          <w:rFonts w:ascii="Arial" w:hAnsi="Arial"/>
          <w:b w:val="0"/>
          <w:i w:val="0"/>
          <w:sz w:val="19"/>
        </w:rPr>
        <w:t xml:space="preserve"> (</w:t>
      </w:r>
      <w:r>
        <w:rPr>
          <w:rFonts w:ascii="Arial" w:hAnsi="Arial"/>
          <w:b w:val="0"/>
          <w:i/>
          <w:sz w:val="19"/>
        </w:rPr>
        <w:t>„Anthropic's IPO filing will list AI backlash as a risk"</w:t>
      </w:r>
      <w:r>
        <w:rPr>
          <w:rFonts w:ascii="Arial" w:hAnsi="Arial"/>
          <w:b w:val="0"/>
          <w:i w:val="0"/>
          <w:sz w:val="19"/>
        </w:rPr>
        <w:t xml:space="preserve">), </w:t>
      </w:r>
      <w:r>
        <w:rPr>
          <w:rFonts w:ascii="Arial" w:hAnsi="Arial"/>
          <w:b w:val="0"/>
          <w:i/>
          <w:sz w:val="19"/>
        </w:rPr>
        <w:t>PromptZone</w:t>
      </w:r>
      <w:r>
        <w:rPr>
          <w:rFonts w:ascii="Arial" w:hAnsi="Arial"/>
          <w:b w:val="0"/>
          <w:i w:val="0"/>
          <w:sz w:val="19"/>
        </w:rPr>
        <w:t xml:space="preserve"> (</w:t>
      </w:r>
      <w:r>
        <w:rPr>
          <w:rFonts w:ascii="Arial" w:hAnsi="Arial"/>
          <w:b w:val="0"/>
          <w:i/>
          <w:sz w:val="19"/>
        </w:rPr>
        <w:t>„Will AI Backlash Hit Anthropic's IPO?"</w:t>
      </w:r>
      <w:r>
        <w:rPr>
          <w:rFonts w:ascii="Arial" w:hAnsi="Arial"/>
          <w:b w:val="0"/>
          <w:i w:val="0"/>
          <w:sz w:val="19"/>
        </w:rPr>
        <w:t>). Aufnahme in § 8.3 als Legitimationsbedingung der Teilhabearchitektur mit Rückwirkung auf § 8.2 (Konstruktion (vii) makrofinanzielle Verdrängungswirkung, Anthropic-Zielbewertung), § 8.4 (Systemstabilität, gesellschaftliche Legitimation als bilanzierte Größe) und § 4.5 (Sanders-</w:t>
      </w:r>
      <w:r>
        <w:rPr>
          <w:rFonts w:ascii="Arial" w:hAnsi="Arial"/>
          <w:b w:val="0"/>
          <w:i/>
          <w:sz w:val="19"/>
        </w:rPr>
        <w:t>American-A.I.-Sovereign-Wealth-Fund-Act</w:t>
      </w:r>
      <w:r>
        <w:rPr>
          <w:rFonts w:ascii="Arial" w:hAnsi="Arial"/>
          <w:b w:val="0"/>
          <w:i w:val="0"/>
          <w:sz w:val="19"/>
        </w:rPr>
        <w:t>-Bestandslogik). Konjunktivpflicht nach § 4.2 Claude.md, da der volle Prospekttext bis zum Redaktionsschluss nicht öffentlich ist. https://www.cnbc.com/2026/08/21/-anthropic-ipo-filing-will-show-ai-backlash-as-risk-sources-say.html | https://gizmodo.com/anthropic-is-reportedly-being-upfront-with-would-be-investors-about-ai-backlash-2000801944 | https://blockonomi.com/anthropic-ipo-faces-ai-backlash-risk-before-record-market-debut/ | https://valueaddvc.com/pulse/anthropic-ipo-filing-ai-backlash-risk-factor-2026 | https://www.promptzone.com/kabir_kovac/will-ai-backlash-hit-anthropics-ipo-34co</w:t>
      </w:r>
    </w:p>
    <w:p>
      <w:pPr>
        <w:jc w:val="both"/>
      </w:pPr>
      <w:r>
        <w:rPr>
          <w:rFonts w:ascii="Arial" w:hAnsi="Arial"/>
          <w:b w:val="0"/>
          <w:i w:val="0"/>
          <w:sz w:val="19"/>
        </w:rPr>
        <w:t xml:space="preserve">Rhine Group (Ko-Vorsitz: M. Draghi und P. Collison; Exekutivdirektor: L. Garicano). (24. August 2026). </w:t>
      </w:r>
      <w:r>
        <w:rPr>
          <w:rFonts w:ascii="Arial" w:hAnsi="Arial"/>
          <w:b w:val="0"/>
          <w:i/>
          <w:sz w:val="19"/>
        </w:rPr>
        <w:t>Launch of the Rhine Group — turning the Draghi report into action.</w:t>
      </w:r>
      <w:r>
        <w:rPr>
          <w:rFonts w:ascii="Arial" w:hAnsi="Arial"/>
          <w:b w:val="0"/>
          <w:i w:val="0"/>
          <w:sz w:val="19"/>
        </w:rPr>
        <w:t xml:space="preserve"> Neu gegründete multidisziplinäre Politikberatungs­struktur aus rund fünfundfünfzig Ökonominnen, Unternehmerinnen, Wissenschaftlerinnen und ehemaligen Regierungsvertreterinnen zur Umsetzung der rund einhundertsiebzig Empfehlungen des Draghi-Berichts </w:t>
      </w:r>
      <w:r>
        <w:rPr>
          <w:rFonts w:ascii="Arial" w:hAnsi="Arial"/>
          <w:b w:val="0"/>
          <w:i/>
          <w:sz w:val="19"/>
        </w:rPr>
        <w:t>„The future of European competitiveness"</w:t>
      </w:r>
      <w:r>
        <w:rPr>
          <w:rFonts w:ascii="Arial" w:hAnsi="Arial"/>
          <w:b w:val="0"/>
          <w:i w:val="0"/>
          <w:sz w:val="19"/>
        </w:rPr>
        <w:t xml:space="preserve"> (2024); Chatham-House-Rule-Format mit vorab verteilten Forschungspapieren; Arbeitsschwerpunkte umfassen Künstliche Intelligenz und andere aufstrebende Technologien, Digitalplattformen und wissenschaftliche Forschung, Energie, Industrie und Verteidigung, Kapitalmärkte und Produktivität sowie digitale Infrastruktur; als Kern­diagnose führt die Gruppe an, dass nur vier der weltweit fünfzig größten Technologieunternehmen europäisch seien. Berichterstattung: </w:t>
      </w:r>
      <w:r>
        <w:rPr>
          <w:rFonts w:ascii="Arial" w:hAnsi="Arial"/>
          <w:b w:val="0"/>
          <w:i/>
          <w:sz w:val="19"/>
        </w:rPr>
        <w:t>Il Sole 24 Ore</w:t>
      </w:r>
      <w:r>
        <w:rPr>
          <w:rFonts w:ascii="Arial" w:hAnsi="Arial"/>
          <w:b w:val="0"/>
          <w:i w:val="0"/>
          <w:sz w:val="19"/>
        </w:rPr>
        <w:t xml:space="preserve"> (25. August 2026, </w:t>
      </w:r>
      <w:r>
        <w:rPr>
          <w:rFonts w:ascii="Arial" w:hAnsi="Arial"/>
          <w:b w:val="0"/>
          <w:i/>
          <w:sz w:val="19"/>
        </w:rPr>
        <w:t>„Rhine Group: Draghi and Collison (Stripe) bring together experts to boost European competitiveness and innovation"</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(25. August 2026, </w:t>
      </w:r>
      <w:r>
        <w:rPr>
          <w:rFonts w:ascii="Arial" w:hAnsi="Arial"/>
          <w:b w:val="0"/>
          <w:i/>
          <w:sz w:val="19"/>
        </w:rPr>
        <w:t>„Draghi's Rhine bet puts Italy inside Europe's growth fight"</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„What is the Rhine Group? And how is it addressing Europe's innovation gap?"</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(25. August 2026, </w:t>
      </w:r>
      <w:r>
        <w:rPr>
          <w:rFonts w:ascii="Arial" w:hAnsi="Arial"/>
          <w:b w:val="0"/>
          <w:i/>
          <w:sz w:val="19"/>
        </w:rPr>
        <w:t>„Economists and start-up founders to reform the EU: the Rhine Group is launched"</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„Draghi launches Rhine Group, a new think tank to revitalize Europe through tech, finance, and politics"</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w:t>
      </w:r>
      <w:r>
        <w:rPr>
          <w:rFonts w:ascii="Arial" w:hAnsi="Arial"/>
          <w:b w:val="0"/>
          <w:i/>
          <w:sz w:val="19"/>
        </w:rPr>
        <w:t>„Mario Draghi and Patrick Collison join to form Rhine Group think tank"</w:t>
      </w:r>
      <w:r>
        <w:rPr>
          <w:rFonts w:ascii="Arial" w:hAnsi="Arial"/>
          <w:b w:val="0"/>
          <w:i w:val="0"/>
          <w:sz w:val="19"/>
        </w:rPr>
        <w:t xml:space="preserve">), </w:t>
      </w:r>
      <w:r>
        <w:rPr>
          <w:rFonts w:ascii="Arial" w:hAnsi="Arial"/>
          <w:b w:val="0"/>
          <w:i/>
          <w:sz w:val="19"/>
        </w:rPr>
        <w:t>Dealroom.co</w:t>
      </w:r>
      <w:r>
        <w:rPr>
          <w:rFonts w:ascii="Arial" w:hAnsi="Arial"/>
          <w:b w:val="0"/>
          <w:i w:val="0"/>
          <w:sz w:val="19"/>
        </w:rPr>
        <w:t xml:space="preserve"> (</w:t>
      </w:r>
      <w:r>
        <w:rPr>
          <w:rFonts w:ascii="Arial" w:hAnsi="Arial"/>
          <w:b w:val="0"/>
          <w:i/>
          <w:sz w:val="19"/>
        </w:rPr>
        <w:t>„Rhine Group launches to advance European reforms"</w:t>
      </w:r>
      <w:r>
        <w:rPr>
          <w:rFonts w:ascii="Arial" w:hAnsi="Arial"/>
          <w:b w:val="0"/>
          <w:i w:val="0"/>
          <w:sz w:val="19"/>
        </w:rPr>
        <w:t>). Aufnahme in § 8.2 (Fünfte Fortschreibung) mit Rückwirkung auf § 8.3 (wertschöpfungs­bezogene Anknüpfung), § 4.5 (transatlantische Debattenkonstellation) und § 10.2 (europäische Reformagenda). Konjunktivpflicht nach § 4.2 Claude.md, da die Gruppe als politik­beratende Struktur ohne eigene Legislativ­kompetenz auftritt und zum Redaktionsschluss noch keine Publikationsagenda dokumentiert ist. https://en.ilsole24ore.com/art/draghi-and-collison-stripe-set-to-boost-growth-in-europe-the-rhine-group-is-launched-AJRcert | https://decode39.com/16303/draghi-and-collison-launch-the-rhine-group-to-put-europe-back-on-a-growth-track/ | https://www.eu-startups.com/2026/08/what-is-the-rhine-group-and-how-is-it-addressing-europes-innovation-gap/ | https://www.ilfoglio.it/en/economy/2026/08/25/news/economists-and-start-up-founders-to-reform-the-eu-the-rhine-group-is-launched--405532 | https://www.firstonline.info/en/Draghi-launches-the-Rhine-Group--a-new-think-tank-to-relaunch-Europe-through-tech--finance--and-politics./ | https://www.irishexaminer.com/business/economy/arid-41901469.html | https://app.dealroom.co/news/note/rhine-group-launches-to-advance-european-reforms</w:t>
      </w:r>
    </w:p>
    <w:p>
      <w:pPr>
        <w:jc w:val="both"/>
      </w:pPr>
      <w:r>
        <w:rPr>
          <w:rFonts w:ascii="Arial" w:hAnsi="Arial"/>
          <w:b w:val="0"/>
          <w:i w:val="0"/>
          <w:sz w:val="19"/>
        </w:rPr>
        <w:t xml:space="preserve">Europäische Kommission / </w:t>
      </w:r>
      <w:r>
        <w:rPr>
          <w:rFonts w:ascii="Arial" w:hAnsi="Arial"/>
          <w:b w:val="0"/>
          <w:i/>
          <w:sz w:val="19"/>
        </w:rPr>
        <w:t>AI Office</w:t>
      </w:r>
      <w:r>
        <w:rPr>
          <w:rFonts w:ascii="Arial" w:hAnsi="Arial"/>
          <w:b w:val="0"/>
          <w:i w:val="0"/>
          <w:sz w:val="19"/>
        </w:rPr>
        <w:t xml:space="preserve"> / Virkkunen, H. (Executive Vice-President for Tech Sovereignty, Security and Democracy) / </w:t>
      </w:r>
      <w:r>
        <w:rPr>
          <w:rFonts w:ascii="Arial" w:hAnsi="Arial"/>
          <w:b w:val="0"/>
          <w:i/>
          <w:sz w:val="19"/>
        </w:rPr>
        <w:t>Help Net Security</w:t>
      </w:r>
      <w:r>
        <w:rPr>
          <w:rFonts w:ascii="Arial" w:hAnsi="Arial"/>
          <w:b w:val="0"/>
          <w:i w:val="0"/>
          <w:sz w:val="19"/>
        </w:rPr>
        <w:t xml:space="preserve"> / </w:t>
      </w:r>
      <w:r>
        <w:rPr>
          <w:rFonts w:ascii="Arial" w:hAnsi="Arial"/>
          <w:b w:val="0"/>
          <w:i/>
          <w:sz w:val="19"/>
        </w:rPr>
        <w:t>SuperPowerDaily</w:t>
      </w:r>
      <w:r>
        <w:rPr>
          <w:rFonts w:ascii="Arial" w:hAnsi="Arial"/>
          <w:b w:val="0"/>
          <w:i w:val="0"/>
          <w:sz w:val="19"/>
        </w:rPr>
        <w:t xml:space="preserve"> / </w:t>
      </w:r>
      <w:r>
        <w:rPr>
          <w:rFonts w:ascii="Arial" w:hAnsi="Arial"/>
          <w:b w:val="0"/>
          <w:i/>
          <w:sz w:val="19"/>
        </w:rPr>
        <w:t>OOMeta AI</w:t>
      </w:r>
      <w:r>
        <w:rPr>
          <w:rFonts w:ascii="Arial" w:hAnsi="Arial"/>
          <w:b w:val="0"/>
          <w:i w:val="0"/>
          <w:sz w:val="19"/>
        </w:rPr>
        <w:t xml:space="preserve"> / </w:t>
      </w:r>
      <w:r>
        <w:rPr>
          <w:rFonts w:ascii="Arial" w:hAnsi="Arial"/>
          <w:b w:val="0"/>
          <w:i/>
          <w:sz w:val="19"/>
        </w:rPr>
        <w:t>Tokenstead</w:t>
      </w:r>
      <w:r>
        <w:rPr>
          <w:rFonts w:ascii="Arial" w:hAnsi="Arial"/>
          <w:b w:val="0"/>
          <w:i w:val="0"/>
          <w:sz w:val="19"/>
        </w:rPr>
        <w:t xml:space="preserve">. (29. August 2026, sekundär rezipiert 1./2. September 2026). </w:t>
      </w:r>
      <w:r>
        <w:rPr>
          <w:rFonts w:ascii="Arial" w:hAnsi="Arial"/>
          <w:b w:val="0"/>
          <w:i/>
          <w:sz w:val="19"/>
        </w:rPr>
        <w:t>AI Office issues first formal requests for information to more than thirty providers of general-purpose AI models under Article 101 of the AI Act.</w:t>
      </w:r>
      <w:r>
        <w:rPr>
          <w:rFonts w:ascii="Arial" w:hAnsi="Arial"/>
          <w:b w:val="0"/>
          <w:i w:val="0"/>
          <w:sz w:val="19"/>
        </w:rPr>
        <w:t xml:space="preserve"> Erster förmlicher Enforcement-Schritt des </w:t>
      </w:r>
      <w:r>
        <w:rPr>
          <w:rFonts w:ascii="Arial" w:hAnsi="Arial"/>
          <w:b w:val="0"/>
          <w:i/>
          <w:sz w:val="19"/>
        </w:rPr>
        <w:t>AI Office</w:t>
      </w:r>
      <w:r>
        <w:rPr>
          <w:rFonts w:ascii="Arial" w:hAnsi="Arial"/>
          <w:b w:val="0"/>
          <w:i w:val="0"/>
          <w:sz w:val="19"/>
        </w:rPr>
        <w:t xml:space="preserve"> unter der am 2. August 2026 aktivierten GPAI-Durchsetzung: Auskunftsanfragen an über dreißig weltweit ansässige GPAI-Anbieter (nach </w:t>
      </w:r>
      <w:r>
        <w:rPr>
          <w:rFonts w:ascii="Arial" w:hAnsi="Arial"/>
          <w:b w:val="0"/>
          <w:i/>
          <w:sz w:val="19"/>
        </w:rPr>
        <w:t>Euractiv</w:t>
      </w:r>
      <w:r>
        <w:rPr>
          <w:rFonts w:ascii="Arial" w:hAnsi="Arial"/>
          <w:b w:val="0"/>
          <w:i w:val="0"/>
          <w:sz w:val="19"/>
        </w:rPr>
        <w:t xml:space="preserve">-Rezeption unter anderem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offizielle Empfängerliste nicht veröffentlicht), in zwei Auskunftssträngen: (i) Sicherheit, unabhängige externe Evaluierungen, Nach-Marktüberwachung und Angriffsresistenz; (ii) Zusammenfassungen der Trainingsdateninhalte. Unvollständige, unrichtige oder irreführende Antworten sind nach Art. 101 AI Act mit Bußgeldern bis zu 15 Millionen Euro oder 3 % des weltweiten Jahresumsatzes belegt; nach </w:t>
      </w:r>
      <w:r>
        <w:rPr>
          <w:rFonts w:ascii="Arial" w:hAnsi="Arial"/>
          <w:b w:val="0"/>
          <w:i/>
          <w:sz w:val="19"/>
        </w:rPr>
        <w:t>OOMeta AI</w:t>
      </w:r>
      <w:r>
        <w:rPr>
          <w:rFonts w:ascii="Arial" w:hAnsi="Arial"/>
          <w:b w:val="0"/>
          <w:i w:val="0"/>
          <w:sz w:val="19"/>
        </w:rPr>
        <w:t xml:space="preserve"> bei geringeren Verstößen 7,5 Millionen Euro oder 1,5 %, bei schwerwiegenden Verstößen bis 35 Millionen Euro oder 7 %; Kommission kann Korrekturmaßnahmen anordnen oder Modellverfügbarkeit in der EU einschränken. Aufnahme in § 4.3 (neuer Absatz </w:t>
      </w:r>
      <w:r>
        <w:rPr>
          <w:rFonts w:ascii="Arial" w:hAnsi="Arial"/>
          <w:b w:val="0"/>
          <w:i/>
          <w:sz w:val="19"/>
        </w:rPr>
        <w:t>„Erste formale Auskunftsanfragen des AI Office an über dreißig GPAI-Anbieter (29. August 2026)"</w:t>
      </w:r>
      <w:r>
        <w:rPr>
          <w:rFonts w:ascii="Arial" w:hAnsi="Arial"/>
          <w:b w:val="0"/>
          <w:i w:val="0"/>
          <w:sz w:val="19"/>
        </w:rPr>
        <w:t xml:space="preserve"> nach dem Absatz zur AI-Act-Aktivierung vom 2. August 2026) mit Rückwirkung auf § 4.5 (Vergleichspunkt zur zeitgleichen US-</w:t>
      </w:r>
      <w:r>
        <w:rPr>
          <w:rFonts w:ascii="Arial" w:hAnsi="Arial"/>
          <w:b w:val="0"/>
          <w:i/>
          <w:sz w:val="19"/>
        </w:rPr>
        <w:t>Carolina-Principles</w:t>
      </w:r>
      <w:r>
        <w:rPr>
          <w:rFonts w:ascii="Arial" w:hAnsi="Arial"/>
          <w:b w:val="0"/>
          <w:i w:val="0"/>
          <w:sz w:val="19"/>
        </w:rPr>
        <w:t>-Selbstverpflichtung), § 5.1 und § 8.3 (Trainingsdatenzusammenfassung als methodische Grundlage einer wertschöpfungs­orientierten inländischen KI-Nutzungsabgabe), § 9.1 (Kausalattribution auf Anbieter-Ebene). Konjunktivpflicht nach § 4.2 Claude.md, da einzelne Empfängernamen und Antwortfristen nicht offiziell publiziert sind. https://www.helpnetsecurity.com/2026/08/04/eu-ai-act-enforcement-ai-models/ | https://superpowerdaily.com/posts/eu-seeks-ai-act-answers-from-30-plus-companies-with-fines-for-misleading-replies | https://oometa.ai/en/insights/eu-ai-act-first-rfi-enforcement-2026 | https://tokenstead.ai/guides/eu-ai-act-first-enforcement-security-rfis | https://www.aljazeera.com/news/2026/9/2/us-pushes-looser-approach-to-ai-regulation-while-eu-pushes-new-law</w:t>
      </w:r>
    </w:p>
    <w:p>
      <w:pPr>
        <w:jc w:val="both"/>
      </w:pPr>
      <w:r>
        <w:rPr>
          <w:rFonts w:ascii="Arial" w:hAnsi="Arial"/>
          <w:b w:val="0"/>
          <w:i w:val="0"/>
          <w:sz w:val="19"/>
        </w:rPr>
        <w:t xml:space="preserve">SPD-Bundestagsfraktion (Miersch, M., Fraktionsvorsitzender) / </w:t>
      </w:r>
      <w:r>
        <w:rPr>
          <w:rFonts w:ascii="Arial" w:hAnsi="Arial"/>
          <w:b w:val="0"/>
          <w:i/>
          <w:sz w:val="19"/>
        </w:rPr>
        <w:t>ms-aktuell.de</w:t>
      </w:r>
      <w:r>
        <w:rPr>
          <w:rFonts w:ascii="Arial" w:hAnsi="Arial"/>
          <w:b w:val="0"/>
          <w:i w:val="0"/>
          <w:sz w:val="19"/>
        </w:rPr>
        <w:t xml:space="preserve"> / </w:t>
      </w:r>
      <w:r>
        <w:rPr>
          <w:rFonts w:ascii="Arial" w:hAnsi="Arial"/>
          <w:b w:val="0"/>
          <w:i/>
          <w:sz w:val="19"/>
        </w:rPr>
        <w:t>finanzen.at</w:t>
      </w:r>
      <w:r>
        <w:rPr>
          <w:rFonts w:ascii="Arial" w:hAnsi="Arial"/>
          <w:b w:val="0"/>
          <w:i w:val="0"/>
          <w:sz w:val="19"/>
        </w:rPr>
        <w:t xml:space="preserve"> / </w:t>
      </w:r>
      <w:r>
        <w:rPr>
          <w:rFonts w:ascii="Arial" w:hAnsi="Arial"/>
          <w:b w:val="0"/>
          <w:i/>
          <w:sz w:val="19"/>
        </w:rPr>
        <w:t>nachrichten-heute.net</w:t>
      </w:r>
      <w:r>
        <w:rPr>
          <w:rFonts w:ascii="Arial" w:hAnsi="Arial"/>
          <w:b w:val="0"/>
          <w:i w:val="0"/>
          <w:sz w:val="19"/>
        </w:rPr>
        <w:t xml:space="preserve"> / </w:t>
      </w:r>
      <w:r>
        <w:rPr>
          <w:rFonts w:ascii="Arial" w:hAnsi="Arial"/>
          <w:b w:val="0"/>
          <w:i/>
          <w:sz w:val="19"/>
        </w:rPr>
        <w:t>it-fachportal.de</w:t>
      </w:r>
      <w:r>
        <w:rPr>
          <w:rFonts w:ascii="Arial" w:hAnsi="Arial"/>
          <w:b w:val="0"/>
          <w:i w:val="0"/>
          <w:sz w:val="19"/>
        </w:rPr>
        <w:t xml:space="preserve"> / </w:t>
      </w:r>
      <w:r>
        <w:rPr>
          <w:rFonts w:ascii="Arial" w:hAnsi="Arial"/>
          <w:b w:val="0"/>
          <w:i/>
          <w:sz w:val="19"/>
        </w:rPr>
        <w:t>it-journal.de</w:t>
      </w:r>
      <w:r>
        <w:rPr>
          <w:rFonts w:ascii="Arial" w:hAnsi="Arial"/>
          <w:b w:val="0"/>
          <w:i w:val="0"/>
          <w:sz w:val="19"/>
        </w:rPr>
        <w:t xml:space="preserve"> / </w:t>
      </w:r>
      <w:r>
        <w:rPr>
          <w:rFonts w:ascii="Arial" w:hAnsi="Arial"/>
          <w:b w:val="0"/>
          <w:i/>
          <w:sz w:val="19"/>
        </w:rPr>
        <w:t>city-news.de</w:t>
      </w:r>
      <w:r>
        <w:rPr>
          <w:rFonts w:ascii="Arial" w:hAnsi="Arial"/>
          <w:b w:val="0"/>
          <w:i w:val="0"/>
          <w:sz w:val="19"/>
        </w:rPr>
        <w:t xml:space="preserve"> / </w:t>
      </w:r>
      <w:r>
        <w:rPr>
          <w:rFonts w:ascii="Arial" w:hAnsi="Arial"/>
          <w:b w:val="0"/>
          <w:i/>
          <w:sz w:val="19"/>
        </w:rPr>
        <w:t>Rheinische Post</w:t>
      </w:r>
      <w:r>
        <w:rPr>
          <w:rFonts w:ascii="Arial" w:hAnsi="Arial"/>
          <w:b w:val="0"/>
          <w:i w:val="0"/>
          <w:sz w:val="19"/>
        </w:rPr>
        <w:t xml:space="preserve"> (Interview). (4. September 2026). </w:t>
      </w:r>
      <w:r>
        <w:rPr>
          <w:rFonts w:ascii="Arial" w:hAnsi="Arial"/>
          <w:b w:val="0"/>
          <w:i/>
          <w:sz w:val="19"/>
        </w:rPr>
        <w:t>Positionspapier zur Klausurtagung der SPD-Bundestagsfraktion in Berlin (3./4. September 2026): Stärkere Heranziehung wirtschaftlicher Gewinne aus dem Einsatz Künstlicher Intelligenz für die Finanzierung des Gemeinwesens — Änderung der Gewerbesteuer-Bemessung für Rechenzentren, höhere Besteuerung großer Tech-Konzerne, Verbreiterung der Sozialstaats-Finanzierungsbasis über Kapitaleinkünfte und Produktivitätsgewinne, betriebliche KI-Ausbildungsgarantie mit branchenbezogenem Nachwuchsfonds.</w:t>
      </w:r>
      <w:r>
        <w:rPr>
          <w:rFonts w:ascii="Arial" w:hAnsi="Arial"/>
          <w:b w:val="0"/>
          <w:i w:val="0"/>
          <w:sz w:val="19"/>
        </w:rPr>
        <w:t xml:space="preserve"> Erster offiziell verabschiedeter Fraktionsbeschluss einer </w:t>
      </w:r>
      <w:r>
        <w:rPr>
          <w:rFonts w:ascii="Arial" w:hAnsi="Arial"/>
          <w:b w:val="0"/>
          <w:i/>
          <w:sz w:val="19"/>
        </w:rPr>
        <w:t>regierungstragenden</w:t>
      </w:r>
      <w:r>
        <w:rPr>
          <w:rFonts w:ascii="Arial" w:hAnsi="Arial"/>
          <w:b w:val="0"/>
          <w:i w:val="0"/>
          <w:sz w:val="19"/>
        </w:rPr>
        <w:t xml:space="preserve"> Bundestagsfraktion zur fiskalischen und arbeitsmarktbezogenen Einordnung des KI-Einsatzes; die </w:t>
      </w:r>
      <w:r>
        <w:rPr>
          <w:rFonts w:ascii="Arial" w:hAnsi="Arial"/>
          <w:b w:val="0"/>
          <w:i/>
          <w:sz w:val="19"/>
        </w:rPr>
        <w:t>KI-Ausbildungsgarantie</w:t>
      </w:r>
      <w:r>
        <w:rPr>
          <w:rFonts w:ascii="Arial" w:hAnsi="Arial"/>
          <w:b w:val="0"/>
          <w:i w:val="0"/>
          <w:sz w:val="19"/>
        </w:rPr>
        <w:t xml:space="preserve"> verpflichtet Betriebe, bei einer nach KI-Einführung signifikant zurückgehenden Zahl qualifizierter Einstiegsstellen bezahlte </w:t>
      </w:r>
      <w:r>
        <w:rPr>
          <w:rFonts w:ascii="Arial" w:hAnsi="Arial"/>
          <w:b w:val="0"/>
          <w:i/>
          <w:sz w:val="19"/>
        </w:rPr>
        <w:t>Berufseinstiegsprogramme</w:t>
      </w:r>
      <w:r>
        <w:rPr>
          <w:rFonts w:ascii="Arial" w:hAnsi="Arial"/>
          <w:b w:val="0"/>
          <w:i w:val="0"/>
          <w:sz w:val="19"/>
        </w:rPr>
        <w:t xml:space="preserve">, zusätzliche </w:t>
      </w:r>
      <w:r>
        <w:rPr>
          <w:rFonts w:ascii="Arial" w:hAnsi="Arial"/>
          <w:b w:val="0"/>
          <w:i/>
          <w:sz w:val="19"/>
        </w:rPr>
        <w:t>Ausbildungsplätze</w:t>
      </w:r>
      <w:r>
        <w:rPr>
          <w:rFonts w:ascii="Arial" w:hAnsi="Arial"/>
          <w:b w:val="0"/>
          <w:i w:val="0"/>
          <w:sz w:val="19"/>
        </w:rPr>
        <w:t xml:space="preserve"> oder vergleichbare </w:t>
      </w:r>
      <w:r>
        <w:rPr>
          <w:rFonts w:ascii="Arial" w:hAnsi="Arial"/>
          <w:b w:val="0"/>
          <w:i/>
          <w:sz w:val="19"/>
        </w:rPr>
        <w:t>Lernstellen</w:t>
      </w:r>
      <w:r>
        <w:rPr>
          <w:rFonts w:ascii="Arial" w:hAnsi="Arial"/>
          <w:b w:val="0"/>
          <w:i w:val="0"/>
          <w:sz w:val="19"/>
        </w:rPr>
        <w:t xml:space="preserve"> zu schaffen — andernfalls Einzahlung in einen </w:t>
      </w:r>
      <w:r>
        <w:rPr>
          <w:rFonts w:ascii="Arial" w:hAnsi="Arial"/>
          <w:b w:val="0"/>
          <w:i/>
          <w:sz w:val="19"/>
        </w:rPr>
        <w:t>branchenbezogenen Nachwuchsfonds</w:t>
      </w:r>
      <w:r>
        <w:rPr>
          <w:rFonts w:ascii="Arial" w:hAnsi="Arial"/>
          <w:b w:val="0"/>
          <w:i w:val="0"/>
          <w:sz w:val="19"/>
        </w:rPr>
        <w:t xml:space="preserve">. Miersch-Leitzitat aus dem Interview mit der </w:t>
      </w:r>
      <w:r>
        <w:rPr>
          <w:rFonts w:ascii="Arial" w:hAnsi="Arial"/>
          <w:b w:val="0"/>
          <w:i/>
          <w:sz w:val="19"/>
        </w:rPr>
        <w:t>Rheinischen Post</w:t>
      </w:r>
      <w:r>
        <w:rPr>
          <w:rFonts w:ascii="Arial" w:hAnsi="Arial"/>
          <w:b w:val="0"/>
          <w:i w:val="0"/>
          <w:sz w:val="19"/>
        </w:rPr>
        <w:t xml:space="preserve">: „KI könne Arbeitsplätze besser machen. Die Gewinne des Fortschritts müssten bei allen ankommen." Konjunktivpflicht nach § 4.2 Claude.md, da der vollständige Papiertext zum Redaktionsschluss nicht öffentlich vorliegt. Aufnahme in § 4.5 (neuer Absatz </w:t>
      </w:r>
      <w:r>
        <w:rPr>
          <w:rFonts w:ascii="Arial" w:hAnsi="Arial"/>
          <w:b w:val="0"/>
          <w:i/>
          <w:sz w:val="19"/>
        </w:rPr>
        <w:t>„SPD-Bundestagsfraktion — Klausurbeschluss zu KI-Gewinnen und Sozialstaatsfinanzierung (4. September 2026)"</w:t>
      </w:r>
      <w:r>
        <w:rPr>
          <w:rFonts w:ascii="Arial" w:hAnsi="Arial"/>
          <w:b w:val="0"/>
          <w:i w:val="0"/>
          <w:sz w:val="19"/>
        </w:rPr>
        <w:t xml:space="preserve"> vor dem Absatz zum </w:t>
      </w:r>
      <w:r>
        <w:rPr>
          <w:rFonts w:ascii="Arial" w:hAnsi="Arial"/>
          <w:b w:val="0"/>
          <w:i/>
          <w:sz w:val="19"/>
        </w:rPr>
        <w:t>G20</w:t>
      </w:r>
      <w:r>
        <w:rPr>
          <w:rFonts w:ascii="Arial" w:hAnsi="Arial"/>
          <w:b w:val="0"/>
          <w:i w:val="0"/>
          <w:sz w:val="19"/>
        </w:rPr>
        <w:t>-Ministerial in Chapel Hill) mit Rückwirkung auf § 4.2 (Kontrast zur Regierungsantwort auf die AfD-Kleine-Anfrage vom 20. August 2026), § 4.4 (Weimer-Plattform-Digitalabgabe), § 5.1 (Wertschöpfungsabgabe-Debatte in Deutschland), § 5.4 und § 8.3 (Teilhabefonds), § 8.4 (Systemstabilität, innerdeutsche Debattenverschiebung), § 9.1 (Kausalattribution auf Deployer-Ebene) und § 10.2 (Empfehlungen). https://ms-aktuell.de/welt/ki-steuer-spd-04-09-2026/ | https://www.finanzen.at/nachrichten/aktien/spd-fraktion-ki-gewinne-klug-und-gerecht-verteilen-1036522728 | https://www.nachrichten-heute.net/1741164-spd-will-ki-gewinne-staerker-besteuern.html | https://www.it-fachportal.de/70206-spd-will-ki-gewinne-staerker-besteuern/ | https://www.it-journal.de/222687-spd-will-ki-gewinne-staerker-besteuern.html | https://www.city-news.de/spd-will-ki-gewinne-staerker-besteuern/253476/</w:t>
      </w:r>
    </w:p>
    <w:p>
      <w:pPr>
        <w:jc w:val="both"/>
      </w:pPr>
      <w:r>
        <w:rPr>
          <w:rFonts w:ascii="Arial" w:hAnsi="Arial"/>
          <w:b w:val="0"/>
          <w:i w:val="0"/>
          <w:sz w:val="19"/>
        </w:rPr>
        <w:t xml:space="preserve">Bundesregierung / Bundesministerium der Finanzen (BMF) / Bundesverband Digitale Wirtschaft (BVDW, Freytag, D.) / Freie Demokratische Partei (FDP, Hagen, M., Generalsekretär) / </w:t>
      </w:r>
      <w:r>
        <w:rPr>
          <w:rFonts w:ascii="Arial" w:hAnsi="Arial"/>
          <w:b w:val="0"/>
          <w:i/>
          <w:sz w:val="19"/>
        </w:rPr>
        <w:t>heise online</w:t>
      </w:r>
      <w:r>
        <w:rPr>
          <w:rFonts w:ascii="Arial" w:hAnsi="Arial"/>
          <w:b w:val="0"/>
          <w:i w:val="0"/>
          <w:sz w:val="19"/>
        </w:rPr>
        <w:t xml:space="preserve"> / </w:t>
      </w:r>
      <w:r>
        <w:rPr>
          <w:rFonts w:ascii="Arial" w:hAnsi="Arial"/>
          <w:b w:val="0"/>
          <w:i/>
          <w:sz w:val="19"/>
        </w:rPr>
        <w:t>wirtschaft-tv.com</w:t>
      </w:r>
      <w:r>
        <w:rPr>
          <w:rFonts w:ascii="Arial" w:hAnsi="Arial"/>
          <w:b w:val="0"/>
          <w:i w:val="0"/>
          <w:sz w:val="19"/>
        </w:rPr>
        <w:t xml:space="preserve"> / </w:t>
      </w:r>
      <w:r>
        <w:rPr>
          <w:rFonts w:ascii="Arial" w:hAnsi="Arial"/>
          <w:b w:val="0"/>
          <w:i/>
          <w:sz w:val="19"/>
        </w:rPr>
        <w:t>niederlausitz-aktuell.de</w:t>
      </w:r>
      <w:r>
        <w:rPr>
          <w:rFonts w:ascii="Arial" w:hAnsi="Arial"/>
          <w:b w:val="0"/>
          <w:i w:val="0"/>
          <w:sz w:val="19"/>
        </w:rPr>
        <w:t xml:space="preserve"> / </w:t>
      </w:r>
      <w:r>
        <w:rPr>
          <w:rFonts w:ascii="Arial" w:hAnsi="Arial"/>
          <w:b w:val="0"/>
          <w:i/>
          <w:sz w:val="19"/>
        </w:rPr>
        <w:t>it-fachportal.de</w:t>
      </w:r>
      <w:r>
        <w:rPr>
          <w:rFonts w:ascii="Arial" w:hAnsi="Arial"/>
          <w:b w:val="0"/>
          <w:i w:val="0"/>
          <w:sz w:val="19"/>
        </w:rPr>
        <w:t xml:space="preserve"> / DIHK (Deutscher Industrie- und Handelskammertag, Gewinnus, J., Referatsleiter Gewerbesteuer) / EY Deutschland. (2. September 2026, mit begleitender Berichterstattung 29. August 2026 – 3. September 2026). </w:t>
      </w:r>
      <w:r>
        <w:rPr>
          <w:rFonts w:ascii="Arial" w:hAnsi="Arial"/>
          <w:b w:val="0"/>
          <w:i/>
          <w:sz w:val="19"/>
        </w:rPr>
        <w:t>Regierungsentwurf zum Einkommensteuerreformgesetz 2027 (Kabinettsbefassung 2. September 2026) — Artikel 3: Sonderregelung zur gewerbesteuerlichen Zerlegung bei Rechenzentren (§ 29 Abs. 1 Nr. 4 GewStG-E, Zerlegungsmaßstab 10 % Arbeitslöhne / 90 % nicht redundante elektrische Nennanschlussleistung, erstmalige Anwendung Erhebungszeitraum 2027); flankierende Positionierungen: BVDW-Positionspapier „Digitalabgabe: Risiken für Innovation und Wettbewerbsfähigkeit" (2. September 2026, Ablehnung einer pauschal-umsatzbasierten nationalen Digitalabgabe, Verweis auf DMA/DSA und OECD-Pillar-1/2), FDP-Kritik am SPD-Klausurbeschluss (3. September 2026, Hochsteuerland-Argument, Forderung nach 20 %-Obergrenze für unternehmerische Einkünfte, Warnung vor Gefährdung von KI-Unternehmensgründungen), DIHK-Vorlaufsanalyse zur Rechenzentrumsstrategie (30. März 2026), EY-Analyse des geleakten Referentenentwurfs vom 10. August 2026.</w:t>
      </w:r>
      <w:r>
        <w:rPr>
          <w:rFonts w:ascii="Arial" w:hAnsi="Arial"/>
          <w:b w:val="0"/>
          <w:i w:val="0"/>
          <w:sz w:val="19"/>
        </w:rPr>
        <w:t xml:space="preserve"> Regierungsentwurf aus dem Bundesministerium der Finanzen vom 18. August 2026; ausdrücklich als „objektiver und praktikabler" beurteilte Anknüpfung an die Nennanschlussleistung (Alternative Bitkom-Vorschlag: IT-Nennlast) mit Vorbild im Zerlegungsschlüssel für Windenergieanlagen (1-zu-9-Verhältnis Arbeitslöhne zu installierter Leistung). Konjunktivpflicht nach § 4.2 Claude.md, da die Kabinettsvorlage zum Redaktionsschluss noch nicht in einer bundesministeriell publizierten Fassung vorliegt und die parlamentarische Beratung in Bundestag und Bundesrat bevorsteht. Aufnahme in § 4.5 (neuer Absatz </w:t>
      </w:r>
      <w:r>
        <w:rPr>
          <w:rFonts w:ascii="Arial" w:hAnsi="Arial"/>
          <w:b w:val="0"/>
          <w:i/>
          <w:sz w:val="19"/>
        </w:rPr>
        <w:t>„Bundeskabinett — Regierungsentwurf zur Gewerbesteuer-Zerlegung bei Rechenzentren im Einkommensteuerreformgesetz 2027 (Kabinettsbefassung 2. September 2026)"</w:t>
      </w:r>
      <w:r>
        <w:rPr>
          <w:rFonts w:ascii="Arial" w:hAnsi="Arial"/>
          <w:b w:val="0"/>
          <w:i w:val="0"/>
          <w:sz w:val="19"/>
        </w:rPr>
        <w:t xml:space="preserve"> zwischen dem SPD-Klausurbeschluss-Absatz und dem G20-Chapel-Hill-Absatz) mit Rückwirkung auf § 4.3 (verfassungsrechtliche Alternative zur bundesgesetzlichen KI-Neusteuer), § 4.4 (Weimer-Plattform-Digitalabgabe als abgegrenzter Instrumentenstrang), § 5.1 (Wertschöpfungsabgabe-Anschlussfähigkeit), § 6.4 (OECD-Pillar-1/2 als BVDW-Referenz), § 8.2 (Compute-Nennanschlussleistung als kommunal-fiskalischer Zugriff auf die Rohstoff-Analogie), § 8.3 (Teilhabefonds als alternative Aufkommensverwendung), § 9.1 (Deployer-Kausalattribution) und § 10.2 (Empfehlungen, Instrumentenmix). https://www.heise.de/news/Steuer-Coup-gegen-Buergerproteste-Milliarden-Umschichtung-fuer-Rechenzentren-11440618.html | https://wirtschaft-tv.com/politik/die-versteckte-ki-reform-im-steuergesetz.html | https://www.niederlausitz-aktuell.de/niederlausitz-aktuell/orte/brandenburg/319960/gewerbesteuer-rechenzentren-zerlegung-anschlussleistung-luebbenau-2026.html | https://www.bvdw.org/news-und-publikationen/digitalabgabe/ | https://www.it-fachportal.de/70218-fdp-lehnt-spd-vorschlag-fuer-ki-steuer-ab/ | https://www.dihk.de/de/newsroom/gewerbesteuer-in-der-rechenzentrumsstrategie-der-bundesregierung-175784 | https://www.ey.com/de_de/technical/steuernachrichten/geleakter-referentenentwurf-fuer-eine-einkommensteuerreform</w:t>
      </w:r>
    </w:p>
    <w:p>
      <w:pPr>
        <w:jc w:val="both"/>
      </w:pPr>
      <w:r>
        <w:rPr>
          <w:rFonts w:ascii="Arial" w:hAnsi="Arial"/>
          <w:b w:val="0"/>
          <w:i w:val="0"/>
          <w:sz w:val="19"/>
        </w:rPr>
        <w:t xml:space="preserve">Ministry of Science and ICT (MSIT, Republic of Korea) / SK Telecom (Jung, J.-H., CEO) / KT (Park, Y.-Y., CEO) / Kakao (Jung, S.-N., CEO) / </w:t>
      </w:r>
      <w:r>
        <w:rPr>
          <w:rFonts w:ascii="Arial" w:hAnsi="Arial"/>
          <w:b w:val="0"/>
          <w:i/>
          <w:sz w:val="19"/>
        </w:rPr>
        <w:t>The Asia Business Daily</w:t>
      </w:r>
      <w:r>
        <w:rPr>
          <w:rFonts w:ascii="Arial" w:hAnsi="Arial"/>
          <w:b w:val="0"/>
          <w:i w:val="0"/>
          <w:sz w:val="19"/>
        </w:rPr>
        <w:t xml:space="preserve"> / </w:t>
      </w:r>
      <w:r>
        <w:rPr>
          <w:rFonts w:ascii="Arial" w:hAnsi="Arial"/>
          <w:b w:val="0"/>
          <w:i/>
          <w:sz w:val="19"/>
        </w:rPr>
        <w:t>The Investor</w:t>
      </w:r>
      <w:r>
        <w:rPr>
          <w:rFonts w:ascii="Arial" w:hAnsi="Arial"/>
          <w:b w:val="0"/>
          <w:i w:val="0"/>
          <w:sz w:val="19"/>
        </w:rPr>
        <w:t xml:space="preserve"> / </w:t>
      </w:r>
      <w:r>
        <w:rPr>
          <w:rFonts w:ascii="Arial" w:hAnsi="Arial"/>
          <w:b w:val="0"/>
          <w:i/>
          <w:sz w:val="19"/>
        </w:rPr>
        <w:t>The Korea Herald</w:t>
      </w:r>
      <w:r>
        <w:rPr>
          <w:rFonts w:ascii="Arial" w:hAnsi="Arial"/>
          <w:b w:val="0"/>
          <w:i w:val="0"/>
          <w:sz w:val="19"/>
        </w:rPr>
        <w:t xml:space="preserve"> / </w:t>
      </w:r>
      <w:r>
        <w:rPr>
          <w:rFonts w:ascii="Arial" w:hAnsi="Arial"/>
          <w:b w:val="0"/>
          <w:i/>
          <w:sz w:val="19"/>
        </w:rPr>
        <w:t>TechNode Global</w:t>
      </w:r>
      <w:r>
        <w:rPr>
          <w:rFonts w:ascii="Arial" w:hAnsi="Arial"/>
          <w:b w:val="0"/>
          <w:i w:val="0"/>
          <w:sz w:val="19"/>
        </w:rPr>
        <w:t xml:space="preserve"> / </w:t>
      </w:r>
      <w:r>
        <w:rPr>
          <w:rFonts w:ascii="Arial" w:hAnsi="Arial"/>
          <w:b w:val="0"/>
          <w:i/>
          <w:sz w:val="19"/>
        </w:rPr>
        <w:t>IBTimes Korea</w:t>
      </w:r>
      <w:r>
        <w:rPr>
          <w:rFonts w:ascii="Arial" w:hAnsi="Arial"/>
          <w:b w:val="0"/>
          <w:i w:val="0"/>
          <w:sz w:val="19"/>
        </w:rPr>
        <w:t xml:space="preserve"> / </w:t>
      </w:r>
      <w:r>
        <w:rPr>
          <w:rFonts w:ascii="Arial" w:hAnsi="Arial"/>
          <w:b w:val="0"/>
          <w:i/>
          <w:sz w:val="19"/>
        </w:rPr>
        <w:t>Implicator.ai</w:t>
      </w:r>
      <w:r>
        <w:rPr>
          <w:rFonts w:ascii="Arial" w:hAnsi="Arial"/>
          <w:b w:val="0"/>
          <w:i w:val="0"/>
          <w:sz w:val="19"/>
        </w:rPr>
        <w:t xml:space="preserve"> / </w:t>
      </w:r>
      <w:r>
        <w:rPr>
          <w:rFonts w:ascii="Arial" w:hAnsi="Arial"/>
          <w:b w:val="0"/>
          <w:i/>
          <w:sz w:val="19"/>
        </w:rPr>
        <w:t>KuCoin News</w:t>
      </w:r>
      <w:r>
        <w:rPr>
          <w:rFonts w:ascii="Arial" w:hAnsi="Arial"/>
          <w:b w:val="0"/>
          <w:i w:val="0"/>
          <w:sz w:val="19"/>
        </w:rPr>
        <w:t xml:space="preserve"> / </w:t>
      </w:r>
      <w:r>
        <w:rPr>
          <w:rFonts w:ascii="Arial" w:hAnsi="Arial"/>
          <w:b w:val="0"/>
          <w:i/>
          <w:sz w:val="19"/>
        </w:rPr>
        <w:t>TeleInfoToday</w:t>
      </w:r>
      <w:r>
        <w:rPr>
          <w:rFonts w:ascii="Arial" w:hAnsi="Arial"/>
          <w:b w:val="0"/>
          <w:i w:val="0"/>
          <w:sz w:val="19"/>
        </w:rPr>
        <w:t xml:space="preserve"> / </w:t>
      </w:r>
      <w:r>
        <w:rPr>
          <w:rFonts w:ascii="Arial" w:hAnsi="Arial"/>
          <w:b w:val="0"/>
          <w:i/>
          <w:sz w:val="19"/>
        </w:rPr>
        <w:t>BigGo Finance</w:t>
      </w:r>
      <w:r>
        <w:rPr>
          <w:rFonts w:ascii="Arial" w:hAnsi="Arial"/>
          <w:b w:val="0"/>
          <w:i w:val="0"/>
          <w:sz w:val="19"/>
        </w:rPr>
        <w:t xml:space="preserve">. (4. September 2026, mit Konsortialauswahl am 28. August 2026). </w:t>
      </w:r>
      <w:r>
        <w:rPr>
          <w:rFonts w:ascii="Arial" w:hAnsi="Arial"/>
          <w:b w:val="0"/>
          <w:i/>
          <w:sz w:val="19"/>
        </w:rPr>
        <w:t>„AI for All"-Projekt (전 국민 AI, „Alle für KI") — CEO-Vorstellungsveranstaltung des MSIT: Öffentliche Beta-Phase Kakao November 2026, SK Telecom Oktober 2026; vollständiger Launch Dezember 2026; Erstjahresziel 5 Millionen monatlich aktive Nutzer (MAU) aus 51–52 Millionen Bürgerinnen und Bürgern; kostenfrei bis mindestens 2028; 512 NVIDIA-B200-GPUs staatlich bereitgestellt; mindestens 50 % der eingesetzten Modelle inländisch entwickelt; Architekturwechsel von „One-Person-One-Agent" zu „One-Person-Multiple-Agents" mit integrierter Anbindung an öffentliche, medizinische, finanzielle, bildungs- und wohnungsrelevante Dienste.</w:t>
      </w:r>
      <w:r>
        <w:rPr>
          <w:rFonts w:ascii="Arial" w:hAnsi="Arial"/>
          <w:b w:val="0"/>
          <w:i w:val="0"/>
          <w:sz w:val="19"/>
        </w:rPr>
        <w:t xml:space="preserve"> Erste großflächige, staatlich finanzierte Umsetzung eines dem Universal-Basic-Compute-Vorschlag (OpenAI-Strategiepapier April 2026, § 4.5) konzeptionell ähnlichen Politikpfades in einer Public-Private-Partnership-Konstellation (MSIT als Betreiber; SKT, KT, Kakao als Konsortialbetreiber); Konjunktivpflicht nach § 4.2 Claude.md wegen bevorstehender Beta- und Launch-Meilensteine. Aufnahme in § 6.1 (neuer Absatz </w:t>
      </w:r>
      <w:r>
        <w:rPr>
          <w:rFonts w:ascii="Arial" w:hAnsi="Arial"/>
          <w:b w:val="0"/>
          <w:i/>
          <w:sz w:val="19"/>
        </w:rPr>
        <w:t>„Aktualisierung (4. September 2026) — CEO-Gipfel zum ‚AI for All'-Projekt (전 국민 AI, Alle für KI): Beta November 2026, Launch Dezember 2026"</w:t>
      </w:r>
      <w:r>
        <w:rPr>
          <w:rFonts w:ascii="Arial" w:hAnsi="Arial"/>
          <w:b w:val="0"/>
          <w:i w:val="0"/>
          <w:sz w:val="19"/>
        </w:rPr>
        <w:t xml:space="preserve"> nach dem </w:t>
      </w:r>
      <w:r>
        <w:rPr>
          <w:rFonts w:ascii="Arial" w:hAnsi="Arial"/>
          <w:b w:val="0"/>
          <w:i/>
          <w:sz w:val="19"/>
        </w:rPr>
        <w:t>AI Transition Response Contribution</w:t>
      </w:r>
      <w:r>
        <w:rPr>
          <w:rFonts w:ascii="Arial" w:hAnsi="Arial"/>
          <w:b w:val="0"/>
          <w:i w:val="0"/>
          <w:sz w:val="19"/>
        </w:rPr>
        <w:t>-Absatz vom 14. August 2026) mit Rückwirkung auf § 4.5 (Universal-Basic-Compute-Bezug zum OpenAI-Strategiepapier), § 5.4 (Staatsfonds- und Dividendenmodelle als alternative Teilhabetechnik), § 8.2 (Nachfrageseiten-Baustein in der Rohstoff-Analogie), § 8.3 (Teilhabefonds vs. unmittelbare Nutzenbeteiligung) und § 10.2 (Empfehlungen, Angebot-Verteilung-Zugang-Trias). https://www.asiae.co.kr/en/article/2026090413345720578 | https://www.theinvestor.co.kr/article/10855841 | https://www.koreaherald.com/article/10855962 | https://technode.global/2026/08/28/south-korea-picks-skt-kakao-kt-national-ai-service/ | https://kr.ibtimes.com/south-korea-launches-revolutionary-ai-all-initiative-offering-free-nationwide-access-101542 | https://www.implicator.ai/south-korea-free-ai-access/ | https://www.kucoin.com/news/flash/south-korea-to-provide-free-ai-access-to-all-52-million-citizens | https://www.teleinfotoday.com/news/south-korea-selects-sk-telecom-kt-and-kakao-for-ai-for-all | https://finance.biggo.com/news/7bddd1e9-072c-4808-9c66-486afa7c9884</w:t>
      </w:r>
    </w:p>
    <w:p>
      <w:pPr>
        <w:jc w:val="both"/>
      </w:pPr>
      <w:r>
        <w:rPr>
          <w:rFonts w:ascii="Arial" w:hAnsi="Arial"/>
          <w:b w:val="0"/>
          <w:i w:val="0"/>
          <w:sz w:val="19"/>
        </w:rPr>
        <w:t xml:space="preserve">US-Regierung / </w:t>
      </w:r>
      <w:r>
        <w:rPr>
          <w:rFonts w:ascii="Arial" w:hAnsi="Arial"/>
          <w:b w:val="0"/>
          <w:i/>
          <w:sz w:val="19"/>
        </w:rPr>
        <w:t>G20</w:t>
      </w:r>
      <w:r>
        <w:rPr>
          <w:rFonts w:ascii="Arial" w:hAnsi="Arial"/>
          <w:b w:val="0"/>
          <w:i w:val="0"/>
          <w:sz w:val="19"/>
        </w:rPr>
        <w:t xml:space="preserve">-Präsidentschaft 2026 (Kratsios, M.; Lutnick, H.). (1./2. September 2026). </w:t>
      </w:r>
      <w:r>
        <w:rPr>
          <w:rFonts w:ascii="Arial" w:hAnsi="Arial"/>
          <w:b w:val="0"/>
          <w:i/>
          <w:sz w:val="19"/>
        </w:rPr>
        <w:t>G20 Digital / Innovation Ministerial — „Carolina Principles" (Chapel Hill, North Carolina).</w:t>
      </w:r>
      <w:r>
        <w:rPr>
          <w:rFonts w:ascii="Arial" w:hAnsi="Arial"/>
          <w:b w:val="0"/>
          <w:i w:val="0"/>
          <w:sz w:val="19"/>
        </w:rPr>
        <w:t xml:space="preserve"> Zweitägiges Digital/Innovation-Ministerial im Rahmen der US-</w:t>
      </w:r>
      <w:r>
        <w:rPr>
          <w:rFonts w:ascii="Arial" w:hAnsi="Arial"/>
          <w:b w:val="0"/>
          <w:i/>
          <w:sz w:val="19"/>
        </w:rPr>
        <w:t>G20</w:t>
      </w:r>
      <w:r>
        <w:rPr>
          <w:rFonts w:ascii="Arial" w:hAnsi="Arial"/>
          <w:b w:val="0"/>
          <w:i w:val="0"/>
          <w:sz w:val="19"/>
        </w:rPr>
        <w:t xml:space="preserve">-Präsidentschaft 2026 mit einer Anti-Regulierungs-Selbstverpflichtung für Unterzeichnerstaaten (Verpflichtung, „neue Regulierung für neuartige Erwägungen vorzuhalten", Fördermittel auf Grundlagenforschung zu lenken, keine neuen KI-Regulierungsorgane einzurichten); anwesend Ministerien aus Japan, Deutschland, Frankreich, Indien und Südkorea sowie Anbieterseite (Musk, Zuckerberg, Powell McCormick, Sacks per Videokonferenz; Altman, Huang, Hassabis in Präsenz oder Ankündigung); nach US-Angabe habe auch China die Grundsätze unterzeichnet (Konjunktivpflicht nach § 4.2 Claude.md). Berichterstattung: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„US pushes looser approach to AI regulation, while EU pushes new law"</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(1. September 2026, </w:t>
      </w:r>
      <w:r>
        <w:rPr>
          <w:rFonts w:ascii="Arial" w:hAnsi="Arial"/>
          <w:b w:val="0"/>
          <w:i/>
          <w:sz w:val="19"/>
        </w:rPr>
        <w:t>„U.S. pushes G20 Carolina Principles AI regulation at summit"</w:t>
      </w:r>
      <w:r>
        <w:rPr>
          <w:rFonts w:ascii="Arial" w:hAnsi="Arial"/>
          <w:b w:val="0"/>
          <w:i w:val="0"/>
          <w:sz w:val="19"/>
        </w:rPr>
        <w:t xml:space="preserve">), </w:t>
      </w:r>
      <w:r>
        <w:rPr>
          <w:rFonts w:ascii="Arial" w:hAnsi="Arial"/>
          <w:b w:val="0"/>
          <w:i/>
          <w:sz w:val="19"/>
        </w:rPr>
        <w:t>Rappler</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(September 2026, </w:t>
      </w:r>
      <w:r>
        <w:rPr>
          <w:rFonts w:ascii="Arial" w:hAnsi="Arial"/>
          <w:b w:val="0"/>
          <w:i/>
          <w:sz w:val="19"/>
        </w:rPr>
        <w:t>„US to press G20 on light-touch AI regulation"</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(2. September 2026), </w:t>
      </w:r>
      <w:r>
        <w:rPr>
          <w:rFonts w:ascii="Arial" w:hAnsi="Arial"/>
          <w:b w:val="0"/>
          <w:i/>
          <w:sz w:val="19"/>
        </w:rPr>
        <w:t>Geo.tv</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Chapelboro</w:t>
      </w:r>
      <w:r>
        <w:rPr>
          <w:rFonts w:ascii="Arial" w:hAnsi="Arial"/>
          <w:b w:val="0"/>
          <w:i w:val="0"/>
          <w:sz w:val="19"/>
        </w:rPr>
        <w:t xml:space="preserve"> (</w:t>
      </w:r>
      <w:r>
        <w:rPr>
          <w:rFonts w:ascii="Arial" w:hAnsi="Arial"/>
          <w:b w:val="0"/>
          <w:i/>
          <w:sz w:val="19"/>
        </w:rPr>
        <w:t>„Federal, AI Tech Leaders to Visit Chapel Hill for G20 Event"</w:t>
      </w:r>
      <w:r>
        <w:rPr>
          <w:rFonts w:ascii="Arial" w:hAnsi="Arial"/>
          <w:b w:val="0"/>
          <w:i w:val="0"/>
          <w:sz w:val="19"/>
        </w:rPr>
        <w:t xml:space="preserve">). Europäische Gegenposition: EU-Kommissions-Vizepräsidentin </w:t>
      </w:r>
      <w:r>
        <w:rPr>
          <w:rFonts w:ascii="Arial" w:hAnsi="Arial"/>
          <w:b w:val="0"/>
          <w:i/>
          <w:sz w:val="19"/>
        </w:rPr>
        <w:t>Henna Virkkunen</w:t>
      </w:r>
      <w:r>
        <w:rPr>
          <w:rFonts w:ascii="Arial" w:hAnsi="Arial"/>
          <w:b w:val="0"/>
          <w:i w:val="0"/>
          <w:sz w:val="19"/>
        </w:rPr>
        <w:t xml:space="preserve"> und </w:t>
      </w:r>
      <w:r>
        <w:rPr>
          <w:rFonts w:ascii="Arial" w:hAnsi="Arial"/>
          <w:b w:val="0"/>
          <w:i/>
          <w:sz w:val="19"/>
        </w:rPr>
        <w:t>EU-Kommissions</w:t>
      </w:r>
      <w:r>
        <w:rPr>
          <w:rFonts w:ascii="Arial" w:hAnsi="Arial"/>
          <w:b w:val="0"/>
          <w:i w:val="0"/>
          <w:sz w:val="19"/>
        </w:rPr>
        <w:t xml:space="preserve">-Informationsanfragen an über dreißig KI-Unternehmen weltweit zu Sicherheit und Urheberrechts-Konformität (parallel referiert in derselben Al-Jazeera-Berichterstattung). Aufnahme in § 4.5 (neuer Absatz </w:t>
      </w:r>
      <w:r>
        <w:rPr>
          <w:rFonts w:ascii="Arial" w:hAnsi="Arial"/>
          <w:b w:val="0"/>
          <w:i/>
          <w:sz w:val="19"/>
        </w:rPr>
        <w:t>„G20-Digital/Innovation-Ministerial in Chapel Hill — Carolina Principles (1./2. September 2026)"</w:t>
      </w:r>
      <w:r>
        <w:rPr>
          <w:rFonts w:ascii="Arial" w:hAnsi="Arial"/>
          <w:b w:val="0"/>
          <w:i w:val="0"/>
          <w:sz w:val="19"/>
        </w:rPr>
        <w:t>) mit Rückwirkung auf § 4.3 (EU-AI-Act-Durchsetzung), § 5.1 und § 8.3 (wertschöpfungs­bezogene Anknüpfung), § 8.2 (Erste Fortschreibung, ordnungspolitische Verlagerung von ex ante auf ex post), § 10.2 (europäische Reformagenda). https://www.aljazeera.com/news/2026/9/2/us-pushes-looser-approach-to-ai-regulation-while-eu-pushes-new-law | https://qz.com/us-g20-carolina-principles-ai-regulation-north-carolina-090126 | https://www.rappler.com/technology/us-g20-meeting-urge-hands-off-approach-ai-regulations/ | https://techxplore.com/news/2026-09-g20-ai.html | https://bworldonline.com/technology/2026/09/02/774057/us-urges-hands-off-approach-to-ai-regulation-at-g20-tech-meeting/ | https://www.geo.tv/latest/680187-us-urges-hands-off-approach-to-ai-regulation-at-g20-tech-meeting | https://chapelboro.com/news/national/federal-ai-tech-leaders-to-visit-chapel-hill-for-g20-event-town-warns-of-increased-security</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val="0"/>
          <w:i w:val="0"/>
          <w:sz w:val="19"/>
        </w:rPr>
        <w:t xml:space="preserve">IBTimes / IBTimes UK / Yahoo Tech / Tech.co / TechCrunch / GeekWire / Insurance Journal / TechChannel News. (4. – 10. August 2026). </w:t>
      </w:r>
      <w:r>
        <w:rPr>
          <w:rFonts w:ascii="Arial" w:hAnsi="Arial"/>
          <w:b w:val="0"/>
          <w:i/>
          <w:sz w:val="19"/>
        </w:rPr>
        <w:t>Tech Layoffs in 2026 Already Beat Last Year's Total as Google, Zillow and TikTok Cut Hundreds / Tech layoffs 2026: Tracking all of the job losses across TikTok, Microsoft, Meta, Oracle, Samsung and others / Zillow cuts more than 500 jobs in its largest layoff of the year / Every major tech layoff in 2026 that has name-checked AI / AI is getting the blame for more than 163,427 tech job layoffs.</w:t>
      </w:r>
      <w:r>
        <w:rPr>
          <w:rFonts w:ascii="Arial" w:hAnsi="Arial"/>
          <w:b w:val="0"/>
          <w:i w:val="0"/>
          <w:sz w:val="19"/>
        </w:rPr>
        <w:t xml:space="preserve"> Aggregierte Berichterstattung zur Tech-Layoff-Bilanz Anfang August 2026: Über 125.000 betroffene Beschäftigte in rund 264 Unternehmen (SkillSyncer- und Tech.co-Zählmethodik; TechChannel-News-Auswertung 163.427 nach breiterer Zählweise); Zillow rund 500 Stellen am 4. August 2026 (Blog-Post CEO Jeremy Wacksman), Google-Rolling-Reviews im mittleren einstelligen Tausender-Bereich, TikTok und Etsy im niedrigen dreistelligen Bereich mit von Unternehmensseite bestrittener AI-Kausalität. Aufnahme in § 1.1 als Fortschreibung der bereits mit Version 55.0 – 60.0 dokumentierten Tracker-Reihe. https://www.ibtimes.co.uk/tech-layoffs-2026-zillow-tiktok-etsy-google-1813127 | https://www.ibtimes.com/tech-layoffs-2026-already-beat-last-years-total-google-zillow-tiktok-cut-hundreds-3806211 | https://tech.yahoo.com/general/article/tech-layoffs-2026-tracking-all-of-the-job-losses-across-tiktok-microsoft-meta-oracle-samsung-and-others-144545528.html | https://tech.co/news/tech-companies-layoffs | https://techcrunch.com/2026/07/06/the-running-list-major-tech-layoffs-in-2026-where-employers-cited-ai/ | https://www.geekwire.com/2026/zillow-cuts-more-than-500-jobs-in-its-largest-layoff-of-the-year/ | https://techchannel.news/ai-is-getting-the-blame-for-more-than-163427-tech-job-layoffs/</w:t>
      </w:r>
    </w:p>
    <w:p>
      <w:pPr>
        <w:jc w:val="both"/>
      </w:pPr>
      <w:r>
        <w:rPr>
          <w:rFonts w:ascii="Arial" w:hAnsi="Arial"/>
          <w:b w:val="0"/>
          <w:i w:val="0"/>
          <w:sz w:val="19"/>
        </w:rPr>
        <w:t xml:space="preserve">Macquarie Asset Management / Bloomberg / HPCwire / StreetInsider / CryptoBriefing / Yahoo Finance / Data Center Richness. (10. August 2026). </w:t>
      </w:r>
      <w:r>
        <w:rPr>
          <w:rFonts w:ascii="Arial" w:hAnsi="Arial"/>
          <w:b w:val="0"/>
          <w:i/>
          <w:sz w:val="19"/>
        </w:rPr>
        <w:t>Anthropic, Macquarie Asset Management, and GIC Announce Strategic Partnership to Develop Dedicated Data Center Infrastructure at Scale / Anthropic, Macquarie and GIC Form Venture for AI Data Centers / Anthropic, Macquarie and GIC Launch Theseus Infrastructure for AI Data Centers / Anthropic, Macquarie, and GIC form data center partnership / Anthropic partners with Macquarie and GIC to expand US AI data center capacity / Anthropic partners with Macquarie and GIC to build data centers / Anthropic Taps Macquarie, GIC to Build More Data Centers.</w:t>
      </w:r>
      <w:r>
        <w:rPr>
          <w:rFonts w:ascii="Arial" w:hAnsi="Arial"/>
          <w:b w:val="0"/>
          <w:i w:val="0"/>
          <w:sz w:val="19"/>
        </w:rPr>
        <w:t xml:space="preserve"> Gemeinsame Presseerklärung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vom 10. August 2026 über die Gründung des Infrastruktur-Vehikels </w:t>
      </w:r>
      <w:r>
        <w:rPr>
          <w:rFonts w:ascii="Arial" w:hAnsi="Arial"/>
          <w:b w:val="0"/>
          <w:i/>
          <w:sz w:val="19"/>
        </w:rPr>
        <w:t>Theseus Infrastructure</w:t>
      </w:r>
      <w:r>
        <w:rPr>
          <w:rFonts w:ascii="Arial" w:hAnsi="Arial"/>
          <w:b w:val="0"/>
          <w:i w:val="0"/>
          <w:sz w:val="19"/>
        </w:rPr>
        <w:t xml:space="preserve"> zur Entwicklung, Errichtung und Verpachtung dedizierter KI-Rechenzentren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die Fonds von </w:t>
      </w:r>
      <w:r>
        <w:rPr>
          <w:rFonts w:ascii="Arial" w:hAnsi="Arial"/>
          <w:b w:val="0"/>
          <w:i/>
          <w:sz w:val="19"/>
        </w:rPr>
        <w:t>Macquarie Asset Management</w:t>
      </w:r>
      <w:r>
        <w:rPr>
          <w:rFonts w:ascii="Arial" w:hAnsi="Arial"/>
          <w:b w:val="0"/>
          <w:i w:val="0"/>
          <w:sz w:val="19"/>
        </w:rPr>
        <w:t xml:space="preserve"> halten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zur Abdeckung von Aufschlägen auf die Verbraucher-Stromtarife der jeweiligen Host-Regionen. Erste Projekte in den USA; Konzernangaben zu Standorten, Gesamtinvestitionsvolumen, Gigawatt-Kapazität und Zeitplan zum Ankündigungsdatum offen. Aufnahme in § 8.2 als privatwirtschaftliches Multi-Investor-Vehikel-Modell der KI-Compute-Finanzierungs­schicht mit Rückwirkung auf § 4.5 (bereits realisierte kapitalmarkt­institutionelle Bestandsanknüpfung neben legislativen Sovereign-Wealth-Fund-Vorschlägen), § 5.4 (privatwirtschaftliche Consumer-Utility-Rate-Schutzklausel als Präzedenz für Externalitäten-Kompensation) und § 8.3 (Erweiterung der außereuropäischen Finanzierungs­schicht der KI-Infrastruktur). https://www.macquarie.com/au/en/about/news/2026/anthropic-mam-gic-data-centre-infrastructure-partnership.html | https://www.bloomberg.com/news/articles/2026-08-10/anthropic-macquarie-and-gic-form-venture-for-ai-data-centers | https://www.hpcwire.com/off-the-wire/anthropic-macquarie-and-gic-launch-theseus-infrastructure-for-ai-data-centers/ | https://www.streetinsider.com/Corporate+News/Anthropic,+Macquarie,+and+GIC+form+data+center+partnership/26894772.html | https://cryptobriefing.com/anthropic-macquarie-gic-theseus-data-centers/ | https://finance.yahoo.com/technology/ai/articles/anthropic-partners-macquarie-gic-build-131124573.html | https://finance.yahoo.com/technology/ai/articles/anthropic-macquarie-gic-form-venture-123117352.html | https://datacenterrichness.substack.com/p/anthropic-taps-macquarie-gic-to-build</w:t>
      </w:r>
    </w:p>
    <w:p>
      <w:pPr>
        <w:jc w:val="both"/>
      </w:pPr>
      <w:r>
        <w:rPr>
          <w:rFonts w:ascii="Arial" w:hAnsi="Arial"/>
          <w:b w:val="0"/>
          <w:i w:val="0"/>
          <w:sz w:val="19"/>
        </w:rPr>
        <w:t xml:space="preserve">NVIDIA Corporation / Bloomberg / CNBC / Axios / Financial Times / Yahoo Finance / Quartz / Investing.com. (10. August 2026). </w:t>
      </w:r>
      <w:r>
        <w:rPr>
          <w:rFonts w:ascii="Arial" w:hAnsi="Arial"/>
          <w:b w:val="0"/>
          <w:i/>
          <w:sz w:val="19"/>
        </w:rPr>
        <w:t>NVIDIA Partners With Apollo, BlackRock, Blackstone, Brookfield, Goldman Sachs and KKR to Establish AI Compute Infrastructure Financing Platforms to Mobilize Over $500 Billion of Third-Party Capital / Nvidia Taps Wall Street for $500 Billion Funding Commitment / Nvidia partners with Wall Street firms on $500B AI financing / Nvidia, Wall Street partner on $500B AI financing / Nvidia partners with Apollo, BlackRock, and others on $500B AI financing push / Nvidia lines up $500 billion in financing as CEO Jensen Huang tells CNBC his chips are 'investable asset'.</w:t>
      </w:r>
      <w:r>
        <w:rPr>
          <w:rFonts w:ascii="Arial" w:hAnsi="Arial"/>
          <w:b w:val="0"/>
          <w:i w:val="0"/>
          <w:sz w:val="19"/>
        </w:rPr>
        <w:t xml:space="preserve"> Nvidia-Presseerklärung vom 10. August 2026 zur Etablierung </w:t>
      </w:r>
      <w:r>
        <w:rPr>
          <w:rFonts w:ascii="Arial" w:hAnsi="Arial"/>
          <w:b w:val="0"/>
          <w:i/>
          <w:sz w:val="19"/>
        </w:rPr>
        <w:t>unabhängiger AI-Compute-Infrastructure-Financing-Platforms</w:t>
      </w:r>
      <w:r>
        <w:rPr>
          <w:rFonts w:ascii="Arial" w:hAnsi="Arial"/>
          <w:b w:val="0"/>
          <w:i w:val="0"/>
          <w:sz w:val="19"/>
        </w:rPr>
        <w:t xml:space="preserve">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Mobilisierung von </w:t>
      </w:r>
      <w:r>
        <w:rPr>
          <w:rFonts w:ascii="Arial" w:hAnsi="Arial"/>
          <w:b w:val="0"/>
          <w:i/>
          <w:sz w:val="19"/>
        </w:rPr>
        <w:t>über 500 Milliarden US-Dollar Drittkapital</w:t>
      </w:r>
      <w:r>
        <w:rPr>
          <w:rFonts w:ascii="Arial" w:hAnsi="Arial"/>
          <w:b w:val="0"/>
          <w:i w:val="0"/>
          <w:sz w:val="19"/>
        </w:rPr>
        <w:t xml:space="preserve"> für Rechenzentren, Energie- und sonstige KI-Infrastruktur auf Basis von </w:t>
      </w:r>
      <w:r>
        <w:rPr>
          <w:rFonts w:ascii="Arial" w:hAnsi="Arial"/>
          <w:b w:val="0"/>
          <w:i/>
          <w:sz w:val="19"/>
        </w:rPr>
        <w:t>Nvidia</w:t>
      </w:r>
      <w:r>
        <w:rPr>
          <w:rFonts w:ascii="Arial" w:hAnsi="Arial"/>
          <w:b w:val="0"/>
          <w:i w:val="0"/>
          <w:sz w:val="19"/>
        </w:rPr>
        <w:t xml:space="preserve">-Hardware; die Vereinbarungen sind als </w:t>
      </w:r>
      <w:r>
        <w:rPr>
          <w:rFonts w:ascii="Arial" w:hAnsi="Arial"/>
          <w:b w:val="0"/>
          <w:i/>
          <w:sz w:val="19"/>
        </w:rPr>
        <w:t>Memoranda of Understanding</w:t>
      </w:r>
      <w:r>
        <w:rPr>
          <w:rFonts w:ascii="Arial" w:hAnsi="Arial"/>
          <w:b w:val="0"/>
          <w:i w:val="0"/>
          <w:sz w:val="19"/>
        </w:rPr>
        <w:t xml:space="preserve"> strukturiert, führen den Kapitalzufluss ausdrücklich über </w:t>
      </w:r>
      <w:r>
        <w:rPr>
          <w:rFonts w:ascii="Arial" w:hAnsi="Arial"/>
          <w:b w:val="0"/>
          <w:i/>
          <w:sz w:val="19"/>
        </w:rPr>
        <w:t>unabhängige Plattformen</w:t>
      </w:r>
      <w:r>
        <w:rPr>
          <w:rFonts w:ascii="Arial" w:hAnsi="Arial"/>
          <w:b w:val="0"/>
          <w:i w:val="0"/>
          <w:sz w:val="19"/>
        </w:rPr>
        <w:t xml:space="preserve"> außerhalb der </w:t>
      </w:r>
      <w:r>
        <w:rPr>
          <w:rFonts w:ascii="Arial" w:hAnsi="Arial"/>
          <w:b w:val="0"/>
          <w:i/>
          <w:sz w:val="19"/>
        </w:rPr>
        <w:t>Nvidia</w:t>
      </w:r>
      <w:r>
        <w:rPr>
          <w:rFonts w:ascii="Arial" w:hAnsi="Arial"/>
          <w:b w:val="0"/>
          <w:i w:val="0"/>
          <w:sz w:val="19"/>
        </w:rPr>
        <w:t xml:space="preserve">-Bilanz und bleiben der Ausfertigung endgültiger Verträge vorbehalten (Konjunktivpflicht nach § 4.2 Claude.md);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rahmt KI-Compute-Infrastruktur in flankierender </w:t>
      </w:r>
      <w:r>
        <w:rPr>
          <w:rFonts w:ascii="Arial" w:hAnsi="Arial"/>
          <w:b w:val="0"/>
          <w:i/>
          <w:sz w:val="19"/>
        </w:rPr>
        <w:t>CNBC</w:t>
      </w:r>
      <w:r>
        <w:rPr>
          <w:rFonts w:ascii="Arial" w:hAnsi="Arial"/>
          <w:b w:val="0"/>
          <w:i w:val="0"/>
          <w:sz w:val="19"/>
        </w:rPr>
        <w:t xml:space="preserve">-Berichterstattung öffentlich als neue </w:t>
      </w:r>
      <w:r>
        <w:rPr>
          <w:rFonts w:ascii="Arial" w:hAnsi="Arial"/>
          <w:b w:val="0"/>
          <w:i/>
          <w:sz w:val="19"/>
        </w:rPr>
        <w:t>investable asset class</w:t>
      </w:r>
      <w:r>
        <w:rPr>
          <w:rFonts w:ascii="Arial" w:hAnsi="Arial"/>
          <w:b w:val="0"/>
          <w:i w:val="0"/>
          <w:sz w:val="19"/>
        </w:rPr>
        <w:t xml:space="preserve">. Aufnahme in § 8.2 als zweite privatwirtschaftliche Multi-Plattform-Konstruktion der KI-Compute-Finanzierungs­schicht binnen 24 Stunden nach </w:t>
      </w:r>
      <w:r>
        <w:rPr>
          <w:rFonts w:ascii="Arial" w:hAnsi="Arial"/>
          <w:b w:val="0"/>
          <w:i/>
          <w:sz w:val="19"/>
        </w:rPr>
        <w:t>Theseus</w:t>
      </w:r>
      <w:r>
        <w:rPr>
          <w:rFonts w:ascii="Arial" w:hAnsi="Arial"/>
          <w:b w:val="0"/>
          <w:i w:val="0"/>
          <w:sz w:val="19"/>
        </w:rPr>
        <w:t xml:space="preserve">, mit Rückwirkung auf § 4.5 (private Kapitalanknüpfung an KI-Compute-Anlagen präzediert die vom </w:t>
      </w:r>
      <w:r>
        <w:rPr>
          <w:rFonts w:ascii="Arial" w:hAnsi="Arial"/>
          <w:b w:val="0"/>
          <w:i/>
          <w:sz w:val="19"/>
        </w:rPr>
        <w:t>American A.I. Sovereign Wealth Fund Act</w:t>
      </w:r>
      <w:r>
        <w:rPr>
          <w:rFonts w:ascii="Arial" w:hAnsi="Arial"/>
          <w:b w:val="0"/>
          <w:i w:val="0"/>
          <w:sz w:val="19"/>
        </w:rPr>
        <w:t xml:space="preserve"> angezielten Bestandspositionen), § 5.4 (Etablierung einer Anlageklasse für KI-Compute jenseits klassischer Hyperscaler-Bilanzen) und § 8.3 (Verhärtung der außereuropäischen Finanzierungs­schicht). https://investor.nvidia.com/news/press-release-details/2026/NVIDIA-Partners-With-Apollo-BlackRock-Blackstone-Brookfield-Goldman-Sachs-and-KKR-to-Establish-AI-Compute-Infrastructure-Financing-Platforms-to-Mobilize-Over-500-Billion-of-Third-Party-Capital/default.aspx | https://nvidianews.nvidia.com/news/nvidia-partners-with-apollo-blackrock-blackstone-brookfield-goldman-sachs-and-kkr-to-establish-ai-compute-infrastructure-financing-platforms-to-mobilize-over-500-billion-of-third-party-capital | https://www.bloomberg.com/news/articles/2026-08-10/nvidia-to-team-with-wall-street-on-500-billion-package-ft-says | https://www.cnbc.com/2026/08/10/nvidia-wall-street-asset-managers-500-billion-ai-push.html | https://www.axios.com/2026/08/10/nvidia-financing-ai-goldman-sachs-blackrock | https://finance.yahoo.com/technology/ai/articles/nvidia-partners-apollo-blackrock-others-150200750.html | https://qz.com/nvidia-wall-street-ai-infrastructure-financing-500-billion-081126 | https://www.investing.com/analysis/nvidia-apollo-blackstone-and-blackrock-just-struck-a-500bn-ai-pact-200685601</w:t>
      </w:r>
    </w:p>
    <w:p>
      <w:pPr>
        <w:jc w:val="both"/>
      </w:pPr>
      <w:r>
        <w:rPr>
          <w:rFonts w:ascii="Arial" w:hAnsi="Arial"/>
          <w:b w:val="0"/>
          <w:i w:val="0"/>
          <w:sz w:val="19"/>
        </w:rPr>
        <w:t xml:space="preserve">Nvidia Corporation / Lancium / The Information / Reuters / Yahoo Finance / Quartz / CNN Business / Fortune / AI Weekly / Yahoo Finance („Compute Landlord"-Analyse). (7. / 8. / 12. August 2026). </w:t>
      </w:r>
      <w:r>
        <w:rPr>
          <w:rFonts w:ascii="Arial" w:hAnsi="Arial"/>
          <w:b w:val="0"/>
          <w:i/>
          <w:sz w:val="19"/>
        </w:rPr>
        <w:t>Nvidia to Invest Up to $3 Billion in Blackstone-Backed Power Firm Behind Stargate / Nvidia to invest up to $3 billion in Stargate data center developer Lancium / Nvidia investing up to $3 billion in Lancium for Stargate / Nvidia found a new way to keep the AI boom funded: your retirement money / Nvidia to Put Up to $3B Into Stargate Power Developer Lancium / Nvidia's $3 Billion Bet on Lancium Signals the Compute Landlord Thesis Has Reached the Power Layer.</w:t>
      </w:r>
      <w:r>
        <w:rPr>
          <w:rFonts w:ascii="Arial" w:hAnsi="Arial"/>
          <w:b w:val="0"/>
          <w:i w:val="0"/>
          <w:sz w:val="19"/>
        </w:rPr>
        <w:t xml:space="preserve"> Am 7. August 2026 durch </w:t>
      </w:r>
      <w:r>
        <w:rPr>
          <w:rFonts w:ascii="Arial" w:hAnsi="Arial"/>
          <w:b w:val="0"/>
          <w:i/>
          <w:sz w:val="19"/>
        </w:rPr>
        <w:t>The Information</w:t>
      </w:r>
      <w:r>
        <w:rPr>
          <w:rFonts w:ascii="Arial" w:hAnsi="Arial"/>
          <w:b w:val="0"/>
          <w:i w:val="0"/>
          <w:sz w:val="19"/>
        </w:rPr>
        <w:t xml:space="preserve"> erstberichtete Beteiligung von </w:t>
      </w:r>
      <w:r>
        <w:rPr>
          <w:rFonts w:ascii="Arial" w:hAnsi="Arial"/>
          <w:b w:val="0"/>
          <w:i/>
          <w:sz w:val="19"/>
        </w:rPr>
        <w:t>Nvidia</w:t>
      </w:r>
      <w:r>
        <w:rPr>
          <w:rFonts w:ascii="Arial" w:hAnsi="Arial"/>
          <w:b w:val="0"/>
          <w:i w:val="0"/>
          <w:sz w:val="19"/>
        </w:rPr>
        <w:t xml:space="preserve">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Erstinvestition von 2 Milliarden US-Dollar für rund 20 Prozent der Anteile, bis zu 1 Milliarde US-Dollar zusätzlich an </w:t>
      </w:r>
      <w:r>
        <w:rPr>
          <w:rFonts w:ascii="Arial" w:hAnsi="Arial"/>
          <w:b w:val="0"/>
          <w:i/>
          <w:sz w:val="19"/>
        </w:rPr>
        <w:t>grid-hookup</w:t>
      </w:r>
      <w:r>
        <w:rPr>
          <w:rFonts w:ascii="Arial" w:hAnsi="Arial"/>
          <w:b w:val="0"/>
          <w:i w:val="0"/>
          <w:sz w:val="19"/>
        </w:rPr>
        <w:t xml:space="preserve">-Meilensteine gekoppelt (voller Ausführungsstand rund 30 Prozent Eigentum), Unternehmenswert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Blackstone</w:t>
      </w:r>
      <w:r>
        <w:rPr>
          <w:rFonts w:ascii="Arial" w:hAnsi="Arial"/>
          <w:b w:val="0"/>
          <w:i w:val="0"/>
          <w:sz w:val="19"/>
        </w:rPr>
        <w:t xml:space="preserve"> hält nach </w:t>
      </w:r>
      <w:r>
        <w:rPr>
          <w:rFonts w:ascii="Arial" w:hAnsi="Arial"/>
          <w:b w:val="0"/>
          <w:i/>
          <w:sz w:val="19"/>
        </w:rPr>
        <w:t>Yahoo-Finance</w:t>
      </w:r>
      <w:r>
        <w:rPr>
          <w:rFonts w:ascii="Arial" w:hAnsi="Arial"/>
          <w:b w:val="0"/>
          <w:i w:val="0"/>
          <w:sz w:val="19"/>
        </w:rPr>
        <w:t xml:space="preserve">-Analyse rund 50 Prozent von </w:t>
      </w:r>
      <w:r>
        <w:rPr>
          <w:rFonts w:ascii="Arial" w:hAnsi="Arial"/>
          <w:b w:val="0"/>
          <w:i/>
          <w:sz w:val="19"/>
        </w:rPr>
        <w:t>Lancium</w:t>
      </w:r>
      <w:r>
        <w:rPr>
          <w:rFonts w:ascii="Arial" w:hAnsi="Arial"/>
          <w:b w:val="0"/>
          <w:i w:val="0"/>
          <w:sz w:val="19"/>
        </w:rPr>
        <w:t xml:space="preserve"> (Einsatz über 500 Millionen US-Dollar). Der 1.000-Hektar-Campus in Abilene (Texas) ist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gemeinsam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(Zielkapazität rund 400.000 </w:t>
      </w:r>
      <w:r>
        <w:rPr>
          <w:rFonts w:ascii="Arial" w:hAnsi="Arial"/>
          <w:b w:val="0"/>
          <w:i/>
          <w:sz w:val="19"/>
        </w:rPr>
        <w:t>Nvidia</w:t>
      </w:r>
      <w:r>
        <w:rPr>
          <w:rFonts w:ascii="Arial" w:hAnsi="Arial"/>
          <w:b w:val="0"/>
          <w:i w:val="0"/>
          <w:sz w:val="19"/>
        </w:rPr>
        <w:t xml:space="preserve">-KI-Chips in acht Gebäuden nach </w:t>
      </w:r>
      <w:r>
        <w:rPr>
          <w:rFonts w:ascii="Arial" w:hAnsi="Arial"/>
          <w:b w:val="0"/>
          <w:i/>
          <w:sz w:val="19"/>
        </w:rPr>
        <w:t>Yahoo-Finance</w:t>
      </w:r>
      <w:r>
        <w:rPr>
          <w:rFonts w:ascii="Arial" w:hAnsi="Arial"/>
          <w:b w:val="0"/>
          <w:i w:val="0"/>
          <w:sz w:val="19"/>
        </w:rPr>
        <w:t xml:space="preserve">-Angaben), die zugrundeliegende </w:t>
      </w:r>
      <w:r>
        <w:rPr>
          <w:rFonts w:ascii="Arial" w:hAnsi="Arial"/>
          <w:b w:val="0"/>
          <w:i/>
          <w:sz w:val="19"/>
        </w:rPr>
        <w:t>sub-5-second demand-response</w:t>
      </w:r>
      <w:r>
        <w:rPr>
          <w:rFonts w:ascii="Arial" w:hAnsi="Arial"/>
          <w:b w:val="0"/>
          <w:i w:val="0"/>
          <w:sz w:val="19"/>
        </w:rPr>
        <w:t xml:space="preserve">-Steuerung geht auf frühere Bitcoin-Mining-Lastprofile zurück, die für die dynamische Steuerung großer KI-Cluster umgewidmet wurden; der Kapitalzufluss soll operative Ausweitung und einen möglichen </w:t>
      </w:r>
      <w:r>
        <w:rPr>
          <w:rFonts w:ascii="Arial" w:hAnsi="Arial"/>
          <w:b w:val="0"/>
          <w:i/>
          <w:sz w:val="19"/>
        </w:rPr>
        <w:t>Lancium</w:t>
      </w:r>
      <w:r>
        <w:rPr>
          <w:rFonts w:ascii="Arial" w:hAnsi="Arial"/>
          <w:b w:val="0"/>
          <w:i w:val="0"/>
          <w:sz w:val="19"/>
        </w:rPr>
        <w:t xml:space="preserve">-Börsengang 2027 finanzieren (Konjunktivpflicht nach § 4.2 Claude.md). Aufnahme in § 8.2 als vierte strukturell unterschiedliche Konstruktion der KI-Compute-Finanzierungs­schicht (direkter Chip-Hersteller-Einstieg in den nachgelagerten </w:t>
      </w:r>
      <w:r>
        <w:rPr>
          <w:rFonts w:ascii="Arial" w:hAnsi="Arial"/>
          <w:b w:val="0"/>
          <w:i/>
          <w:sz w:val="19"/>
        </w:rPr>
        <w:t>Power-Landlord</w:t>
      </w:r>
      <w:r>
        <w:rPr>
          <w:rFonts w:ascii="Arial" w:hAnsi="Arial"/>
          <w:b w:val="0"/>
          <w:i w:val="0"/>
          <w:sz w:val="19"/>
        </w:rPr>
        <w:t xml:space="preserve">) neben </w:t>
      </w:r>
      <w:r>
        <w:rPr>
          <w:rFonts w:ascii="Arial" w:hAnsi="Arial"/>
          <w:b w:val="0"/>
          <w:i/>
          <w:sz w:val="19"/>
        </w:rPr>
        <w:t>Theseus</w:t>
      </w:r>
      <w:r>
        <w:rPr>
          <w:rFonts w:ascii="Arial" w:hAnsi="Arial"/>
          <w:b w:val="0"/>
          <w:i w:val="0"/>
          <w:sz w:val="19"/>
        </w:rPr>
        <w:t xml:space="preserve"> (Multi-Investor-Vehikel), </w:t>
      </w:r>
      <w:r>
        <w:rPr>
          <w:rFonts w:ascii="Arial" w:hAnsi="Arial"/>
          <w:b w:val="0"/>
          <w:i/>
          <w:sz w:val="19"/>
        </w:rPr>
        <w:t>Nvidia</w:t>
      </w:r>
      <w:r>
        <w:rPr>
          <w:rFonts w:ascii="Arial" w:hAnsi="Arial"/>
          <w:b w:val="0"/>
          <w:i w:val="0"/>
          <w:sz w:val="19"/>
        </w:rPr>
        <w:t xml:space="preserve">-Financing-Platforms (Sechs-Institutionen-Plattformen) und </w:t>
      </w:r>
      <w:r>
        <w:rPr>
          <w:rFonts w:ascii="Arial" w:hAnsi="Arial"/>
          <w:b w:val="0"/>
          <w:i/>
          <w:sz w:val="19"/>
        </w:rPr>
        <w:t>Anthropic</w:t>
      </w:r>
      <w:r>
        <w:rPr>
          <w:rFonts w:ascii="Arial" w:hAnsi="Arial"/>
          <w:b w:val="0"/>
          <w:i w:val="0"/>
          <w:sz w:val="19"/>
        </w:rPr>
        <w:t>/</w:t>
      </w:r>
      <w:r>
        <w:rPr>
          <w:rFonts w:ascii="Arial" w:hAnsi="Arial"/>
          <w:b w:val="0"/>
          <w:i/>
          <w:sz w:val="19"/>
        </w:rPr>
        <w:t>Riot</w:t>
      </w:r>
      <w:r>
        <w:rPr>
          <w:rFonts w:ascii="Arial" w:hAnsi="Arial"/>
          <w:b w:val="0"/>
          <w:i w:val="0"/>
          <w:sz w:val="19"/>
        </w:rPr>
        <w:t xml:space="preserve"> (Stranded-Asset-Umwidmung), mit Rückwirkung auf § 4.5 (weitere private Präzedenz zur legislativen Bestandsanknüpfung), § 5.4 (Stromversorgungs-Schicht als Externalitäten- und Standort-Achse) und § 8.3 (Verhärtung der außereuropäischen Finanzierungs­schicht auf der Power-Ebene). https://www.theinformation.com/articles/nvidia-invest-3-billion-blackstone-backed-power-firm-behind-stargate | https://finance.yahoo.com/technology/articles/nvidia-invest-3-billion-lancium-014211358.html | https://qz.com/nvidia-lancium-investment-stargate-power-081026 | https://www.marketscreener.com/news/nvidia-to-invest-up-to-3-billion-in-lancium-the-information-reports-ce7f50d3db8eff26 | https://fortune.com/2026/08/12/nvidia-private-capital-deal-circular-financing-ai-boom/ | https://www.cnn.com/2026/08/11/business/nvidia-wall-street-500-billion-financing-intl | https://aiweekly.co/alerts/nvidia-to-put-up-to-3b-into-stargate-power-developer-lancium | https://finance.yahoo.com/technology/ai/articles/nvidia-3-billion-bet-lancium-211209280.html | https://www.tftc.io/nvidia-lancium-texas-power-deal-stargate-bitcoin-miners-ercot</w:t>
      </w:r>
    </w:p>
    <w:p>
      <w:pPr>
        <w:jc w:val="both"/>
      </w:pPr>
      <w:r>
        <w:rPr>
          <w:rFonts w:ascii="Arial" w:hAnsi="Arial"/>
          <w:b w:val="0"/>
          <w:i w:val="0"/>
          <w:sz w:val="19"/>
        </w:rPr>
        <w:t xml:space="preserve">Anthropic / Blackstone / Apollo Global Management / Bloomberg / Quartz / Yahoo Finance / TradingKey / KuCoin. (5. – 12. August 2026). </w:t>
      </w:r>
      <w:r>
        <w:rPr>
          <w:rFonts w:ascii="Arial" w:hAnsi="Arial"/>
          <w:b w:val="0"/>
          <w:i/>
          <w:sz w:val="19"/>
        </w:rPr>
        <w:t>Blackstone pitches $36 billion debt deal for Anthropic AI chips / Anthropic SPVs Stack $71 Billion in Chip-Lease Debt in 60 Days / Blackstone Circling $36 Billion Debt Package to Back Anthropic's Google Chip Rentals / Private equity giants Blackstone and Apollo plan $36 billion in chip financing for Anthropic / Blackstone Plans to Raise at Least $36 Billion in Debt for Anthropic for Google Custom Chip Compute.</w:t>
      </w:r>
      <w:r>
        <w:rPr>
          <w:rFonts w:ascii="Arial" w:hAnsi="Arial"/>
          <w:b w:val="0"/>
          <w:i w:val="0"/>
          <w:sz w:val="19"/>
        </w:rPr>
        <w:t xml:space="preserve"> Zweites </w:t>
      </w:r>
      <w:r>
        <w:rPr>
          <w:rFonts w:ascii="Arial" w:hAnsi="Arial"/>
          <w:b w:val="0"/>
          <w:i/>
          <w:sz w:val="19"/>
        </w:rPr>
        <w:t>Chip-Lease-SPV</w:t>
      </w:r>
      <w:r>
        <w:rPr>
          <w:rFonts w:ascii="Arial" w:hAnsi="Arial"/>
          <w:b w:val="0"/>
          <w:i w:val="0"/>
          <w:sz w:val="19"/>
        </w:rPr>
        <w:t xml:space="preserve">-Kredit­paket in Investoren-Sondierung: Anfang August 2026 lotet </w:t>
      </w:r>
      <w:r>
        <w:rPr>
          <w:rFonts w:ascii="Arial" w:hAnsi="Arial"/>
          <w:b w:val="0"/>
          <w:i/>
          <w:sz w:val="19"/>
        </w:rPr>
        <w:t>Blackstone</w:t>
      </w:r>
      <w:r>
        <w:rPr>
          <w:rFonts w:ascii="Arial" w:hAnsi="Arial"/>
          <w:b w:val="0"/>
          <w:i w:val="0"/>
          <w:sz w:val="19"/>
        </w:rPr>
        <w:t xml:space="preserve"> mit </w:t>
      </w:r>
      <w:r>
        <w:rPr>
          <w:rFonts w:ascii="Arial" w:hAnsi="Arial"/>
          <w:b w:val="0"/>
          <w:i/>
          <w:sz w:val="19"/>
        </w:rPr>
        <w:t>Anthropic</w:t>
      </w:r>
      <w:r>
        <w:rPr>
          <w:rFonts w:ascii="Arial" w:hAnsi="Arial"/>
          <w:b w:val="0"/>
          <w:i w:val="0"/>
          <w:sz w:val="19"/>
        </w:rPr>
        <w:t xml:space="preserve"> ein zweites Vehikel über rund 36 Milliarden US-Dollar aus, das die Nutzung von </w:t>
      </w:r>
      <w:r>
        <w:rPr>
          <w:rFonts w:ascii="Arial" w:hAnsi="Arial"/>
          <w:b w:val="0"/>
          <w:i/>
          <w:sz w:val="19"/>
        </w:rPr>
        <w:t>Google-TPU</w:t>
      </w:r>
      <w:r>
        <w:rPr>
          <w:rFonts w:ascii="Arial" w:hAnsi="Arial"/>
          <w:b w:val="0"/>
          <w:i w:val="0"/>
          <w:sz w:val="19"/>
        </w:rPr>
        <w:t xml:space="preserve">-Kapazität durch </w:t>
      </w:r>
      <w:r>
        <w:rPr>
          <w:rFonts w:ascii="Arial" w:hAnsi="Arial"/>
          <w:b w:val="0"/>
          <w:i/>
          <w:sz w:val="19"/>
        </w:rPr>
        <w:t>Anthropic</w:t>
      </w:r>
      <w:r>
        <w:rPr>
          <w:rFonts w:ascii="Arial" w:hAnsi="Arial"/>
          <w:b w:val="0"/>
          <w:i w:val="0"/>
          <w:sz w:val="19"/>
        </w:rPr>
        <w:t xml:space="preserve"> außerhalb der eigenen Bilanz sichern soll; Deployment-Regionen laut Berichterstattung New York, Texas, Louisiana und Indiana (Konjunktivpflicht nach § 4.2 Claude.md, endgültige Struktur- und Volumenausgestaltung noch nicht abgeschlossen). Die </w:t>
      </w:r>
      <w:r>
        <w:rPr>
          <w:rFonts w:ascii="Arial" w:hAnsi="Arial"/>
          <w:b w:val="0"/>
          <w:i/>
          <w:sz w:val="19"/>
        </w:rPr>
        <w:t>Yahoo-Finance</w:t>
      </w:r>
      <w:r>
        <w:rPr>
          <w:rFonts w:ascii="Arial" w:hAnsi="Arial"/>
          <w:b w:val="0"/>
          <w:i w:val="0"/>
          <w:sz w:val="19"/>
        </w:rPr>
        <w:t xml:space="preserve">-Zählung „Anthropic SPVs Stack $71 Billion in Chip-Lease Debt in 60 Days" (12. August 2026) verweist zusätzlich auf einen bereits im Mai 2026 gemeinsam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beide Vehikel folgen einer gleichartigen Off-Balance-Sheet-Konstruktion (Ankauf von </w:t>
      </w:r>
      <w:r>
        <w:rPr>
          <w:rFonts w:ascii="Arial" w:hAnsi="Arial"/>
          <w:b w:val="0"/>
          <w:i/>
          <w:sz w:val="19"/>
        </w:rPr>
        <w:t>Google</w:t>
      </w:r>
      <w:r>
        <w:rPr>
          <w:rFonts w:ascii="Arial" w:hAnsi="Arial"/>
          <w:b w:val="0"/>
          <w:i w:val="0"/>
          <w:sz w:val="19"/>
        </w:rPr>
        <w:t xml:space="preserve">-TPU-Hardware durch eine Zweckgesellschaft, Rückvermietung an </w:t>
      </w:r>
      <w:r>
        <w:rPr>
          <w:rFonts w:ascii="Arial" w:hAnsi="Arial"/>
          <w:b w:val="0"/>
          <w:i/>
          <w:sz w:val="19"/>
        </w:rPr>
        <w:t>Anthropic</w:t>
      </w:r>
      <w:r>
        <w:rPr>
          <w:rFonts w:ascii="Arial" w:hAnsi="Arial"/>
          <w:b w:val="0"/>
          <w:i w:val="0"/>
          <w:sz w:val="19"/>
        </w:rPr>
        <w:t xml:space="preserve">). Aufnahme in § 8.2 als fünfte strukturell unterschiedliche Konstruktion der KI-Compute-Finanzierungs­schicht (SPV-basierte </w:t>
      </w:r>
      <w:r>
        <w:rPr>
          <w:rFonts w:ascii="Arial" w:hAnsi="Arial"/>
          <w:b w:val="0"/>
          <w:i/>
          <w:sz w:val="19"/>
        </w:rPr>
        <w:t>Chip-Leasing-Vehikel</w:t>
      </w:r>
      <w:r>
        <w:rPr>
          <w:rFonts w:ascii="Arial" w:hAnsi="Arial"/>
          <w:b w:val="0"/>
          <w:i w:val="0"/>
          <w:sz w:val="19"/>
        </w:rPr>
        <w:t>), mit Rückwirkung auf § 4.5 (weitere private Kapitalanknüpfungen jenseits des Sanders-Gesetzentwurfs), § 5.4 (Off-Balance-Sheet-Bilanzumgang der Frontier-Anbieter) und § 8.3 (Anlagenkapital- und Chip-Rohstoff-Ebene außerhalb der Reichweite einer inländischen Beteiligungslogik). https://qz.com/blackstone-anthropic-google-chip-debt-deal-080526 | https://finance.yahoo.com/technology/ai/articles/anthropic-spvs-stack-71-billion-000514097.html | https://finance.yahoo.com/technology/ai/articles/blackstone-pitches-36-billion-debt-134437623.html | https://www.briefs.co/news/blackstone-circling-36-billion-debt-package-to-back-anthropi/ | https://www.tradingkey.com/analysis/stocks/us-stocks/262073979-blackstone-anthropic-36-billion-debt-google-chips-ipo-filing-tradingkey | https://www.kucoin.com/news/flash/private-equity-giants-blackstone-and-apollo-plan-36-billion-chip-financing-for-anthropic | https://qz.com/apollo-blackstone-36-billion-debt-deal-anthropic-google-chips-052926</w:t>
      </w:r>
    </w:p>
    <w:p>
      <w:pPr>
        <w:jc w:val="both"/>
      </w:pPr>
      <w:r>
        <w:rPr>
          <w:rFonts w:ascii="Arial" w:hAnsi="Arial"/>
          <w:b w:val="0"/>
          <w:i w:val="0"/>
          <w:sz w:val="19"/>
        </w:rPr>
        <w:t xml:space="preserve">Apple Inc. / OpenAI / Reuters (Claims Journal) / Quartz / JURIST / 9to5Mac / Express Tribune / Business Standard / Axios / TechCrunch / PYMNTS / Insurance Journal / Tech Journal. (4. / 5. / 6. August 2026). </w:t>
      </w:r>
      <w:r>
        <w:rPr>
          <w:rFonts w:ascii="Arial" w:hAnsi="Arial"/>
          <w:b w:val="0"/>
          <w:i/>
          <w:sz w:val="19"/>
        </w:rPr>
        <w:t>Apple Seeks Preliminary Injunction Against OpenAI in Trade Secrets Case / Apple files motion for preliminary injunction against OpenAI in trade secrets case / Apple moves for preliminary injunction in OpenAI trade secrets lawsuit / Apple seeks preliminary injunction against OpenAI in trade secrets case / OpenAI Moves to Dismiss Apple Trade Secret Lawsuit / OpenAI moves to dismiss Apple's trade secret lawsuit / OpenAI Asks Judge to Toss Apple's Trade Secrets Lawsuit / OpenAI says Apple's own security practices undermine its trade secrets case / OpenAI Seeks Dismissal of Apple Trade Secrets Lawsuit.</w:t>
      </w:r>
      <w:r>
        <w:rPr>
          <w:rFonts w:ascii="Arial" w:hAnsi="Arial"/>
          <w:b w:val="0"/>
          <w:i w:val="0"/>
          <w:sz w:val="19"/>
        </w:rPr>
        <w:t xml:space="preserve"> Verfahrensverlauf zur </w:t>
      </w:r>
      <w:r>
        <w:rPr>
          <w:rFonts w:ascii="Arial" w:hAnsi="Arial"/>
          <w:b w:val="0"/>
          <w:i/>
          <w:sz w:val="19"/>
        </w:rPr>
        <w:t>Apple</w:t>
      </w:r>
      <w:r>
        <w:rPr>
          <w:rFonts w:ascii="Arial" w:hAnsi="Arial"/>
          <w:b w:val="0"/>
          <w:i w:val="0"/>
          <w:sz w:val="19"/>
        </w:rPr>
        <w:t xml:space="preserve">-Klage vom 10. Juli 2026 gegen </w:t>
      </w:r>
      <w:r>
        <w:rPr>
          <w:rFonts w:ascii="Arial" w:hAnsi="Arial"/>
          <w:b w:val="0"/>
          <w:i/>
          <w:sz w:val="19"/>
        </w:rPr>
        <w:t>OpenAI</w:t>
      </w:r>
      <w:r>
        <w:rPr>
          <w:rFonts w:ascii="Arial" w:hAnsi="Arial"/>
          <w:b w:val="0"/>
          <w:i w:val="0"/>
          <w:sz w:val="19"/>
        </w:rPr>
        <w:t xml:space="preserve"> und </w:t>
      </w:r>
      <w:r>
        <w:rPr>
          <w:rFonts w:ascii="Arial" w:hAnsi="Arial"/>
          <w:b w:val="0"/>
          <w:i/>
          <w:sz w:val="19"/>
        </w:rPr>
        <w:t>io Products, Inc.</w:t>
      </w:r>
      <w:r>
        <w:rPr>
          <w:rFonts w:ascii="Arial" w:hAnsi="Arial"/>
          <w:b w:val="0"/>
          <w:i w:val="0"/>
          <w:sz w:val="19"/>
        </w:rPr>
        <w:t xml:space="preserve"> wegen Trade-Secret-Aneignung: (a) Am 4. August 2026 stellt </w:t>
      </w:r>
      <w:r>
        <w:rPr>
          <w:rFonts w:ascii="Arial" w:hAnsi="Arial"/>
          <w:b w:val="0"/>
          <w:i/>
          <w:sz w:val="19"/>
        </w:rPr>
        <w:t>Apple</w:t>
      </w:r>
      <w:r>
        <w:rPr>
          <w:rFonts w:ascii="Arial" w:hAnsi="Arial"/>
          <w:b w:val="0"/>
          <w:i w:val="0"/>
          <w:sz w:val="19"/>
        </w:rPr>
        <w:t xml:space="preserve"> Antrag auf </w:t>
      </w:r>
      <w:r>
        <w:rPr>
          <w:rFonts w:ascii="Arial" w:hAnsi="Arial"/>
          <w:b w:val="0"/>
          <w:i/>
          <w:sz w:val="19"/>
        </w:rPr>
        <w:t>preliminary injunction</w:t>
      </w:r>
      <w:r>
        <w:rPr>
          <w:rFonts w:ascii="Arial" w:hAnsi="Arial"/>
          <w:b w:val="0"/>
          <w:i w:val="0"/>
          <w:sz w:val="19"/>
        </w:rPr>
        <w:t xml:space="preserve">, die den Zugriff, Erwerb, die Nutzung und Offenlegung der behaupteten Trade Secrets durch die Beklagten für die Verfahrensdauer untersagen soll, verbunden mit einem </w:t>
      </w:r>
      <w:r>
        <w:rPr>
          <w:rFonts w:ascii="Arial" w:hAnsi="Arial"/>
          <w:b w:val="0"/>
          <w:i/>
          <w:sz w:val="19"/>
        </w:rPr>
        <w:t>expedited-discovery</w:t>
      </w:r>
      <w:r>
        <w:rPr>
          <w:rFonts w:ascii="Arial" w:hAnsi="Arial"/>
          <w:b w:val="0"/>
          <w:i w:val="0"/>
          <w:sz w:val="19"/>
        </w:rPr>
        <w:t xml:space="preserve">-Antrag; (b) am 5./6. August 2026 reicht </w:t>
      </w:r>
      <w:r>
        <w:rPr>
          <w:rFonts w:ascii="Arial" w:hAnsi="Arial"/>
          <w:b w:val="0"/>
          <w:i/>
          <w:sz w:val="19"/>
        </w:rPr>
        <w:t>OpenAI</w:t>
      </w:r>
      <w:r>
        <w:rPr>
          <w:rFonts w:ascii="Arial" w:hAnsi="Arial"/>
          <w:b w:val="0"/>
          <w:i w:val="0"/>
          <w:sz w:val="19"/>
        </w:rPr>
        <w:t xml:space="preserve"> eine 31-seitige Motion zur Klageabweisung ein und argumentiert, dass </w:t>
      </w:r>
      <w:r>
        <w:rPr>
          <w:rFonts w:ascii="Arial" w:hAnsi="Arial"/>
          <w:b w:val="0"/>
          <w:i/>
          <w:sz w:val="19"/>
        </w:rPr>
        <w:t>Apple</w:t>
      </w:r>
      <w:r>
        <w:rPr>
          <w:rFonts w:ascii="Arial" w:hAnsi="Arial"/>
          <w:b w:val="0"/>
          <w:i w:val="0"/>
          <w:sz w:val="19"/>
        </w:rPr>
        <w:t xml:space="preserve"> die </w:t>
      </w:r>
      <w:r>
        <w:rPr>
          <w:rFonts w:ascii="Arial" w:hAnsi="Arial"/>
          <w:b w:val="0"/>
          <w:i/>
          <w:sz w:val="19"/>
        </w:rPr>
        <w:t>trade secrets</w:t>
      </w:r>
      <w:r>
        <w:rPr>
          <w:rFonts w:ascii="Arial" w:hAnsi="Arial"/>
          <w:b w:val="0"/>
          <w:i w:val="0"/>
          <w:sz w:val="19"/>
        </w:rPr>
        <w:t xml:space="preserve"> nicht ausreichend präzisiere, keine schützbare Eigentümerschaft belege und keine plausible Aneignung durch die Beklagten darlege — ergänzend werden </w:t>
      </w:r>
      <w:r>
        <w:rPr>
          <w:rFonts w:ascii="Arial" w:hAnsi="Arial"/>
          <w:b w:val="0"/>
          <w:i/>
          <w:sz w:val="19"/>
        </w:rPr>
        <w:t>Apples</w:t>
      </w:r>
      <w:r>
        <w:rPr>
          <w:rFonts w:ascii="Arial" w:hAnsi="Arial"/>
          <w:b w:val="0"/>
          <w:i w:val="0"/>
          <w:sz w:val="19"/>
        </w:rPr>
        <w:t xml:space="preserve"> eigene </w:t>
      </w:r>
      <w:r>
        <w:rPr>
          <w:rFonts w:ascii="Arial" w:hAnsi="Arial"/>
          <w:b w:val="0"/>
          <w:i/>
          <w:sz w:val="19"/>
        </w:rPr>
        <w:t>Offboarding</w:t>
      </w:r>
      <w:r>
        <w:rPr>
          <w:rFonts w:ascii="Arial" w:hAnsi="Arial"/>
          <w:b w:val="0"/>
          <w:i w:val="0"/>
          <w:sz w:val="19"/>
        </w:rPr>
        <w:t xml:space="preserve">- und Sicherheitspraktiken (Manager-Zugriff auf ein iCloud-Konto nach Beschäftigungsende) als selbst-untergrabendes Beweismittel geltend gemacht. Anhörung zum Injunction-Antrag am 1. Oktober 2026 in San José. Aufnahme in § 8.2 als Fortschreibung der bereits mit Version 40.0 aufgenommenen </w:t>
      </w:r>
      <w:r>
        <w:rPr>
          <w:rFonts w:ascii="Arial" w:hAnsi="Arial"/>
          <w:b w:val="0"/>
          <w:i/>
          <w:sz w:val="19"/>
        </w:rPr>
        <w:t>Apple</w:t>
      </w:r>
      <w:r>
        <w:rPr>
          <w:rFonts w:ascii="Arial" w:hAnsi="Arial"/>
          <w:b w:val="0"/>
          <w:i w:val="0"/>
          <w:sz w:val="19"/>
        </w:rPr>
        <w:t>-Klage; Rückwirkung auf § 4.5 (fiskalische Volatilität bestandsorientierter Zugriffslogiken) und § 8.3 (Präferenz für wertschöpfungs- statt bestands­orientierte Zugriffe). https://www.claimsjournal.com/news/national/2026/08/04/339276.htm | https://tribune.com.pk/story/2622068/apple-seeks-preliminary-injunction-against-openai-in-trade-secrets-case | https://www.jurist.org/news/2026/08/apple-files-motion-for-preliminary-injunction-against-openai-in-trade-secrets-case/ | https://qz.com/apple-preliminary-injunction-openai-trade-secrets-080426 | https://www.business-standard.com/technology/tech-news/apple-seeks-preliminary-injunction-against-openai-in-trade-secrets-case-126080400670_1.html | https://9to5mac.com/2026/08/04/apple-preliminary-injunction-openai/ | https://techjournal.org/openai-moves-dismiss-apple-trade-secrets-suit | https://qz.com/openai-motion-dismiss-apple-trade-secrets-lawsuit-080626 | https://www.insurancejournal.com/news/national/2026/08/06/880579.htm | https://www.axios.com/2026/08/06/openai-apple-motion-to-dismiss | https://www.pymnts.com/legal/2026/openai-seeks-dismissal-apple-trade-secrets-lawsuit/ | https://techcrunch.com/2026/08/06/openai-says-apples-own-security-practices-undermine-its-trade-secrets-case/</w:t>
      </w:r>
    </w:p>
    <w:p>
      <w:pPr>
        <w:jc w:val="both"/>
      </w:pPr>
      <w:r>
        <w:rPr>
          <w:rFonts w:ascii="Arial" w:hAnsi="Arial"/>
          <w:b w:val="0"/>
          <w:i w:val="0"/>
          <w:sz w:val="19"/>
        </w:rPr>
        <w:t xml:space="preserve">Salesforce / The Next Web / Salesforce Ben / Inc. / Final Round AI / NBC News / Fortune. (7. August 2026). </w:t>
      </w:r>
      <w:r>
        <w:rPr>
          <w:rFonts w:ascii="Arial" w:hAnsi="Arial"/>
          <w:b w:val="0"/>
          <w:i/>
          <w:sz w:val="19"/>
        </w:rPr>
        <w:t>Salesforce is cutting 133 more jobs. The filings don't mention AI / Salesforce Announces Another Huge Round of Layoffs in 2026 / Last Month, Salesforce Announced It Hit $1.2 Billion in AI Revenue—Now It's Laying Off Staff / Marc Benioff Dismisses AI Layoff Fears – But What Do the Numbers Say? / Is AI Really Behind the Tech Layoff Wave? Benioff Says No / Salesforce CEO confirms 4,000 layoffs 'because I need less heads' with AI.</w:t>
      </w:r>
      <w:r>
        <w:rPr>
          <w:rFonts w:ascii="Arial" w:hAnsi="Arial"/>
          <w:b w:val="0"/>
          <w:i w:val="0"/>
          <w:sz w:val="19"/>
        </w:rPr>
        <w:t xml:space="preserve"> Dritte </w:t>
      </w:r>
      <w:r>
        <w:rPr>
          <w:rFonts w:ascii="Arial" w:hAnsi="Arial"/>
          <w:b w:val="0"/>
          <w:i/>
          <w:sz w:val="19"/>
        </w:rPr>
        <w:t>Salesforce</w:t>
      </w:r>
      <w:r>
        <w:rPr>
          <w:rFonts w:ascii="Arial" w:hAnsi="Arial"/>
          <w:b w:val="0"/>
          <w:i w:val="0"/>
          <w:sz w:val="19"/>
        </w:rPr>
        <w:t xml:space="preserve">-Layoff-Runde des Jahres 2026: WARN-Anzeigen (Wirkungsdatum 5. Oktober 2026) für 133 Stellenstreichungen (74 im San-Francisco-Headquarter in Kalifornien; 59 in Bellevue und Seattle im Bundesstaat Washington), stark auf Engineering-Rollen im Umfeld der AI-Agent-Plattform </w:t>
      </w:r>
      <w:r>
        <w:rPr>
          <w:rFonts w:ascii="Arial" w:hAnsi="Arial"/>
          <w:b w:val="0"/>
          <w:i/>
          <w:sz w:val="19"/>
        </w:rPr>
        <w:t>Agentforce</w:t>
      </w:r>
      <w:r>
        <w:rPr>
          <w:rFonts w:ascii="Arial" w:hAnsi="Arial"/>
          <w:b w:val="0"/>
          <w:i w:val="0"/>
          <w:sz w:val="19"/>
        </w:rPr>
        <w:t xml:space="preserve"> (annualisiertes wiederkehrendes Umsatzniveau nach Konzernangaben rund 1,2 Milliarden US-Dollar, +205 % gegenüber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die WARN-Filings selbst benennen KI nicht als Grund. Parallel hinterlegt </w:t>
      </w:r>
      <w:r>
        <w:rPr>
          <w:rFonts w:ascii="Arial" w:hAnsi="Arial"/>
          <w:b w:val="0"/>
          <w:i/>
          <w:sz w:val="19"/>
        </w:rPr>
        <w:t>Salesforce</w:t>
      </w:r>
      <w:r>
        <w:rPr>
          <w:rFonts w:ascii="Arial" w:hAnsi="Arial"/>
          <w:b w:val="0"/>
          <w:i w:val="0"/>
          <w:sz w:val="19"/>
        </w:rPr>
        <w:t>-CEO Marc Benioff öffentlich eine Reduktion der Kundendienst-Belegschaft von rund 9.000 auf rund 5.000 Beschäftigte binnen eines Jahres („I need less heads") und beziffert die KI-Automatisierung des Konzernbetriebs mit 30 bis 50 Prozent der internen Arbeit. Aufnahme in § 1.1 als weiterer Anwendungsfall der Kausalattributionsproblematik nach § 9.1 und als weiterer Beobachtungsfall für die im Connecticut-</w:t>
      </w:r>
      <w:r>
        <w:rPr>
          <w:rFonts w:ascii="Arial" w:hAnsi="Arial"/>
          <w:b w:val="0"/>
          <w:i/>
          <w:sz w:val="19"/>
        </w:rPr>
        <w:t>SB-5</w:t>
      </w:r>
      <w:r>
        <w:rPr>
          <w:rFonts w:ascii="Arial" w:hAnsi="Arial"/>
          <w:b w:val="0"/>
          <w:i w:val="0"/>
          <w:sz w:val="19"/>
        </w:rPr>
        <w:t>-WARN-Erweiterung (§ 4.5) angezielte KI-bezogene Anzeigepflicht. https://thenextweb.com/news/salesforce-133-layoffs-washington-california-ai-restructuring | https://www.salesforceben.com/marc-benioff-dismisses-ai-layoff-fears-but-what-do-the-numbers-say/ | https://www.inc.com/georgia-fearn/salesforce-announced-billion-in-ai-revenue-now-laying-off-staff-tied-to-product/91358471 | https://www.finalroundai.com/blog/salesforce-layoffs-2026 | https://www.nbcnews.com/business/business-news/salesforce-ceo-confirms-4000-layoffs-need-less-heads-ai-rcna228703 | https://www.cxtoday.com/workforce-engagement-management/benioff-ai-layoffs-scapegoat-cx/</w:t>
      </w:r>
    </w:p>
    <w:p>
      <w:pPr>
        <w:jc w:val="both"/>
      </w:pPr>
      <w:r>
        <w:rPr>
          <w:rFonts w:ascii="Arial" w:hAnsi="Arial"/>
          <w:b w:val="0"/>
          <w:i w:val="0"/>
          <w:sz w:val="19"/>
        </w:rPr>
        <w:t xml:space="preserve">Riot Platforms / Anthropic / Bloomberg / CNBC / TheNextWeb / Cryptobriefing / Quartz / The Coin Republic / Crypto.News / Blockonomi. (11. August 2026). </w:t>
      </w:r>
      <w:r>
        <w:rPr>
          <w:rFonts w:ascii="Arial" w:hAnsi="Arial"/>
          <w:b w:val="0"/>
          <w:i/>
          <w:sz w:val="19"/>
        </w:rPr>
        <w:t>Anthropic Strikes $9 Billion Computing Deal With Riot Platforms / Riot Platforms strikes deal with Anthropic as bitcoin miners shift focus to AI infrastructure / Anthropic signs a $9.1bn, 20-year cloud deal with bitcoin miner Riot Platforms / Anthropic secures $9.1B power deal with Riot Platforms for AI infrastructure in Texas / Anthropic signs $9.1 billion data center deal with Riot Platforms / Anthropic Signs $9.1B Deal With Bitcoin Miner Riot Platforms / Riot Platforms signs $9.1B AI deal reportedly with Anthropic / Riot Platforms Signs $9.1 Billion Data Center Deal With Anthropic.</w:t>
      </w:r>
      <w:r>
        <w:rPr>
          <w:rFonts w:ascii="Arial" w:hAnsi="Arial"/>
          <w:b w:val="0"/>
          <w:i w:val="0"/>
          <w:sz w:val="19"/>
        </w:rPr>
        <w:t xml:space="preserve"> Am 11. August 2026 geschlossener zwanzigjähriger </w:t>
      </w:r>
      <w:r>
        <w:rPr>
          <w:rFonts w:ascii="Arial" w:hAnsi="Arial"/>
          <w:b w:val="0"/>
          <w:i/>
          <w:sz w:val="19"/>
        </w:rPr>
        <w:t>Compute-Nutzungsvertrag</w:t>
      </w:r>
      <w:r>
        <w:rPr>
          <w:rFonts w:ascii="Arial" w:hAnsi="Arial"/>
          <w:b w:val="0"/>
          <w:i w:val="0"/>
          <w:sz w:val="19"/>
        </w:rPr>
        <w:t xml:space="preserve"> zwischen </w:t>
      </w:r>
      <w:r>
        <w:rPr>
          <w:rFonts w:ascii="Arial" w:hAnsi="Arial"/>
          <w:b w:val="0"/>
          <w:i/>
          <w:sz w:val="19"/>
        </w:rPr>
        <w:t>Anthropic</w:t>
      </w:r>
      <w:r>
        <w:rPr>
          <w:rFonts w:ascii="Arial" w:hAnsi="Arial"/>
          <w:b w:val="0"/>
          <w:i w:val="0"/>
          <w:sz w:val="19"/>
        </w:rPr>
        <w:t xml:space="preserve"> und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Basislaufzeit Juni 2026 bis Juni 2048, Basisvertragsvolumen rund 9,1 Milliarden US-Dollar mit zwei jeweils fünfjährigen Verlängerungsoptionen (aufkumulierbar auf rund 16,1 Milliarden US-Dollar); erste Ausbaustufe 96 Megawatt bis Ende 2027, volle Kapazität bis Juni 2028; </w:t>
      </w:r>
      <w:r>
        <w:rPr>
          <w:rFonts w:ascii="Arial" w:hAnsi="Arial"/>
          <w:b w:val="0"/>
          <w:i/>
          <w:sz w:val="19"/>
        </w:rPr>
        <w:t>Morgan Stanley</w:t>
      </w:r>
      <w:r>
        <w:rPr>
          <w:rFonts w:ascii="Arial" w:hAnsi="Arial"/>
          <w:b w:val="0"/>
          <w:i w:val="0"/>
          <w:sz w:val="19"/>
        </w:rPr>
        <w:t xml:space="preserve">-Finanzierung 573 Millionen US-Dollar; nach Angaben von </w:t>
      </w:r>
      <w:r>
        <w:rPr>
          <w:rFonts w:ascii="Arial" w:hAnsi="Arial"/>
          <w:b w:val="0"/>
          <w:i/>
          <w:sz w:val="19"/>
        </w:rPr>
        <w:t>Riot</w:t>
      </w:r>
      <w:r>
        <w:rPr>
          <w:rFonts w:ascii="Arial" w:hAnsi="Arial"/>
          <w:b w:val="0"/>
          <w:i w:val="0"/>
          <w:sz w:val="19"/>
        </w:rPr>
        <w:t xml:space="preserve">-CEO Jason Les kumuliert Mietverträge über 241 Megawatt mit einem geschätzten Umsatz von 9,8 Milliarden US-Dollar über mehrere KI-Kunden (Konjunktivpflicht nach § 4.2 Claude.md, da die weiteren Kunden im </w:t>
      </w:r>
      <w:r>
        <w:rPr>
          <w:rFonts w:ascii="Arial" w:hAnsi="Arial"/>
          <w:b w:val="0"/>
          <w:i/>
          <w:sz w:val="19"/>
        </w:rPr>
        <w:t>Rockdale-Cluster</w:t>
      </w:r>
      <w:r>
        <w:rPr>
          <w:rFonts w:ascii="Arial" w:hAnsi="Arial"/>
          <w:b w:val="0"/>
          <w:i w:val="0"/>
          <w:sz w:val="19"/>
        </w:rPr>
        <w:t xml:space="preserve"> nicht namentlich offengelegt werden); </w:t>
      </w:r>
      <w:r>
        <w:rPr>
          <w:rFonts w:ascii="Arial" w:hAnsi="Arial"/>
          <w:b w:val="0"/>
          <w:i/>
          <w:sz w:val="19"/>
        </w:rPr>
        <w:t>Riot</w:t>
      </w:r>
      <w:r>
        <w:rPr>
          <w:rFonts w:ascii="Arial" w:hAnsi="Arial"/>
          <w:b w:val="0"/>
          <w:i w:val="0"/>
          <w:sz w:val="19"/>
        </w:rPr>
        <w:t xml:space="preserve">-Aktie im Nachhandel rund 25 % höher auf rund 24,30 US-Dollar. Aufnahme in § 8.2 als drittes strukturell verschiedenes, aber logisch verwandtes Muster der KI-Compute-Finanzierungs­schicht neben </w:t>
      </w:r>
      <w:r>
        <w:rPr>
          <w:rFonts w:ascii="Arial" w:hAnsi="Arial"/>
          <w:b w:val="0"/>
          <w:i/>
          <w:sz w:val="19"/>
        </w:rPr>
        <w:t>Theseus</w:t>
      </w:r>
      <w:r>
        <w:rPr>
          <w:rFonts w:ascii="Arial" w:hAnsi="Arial"/>
          <w:b w:val="0"/>
          <w:i w:val="0"/>
          <w:sz w:val="19"/>
        </w:rPr>
        <w:t xml:space="preserve"> (Multi-Investor-Vehikel) und </w:t>
      </w:r>
      <w:r>
        <w:rPr>
          <w:rFonts w:ascii="Arial" w:hAnsi="Arial"/>
          <w:b w:val="0"/>
          <w:i/>
          <w:sz w:val="19"/>
        </w:rPr>
        <w:t>Nvidia</w:t>
      </w:r>
      <w:r>
        <w:rPr>
          <w:rFonts w:ascii="Arial" w:hAnsi="Arial"/>
          <w:b w:val="0"/>
          <w:i w:val="0"/>
          <w:sz w:val="19"/>
        </w:rPr>
        <w:t xml:space="preserve">-Financing-Platforms (Sechs-Institutionen-Plattformen) — konkret als Umwidmung von </w:t>
      </w:r>
      <w:r>
        <w:rPr>
          <w:rFonts w:ascii="Arial" w:hAnsi="Arial"/>
          <w:b w:val="0"/>
          <w:i/>
          <w:sz w:val="19"/>
        </w:rPr>
        <w:t>stranded-assets</w:t>
      </w:r>
      <w:r>
        <w:rPr>
          <w:rFonts w:ascii="Arial" w:hAnsi="Arial"/>
          <w:b w:val="0"/>
          <w:i w:val="0"/>
          <w:sz w:val="19"/>
        </w:rPr>
        <w:t xml:space="preserve"> (konvertierte Bitcoin-Mining-Anlage) zur langfristigen KI-Compute-Anlage, mit Rückwirkung auf § 4.5 (weitere private Präzedenz jenseits des Sanders-Gesetzentwurfs), § 5.4 (Externalitäten-Kompensation an Host-Region), § 8.2/§ 8.3 (Verhärtung der außereuropäischen Compute-Finanzierungs- und Standort­schicht) und § 9.5 (grüne-/braune-Kapazitäts-Umwidmung als Abgrenzungsproblem im internationalen Steuerkontext). https://www.bloomberg.com/news/articles/2026-08-11/anthropic-strikes-9-billion-deal-with-cloud-computing-firm-riot | https://www.cnbc.com/2026/08/11/riot-platforms-signs-anthropic-deal-as-miners-shift-to-ai-infrastructure-.html | https://thenextweb.com/news/anthropic-riot-9bn-data-centre-deal | https://cryptobriefing.com/anthropic-riot-platforms-9b-ai-power-deal/ | https://qz.com/anthropic-riot-platforms-data-center-deal-9-billion-081126 | https://www.thecoinrepublic.com/2026/08/11/anthropic-signs-9-1b-deal-with-bitcoin-miner-riot-platforms/ | https://crypto.news/riot-signs-9-1b-ai-deal-reportedly-with-anthropic/ | https://blockonomi.com/riot-platforms-signs-9-1-billion-data-center-deal-with-anthropic</w:t>
      </w:r>
    </w:p>
    <w:p>
      <w:pPr>
        <w:jc w:val="both"/>
      </w:pPr>
      <w:r>
        <w:rPr>
          <w:rFonts w:ascii="Arial" w:hAnsi="Arial"/>
          <w:b w:val="0"/>
          <w:i w:val="0"/>
          <w:sz w:val="19"/>
        </w:rPr>
        <w:t xml:space="preserve">Bloomberg / Cryptopolitan / Mezha / People's Daily / South China Morning Post. (10. August 2026). </w:t>
      </w:r>
      <w:r>
        <w:rPr>
          <w:rFonts w:ascii="Arial" w:hAnsi="Arial"/>
          <w:b w:val="0"/>
          <w:i/>
          <w:sz w:val="19"/>
        </w:rPr>
        <w:t>Unitree's Shanghai IPO 5,526 Times Subscribed by Retail Buyers / Unitree opens IPO subscription to become China's first humanoid robot stock / Unitree sets Shanghai IPO price as humanoid robot sector seeks fresh capital / Unitree IPO draws spotlight to China's fast-growing humanoid robot sector / Backed by DeepSeek, Unitree IPO tests investor appetite for China's AI robotics boom.</w:t>
      </w:r>
      <w:r>
        <w:rPr>
          <w:rFonts w:ascii="Arial" w:hAnsi="Arial"/>
          <w:b w:val="0"/>
          <w:i w:val="0"/>
          <w:sz w:val="19"/>
        </w:rPr>
        <w:t xml:space="preserve"> Fortschreibung der bereits mit Version 58.0 / 59.0 in § 8.2 dokumentierten </w:t>
      </w:r>
      <w:r>
        <w:rPr>
          <w:rFonts w:ascii="Arial" w:hAnsi="Arial"/>
          <w:b w:val="0"/>
          <w:i/>
          <w:sz w:val="19"/>
        </w:rPr>
        <w:t>Unitree-Robotics</w:t>
      </w:r>
      <w:r>
        <w:rPr>
          <w:rFonts w:ascii="Arial" w:hAnsi="Arial"/>
          <w:b w:val="0"/>
          <w:i w:val="0"/>
          <w:sz w:val="19"/>
        </w:rPr>
        <w:t xml:space="preserve">-Shanghai-STAR-Bepreisung um die am 10. August 2026 eröffnete Retail-Zeichnungsphase: Am Eröffnungstag sei der öffentliche Retail-Anteil des Emissionsvolumens rund 5.526-fach überzeichnet gewesen, nach Anbieter-/Emittenten-Angaben mit rund 9,8 Millionen Einzel-Zeichnungs­aufträgen. Aufnahme in § 8.2 als Fortschreibung der physisch-robotischen Kapitalmarktschicht mit Rückwirkung auf § 4.5 (verkürzte Beobachtungsphase für bestandsorientierte Umverteilungslogik nach </w:t>
      </w:r>
      <w:r>
        <w:rPr>
          <w:rFonts w:ascii="Arial" w:hAnsi="Arial"/>
          <w:b w:val="0"/>
          <w:i/>
          <w:sz w:val="19"/>
        </w:rPr>
        <w:t>American A.I. Sovereign Wealth Fund Act</w:t>
      </w:r>
      <w:r>
        <w:rPr>
          <w:rFonts w:ascii="Arial" w:hAnsi="Arial"/>
          <w:b w:val="0"/>
          <w:i w:val="0"/>
          <w:sz w:val="19"/>
        </w:rPr>
        <w:t xml:space="preserve"> im Retail-getriebenen Bewertungsumfeld) und § 8.3 (weitere Verschiebung des Referenzpunkts inländischer Anschlussstellen einer wertschöpfungs­orientierten KI-Nutzungsabgabe in Richtung Anwendungs-Ebene). Nachtrag zum 11. August 2026 nach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Bis zum Ende der Zeichnungsphase sei der öffentliche Retail-Anteil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w:t>
      </w:r>
      <w:r>
        <w:rPr>
          <w:rFonts w:ascii="Arial" w:hAnsi="Arial"/>
          <w:b w:val="0"/>
          <w:i/>
          <w:sz w:val="19"/>
        </w:rPr>
        <w:t>Yahoo-Finance</w:t>
      </w:r>
      <w:r>
        <w:rPr>
          <w:rFonts w:ascii="Arial" w:hAnsi="Arial"/>
          <w:b w:val="0"/>
          <w:i w:val="0"/>
          <w:sz w:val="19"/>
        </w:rPr>
        <w:t>-Angaben rund 900 Millionen US-Dollar (Konjunktivpflicht nach § 4.2 Claude.md, Angaben anbieter-/emittentenseitig). https://www.bloomberg.com/news/articles/2026-08-10/unitree-s-shanghai-ipo-5-526-times-subscribed-by-retail-buyers | https://www.cryptopolitan.com/unitree-opens-ipo-subscription/ | https://mezha.net/eng/bukvy/33b2224b_unitree_sets_shanghai/ | https://en.people.cn/n3/2026/0811/c90000-20487384.html | https://www.scmp.com/tech/tech-trends/article/3363251/backed-deepseek-unitree-ipo-tests-investor-appetite-chinas-ai-robotics-boom | https://finance.yahoo.com/markets/stocks/articles/unitrees-shanghai-ipo-more-8-112909363.html | https://techstartups.com/2026/08/11/top-tech-news-today-august-11-2026-anthropic-intel-meta-openai-nvidia-unitree-more/</w:t>
      </w:r>
    </w:p>
    <w:p>
      <w:pPr>
        <w:jc w:val="both"/>
      </w:pPr>
      <w:r>
        <w:rPr>
          <w:rFonts w:ascii="Arial" w:hAnsi="Arial"/>
          <w:b w:val="0"/>
          <w:i w:val="0"/>
          <w:sz w:val="19"/>
        </w:rPr>
        <w:t xml:space="preserve">Challenger, Gray &amp; Christmas / Insurance Journal / Claims Journal / Founder Reports. (2. Juli / August 2026). </w:t>
      </w:r>
      <w:r>
        <w:rPr>
          <w:rFonts w:ascii="Arial" w:hAnsi="Arial"/>
          <w:b w:val="0"/>
          <w:i/>
          <w:sz w:val="19"/>
        </w:rPr>
        <w:t>AI’s Impact: Tech and Finance Sectors Losing 28,000 Jobs Monthly / Challenger Report: March Cuts Rise 25 % From February, AI Leads Reasons / AI Layoffs by Company: A Tracker of Every Major Layoff Tied to AI (2026).</w:t>
      </w:r>
      <w:r>
        <w:rPr>
          <w:rFonts w:ascii="Arial" w:hAnsi="Arial"/>
          <w:b w:val="0"/>
          <w:i w:val="0"/>
          <w:sz w:val="19"/>
        </w:rPr>
        <w:t xml:space="preserve"> Zusammenfassende Auswertung der monatlichen Challenger-Layoff-Serie: Für Januar bis Juni 2026 kumuliert rund 101.700 US-Stellenstreichungen explizit auf AI zurückgeführt (fast das Doppelte des Gesamtjahreswerts 2025 mit 54.836); AI vier Monate in Folge (März – Juni 2026) führender Layoff-Grund; Finanz- und Informations­sektor mit rund 28.000 Stellenstreichungen pro Monat im Durchschnitt 2026. Aufnahme in § 1.1 als quantitativer Anker der AI-attribuierten Stellenstreichungen. https://www.challengergray.com/blog/challenger-report-march-cuts-rise-25-from-february-ai-leads-reasons/ | https://www.claimsjournal.com/news/national/2026/07/06/338604.htm | https://www.insurancejournal.com/news/national/2026/07/02/875989.htm | https://founderreports.com/ai-layoffs-tracker/</w:t>
      </w:r>
    </w:p>
    <w:p>
      <w:pPr>
        <w:jc w:val="both"/>
      </w:pPr>
      <w:r>
        <w:rPr>
          <w:rFonts w:ascii="Arial" w:hAnsi="Arial"/>
          <w:b w:val="0"/>
          <w:i w:val="0"/>
          <w:sz w:val="19"/>
        </w:rPr>
        <w:t xml:space="preserve">Casar, G., Foushee, V. &amp; Jacobs, S. / US House of Representatives / Quiver Quantitative / MLex / CBS Austin / Common Dreams / New Republic / Reason / Nextgov/FCW / Yournews / BirdsAdvice / Texas Politics / American Immigration Council. (7. August 2026). </w:t>
      </w:r>
      <w:r>
        <w:rPr>
          <w:rFonts w:ascii="Arial" w:hAnsi="Arial"/>
          <w:b w:val="0"/>
          <w:i/>
          <w:sz w:val="19"/>
        </w:rPr>
        <w:t>NEWS: Casar Leads Introduction of New Bill To Protect Workers From Threat of AI Mass Unemployment / US House Democrats introduce bill to tax AI companies, offset layoffs / Casar introduces bill to tax AI companies, create jobs amid layoff fears / Press Release: Greg Casar, Valerie Foushee and Sara Jacobs Introduce Bill to Tax AI Companies and Fund Jobs / 'As Toxic as AIPAC': Casar Urges Dems to Reject AI Industry Money and Protect Workers / Protecting Workers From AI Is Easier Said Than Done / Democrats' AI bill would tax companies to fund a jobs program / Tech Bills of the Week: Deterring AI distillation; Taxing AI developers; and more / House Democrats Propose Taxing Major AI Companies to Fund Jobs for Displaced Workers / New Democratic Plan Would Tax AI to Offset Job Losses / Greg Casar Targets AI Profits With New Worker Protection Bill / Casar introduces bill to tax AI companies, create jobs amid layoff fears</w:t>
      </w:r>
      <w:r>
        <w:rPr>
          <w:rFonts w:ascii="Arial" w:hAnsi="Arial"/>
          <w:b w:val="0"/>
          <w:i w:val="0"/>
          <w:sz w:val="19"/>
        </w:rPr>
        <w:t xml:space="preserve">. Am 7. August 2026 im US-Repräsentantenhaus eingebrachter </w:t>
      </w:r>
      <w:r>
        <w:rPr>
          <w:rFonts w:ascii="Arial" w:hAnsi="Arial"/>
          <w:b w:val="0"/>
          <w:i/>
          <w:sz w:val="19"/>
        </w:rPr>
        <w:t>AI Tax and Work Protection Act</w:t>
      </w:r>
      <w:r>
        <w:rPr>
          <w:rFonts w:ascii="Arial" w:hAnsi="Arial"/>
          <w:b w:val="0"/>
          <w:i w:val="0"/>
          <w:sz w:val="19"/>
        </w:rPr>
        <w:t xml:space="preserve"> (Federführung Greg Casar D-TX, mit Valerie Foushee D-NC und Sara Jacobs D-CA); Steueraufkommen alternativ am Token-Verkaufspreis oder am Produktumsatz der KI-Angebote (jeweils der höhere Wert) bemessen, bei </w:t>
      </w:r>
      <w:r>
        <w:rPr>
          <w:rFonts w:ascii="Arial" w:hAnsi="Arial"/>
          <w:b w:val="0"/>
          <w:i/>
          <w:sz w:val="19"/>
        </w:rPr>
        <w:t>Open-Weight</w:t>
      </w:r>
      <w:r>
        <w:rPr>
          <w:rFonts w:ascii="Arial" w:hAnsi="Arial"/>
          <w:b w:val="0"/>
          <w:i w:val="0"/>
          <w:sz w:val="19"/>
        </w:rPr>
        <w:t xml:space="preserve">-Modellen auf der Einsatzebene bei Personalkosten-Reduktion greifend; unemployment-elastischer Tarif mit Anhebung bei US-Arbeitslosenquote über 5 Prozent; Aufkommen vollständig in eine neu zu errichtende </w:t>
      </w:r>
      <w:r>
        <w:rPr>
          <w:rFonts w:ascii="Arial" w:hAnsi="Arial"/>
          <w:b w:val="0"/>
          <w:i/>
          <w:sz w:val="19"/>
        </w:rPr>
        <w:t>Work Protection Administration</w:t>
      </w:r>
      <w:r>
        <w:rPr>
          <w:rFonts w:ascii="Arial" w:hAnsi="Arial"/>
          <w:b w:val="0"/>
          <w:i w:val="0"/>
          <w:sz w:val="19"/>
        </w:rPr>
        <w:t xml:space="preserve"> (WPA) nach dem Vorbild der New-Deal-</w:t>
      </w:r>
      <w:r>
        <w:rPr>
          <w:rFonts w:ascii="Arial" w:hAnsi="Arial"/>
          <w:b w:val="0"/>
          <w:i/>
          <w:sz w:val="19"/>
        </w:rPr>
        <w:t>Works Progress Administration</w:t>
      </w:r>
      <w:r>
        <w:rPr>
          <w:rFonts w:ascii="Arial" w:hAnsi="Arial"/>
          <w:b w:val="0"/>
          <w:i w:val="0"/>
          <w:sz w:val="19"/>
        </w:rPr>
        <w:t xml:space="preserve">; tragende Verbände AFT, AFSCME, Groundwork Action, Demand Progress Action. Aufnahme in § 4.5 als dritte US-Kongress-Fiskal-Initiative mit unmittelbarem Bezug zur Verdrängung menschlicher Arbeit neben </w:t>
      </w:r>
      <w:r>
        <w:rPr>
          <w:rFonts w:ascii="Arial" w:hAnsi="Arial"/>
          <w:b w:val="0"/>
          <w:i/>
          <w:sz w:val="19"/>
        </w:rPr>
        <w:t>Sanders</w:t>
      </w:r>
      <w:r>
        <w:rPr>
          <w:rFonts w:ascii="Arial" w:hAnsi="Arial"/>
          <w:b w:val="0"/>
          <w:i w:val="0"/>
          <w:sz w:val="19"/>
        </w:rPr>
        <w:t xml:space="preserve">-Robotersteuer (Oktober 2025) und </w:t>
      </w:r>
      <w:r>
        <w:rPr>
          <w:rFonts w:ascii="Arial" w:hAnsi="Arial"/>
          <w:b w:val="0"/>
          <w:i/>
          <w:sz w:val="19"/>
        </w:rPr>
        <w:t>American A.I. Sovereign Wealth Fund Act</w:t>
      </w:r>
      <w:r>
        <w:rPr>
          <w:rFonts w:ascii="Arial" w:hAnsi="Arial"/>
          <w:b w:val="0"/>
          <w:i w:val="0"/>
          <w:sz w:val="19"/>
        </w:rPr>
        <w:t xml:space="preserve"> (18. Juni 2026). https://casar.house.gov/media/press-releases/news-casar-leads-introduction-new-bill-protect-workers-threat-ai-mass | https://www.mlex.com/mlex/artificial-intelligence/articles/2510800 | https://cbsaustin.com/news/local/casar-introduces-bill-to-tax-ai-companies-create-jobs-amid-layoff-fears | https://www.commondreams.org/news/ai-political-spending | https://newrepublic.com/post/214100/greg-casar-ai-workers | https://reason.com/2026/08/07/democrats-want-to-tax-ai-companies-for-job-losses-that-havent-happened/ | https://www.nextgov.com/policy/2026/08/tech-bills-week-deterring-ai-distillation-taxing-ai-developers-and-more/415287/ | https://yournews.com/2026/08/06/7146587/house-democrats-propose-taxing-major-ai-companies-to-fund-jobs/ | https://texaspolitics.com/2026/08/07/hold-casars-new-bill-to-protect-american-workers-from-mass-unemployment-caused-by-ai/ | https://www.quiverquant.com/news/Press+Release:+Greg+Casar,+Valerie+Foushee+and+Sara+Jacobs+Introduce+Bill+to+Tax+AI+Companies+and+Fund+Jobs</w:t>
      </w:r>
    </w:p>
    <w:p>
      <w:pPr>
        <w:jc w:val="both"/>
      </w:pPr>
      <w:r>
        <w:rPr>
          <w:rFonts w:ascii="Arial" w:hAnsi="Arial"/>
          <w:b w:val="0"/>
          <w:i w:val="0"/>
          <w:sz w:val="19"/>
        </w:rPr>
        <w:t xml:space="preserve">Rapid7, Inc. / Boston Globe / SiliconAngle / HR Katha / TheHRDigest / Pulse2 / NBC Boston / StreetInsider / Dealroom. (7./10. August 2026). </w:t>
      </w:r>
      <w:r>
        <w:rPr>
          <w:rFonts w:ascii="Arial" w:hAnsi="Arial"/>
          <w:b w:val="0"/>
          <w:i/>
          <w:sz w:val="19"/>
        </w:rPr>
        <w:t>Rapid7 to cut 12 % of workforce in restructuring plan / Rapid7 layoffs: Boston cybersecurity firm cuts 300 jobs / Rapid7 beats estimates, raises profit outlook and cuts 12 % of staff / Rapid7 cuts 12 % of workforce as it shifts towards AI-first cybersecurity / Rapid7 Cuts 12 % Of Workforce As It Shifts Resources Toward AI-First Cybersecurity Platform / Rapid7 cuts 12 % of staff under new CEO / Rapid7 targets 20 % operating margin as it cuts 12 % of workforce in strategic reset</w:t>
      </w:r>
      <w:r>
        <w:rPr>
          <w:rFonts w:ascii="Arial" w:hAnsi="Arial"/>
          <w:b w:val="0"/>
          <w:i w:val="0"/>
          <w:sz w:val="19"/>
        </w:rPr>
        <w:t xml:space="preserve">. Am 7. August 2026 vom Board beschlossene, am 10. August 2026 mit dem Q2-Ergebnisbericht angekündigte Restrukturierung: rund 310 Stellenstreichungen (12 Prozent von rund 2.600 Beschäftigten); Q2-Umsatz 210,9 Millionen US-Dollar (−1,5 Prozent im Jahresvergleich); Restrukturierungsaufwand 10 bis 11 Millionen US-Dollar überwiegend in Q3/Q4 2026; neuer CEO Wael Mohamed richtet den Konzern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aus; die Presse-Berichterstattung ordnet den Schritt als Umstellung auf eine </w:t>
      </w:r>
      <w:r>
        <w:rPr>
          <w:rFonts w:ascii="Arial" w:hAnsi="Arial"/>
          <w:b w:val="0"/>
          <w:i/>
          <w:sz w:val="19"/>
        </w:rPr>
        <w:t>AI-first cybersecurity platform</w:t>
      </w:r>
      <w:r>
        <w:rPr>
          <w:rFonts w:ascii="Arial" w:hAnsi="Arial"/>
          <w:b w:val="0"/>
          <w:i w:val="0"/>
          <w:sz w:val="19"/>
        </w:rPr>
        <w:t>-Strategie ein. Aufnahme in § 1.1 als weiterer Datenpunkt zur laufenden AI-attribuierten Restrukturierungswelle. https://www.bostonglobe.com/2026/08/10/business/rapid7-layoffs/ | https://siliconangle.com/2026/08/10/rapid7-beats-estimates-raises-profit-outlook-cuts-12-staff/ | https://www.hrkatha.com/news/rapid7-cuts-12-of-workforce-as-it-shifts-towards-ai-first-cybersecurity/ | https://www.thehrdigest.com/cisco-layoffs-set-to-affect-4000-roles-as-ai-redefines-operations/ | https://pulse2.com/rapid7-cuts-12-of-workforce-as-it-shifts-resources-toward-ai-first-cybersecurity-platform/ | https://www.nbcboston.com/boston-business-journal/massachusetts-cybersecurity-firm-cuts-12-of-staff-under-new-ceo/3995253/ | https://www.streetinsider.com/Corporate+News/Rapid7+to+cut+12%25+of+workforce+in+restructuring+plan/26897984.html | https://app.dealroom.co/news/feed/rapid7-targets-20-operating-margin-as-it-cuts-12-of-workforce-in-strategic-reset</w:t>
      </w:r>
    </w:p>
    <w:p>
      <w:pPr>
        <w:jc w:val="both"/>
      </w:pPr>
      <w:r>
        <w:rPr>
          <w:rFonts w:ascii="Arial" w:hAnsi="Arial"/>
          <w:b w:val="0"/>
          <w:i w:val="0"/>
          <w:sz w:val="19"/>
        </w:rPr>
        <w:t xml:space="preserve">Oracle Corporation / TheNextWeb / Yahoo Finance / NAI 500 / Business Insider / Forbes / CNBC. (13. August 2026, mit Bezug auf Bilanz FY2026 zum 31. Mai 2026). </w:t>
      </w:r>
      <w:r>
        <w:rPr>
          <w:rFonts w:ascii="Arial" w:hAnsi="Arial"/>
          <w:b w:val="0"/>
          <w:i/>
          <w:sz w:val="19"/>
        </w:rPr>
        <w:t>Oracle plans fresh August layoffs as its AI spending spree bites / Oracle planning new round of layoffs in August 2026 / Oracle Deepens AI Expansion Pains With New Cuts After 21,000 Layoffs in One Year</w:t>
      </w:r>
      <w:r>
        <w:rPr>
          <w:rFonts w:ascii="Arial" w:hAnsi="Arial"/>
          <w:b w:val="0"/>
          <w:i w:val="0"/>
          <w:sz w:val="19"/>
        </w:rPr>
        <w:t>. Angekündigte weitere Layoff-Runde im August 2026 vor Beginn des zweiten Geschäftsquartals am 1. September 2026 mit zweistelligen Prozentreduktionen in einzelnen Bereichen; Vorlauf zum bereits vollzogenen Abbau von rund 21.000 Stellen (rund 13 Prozent, Rückgang von 162.000 auf 141.000 Beschäftigte) im Geschäftsjahr 2026; kumulierter Restrukturierungsaufwand 1,8 bis 2,1 Milliarden US-Dollar; parallel Investitionen von rund 55,7 Milliarden US-Dollar (FY2026, von 21,2 Milliarden US-Dollar in FY2025), finanziert über 43 Milliarden US-Dollar Anleihen und 5 Milliarden US-Dollar Eigenkapital, mit weiteren rund 40 Milliarden US-Dollar Kapitalbedarf im laufenden Jahr. Aufnahme in § 1.1 als Nachtragsbeleg zum Zusammenhang zwischen Personalabbau und KI-Capex-Ausbau. https://thenextweb.com/news/oracle-august-2026-layoffs-ai-capex | https://finance.yahoo.com/technology/ai/articles/oracle-planning-round-layoffs-august-134527039.html | https://nai500.com/blog/2026/08/oracle-deepens-ai-expansion-pains-with-new-cuts-after-21000-layoffs-in-one-year/</w:t>
      </w:r>
    </w:p>
    <w:p>
      <w:pPr>
        <w:jc w:val="both"/>
      </w:pPr>
      <w:r>
        <w:rPr>
          <w:rFonts w:ascii="Arial" w:hAnsi="Arial"/>
          <w:b w:val="0"/>
          <w:i w:val="0"/>
          <w:sz w:val="19"/>
        </w:rPr>
        <w:t xml:space="preserve">Meta Platforms, Inc. / Meta AI Research / CNBC / SiliconAngle / Seeking Alpha / Phoronix / Open Source For You / Hugging Face / MEXC News. (10. August 2026). </w:t>
      </w:r>
      <w:r>
        <w:rPr>
          <w:rFonts w:ascii="Arial" w:hAnsi="Arial"/>
          <w:b w:val="0"/>
          <w:i/>
          <w:sz w:val="19"/>
        </w:rPr>
        <w:t>Introducing Muse Glimmer: An Open Agentic Model That Runs on Your Device / Meta launches Muse Glimmer open-weight AI model / Meta releases open-source Muse Glimmer model with 30B parameters / Meta unveils open source AI model Muse Glimmer amid open-weight push / Meta Publishes Muse Glimmer As 30B Open Agentic Model / Meta Open Sources Muse Glimmer: A 30B Agentic AI Model / Meta is back with Muse Glimmer: local, agentic, multimodal, and open source / Muse-Glimmer-30B (Modellkarte)</w:t>
      </w:r>
      <w:r>
        <w:rPr>
          <w:rFonts w:ascii="Arial" w:hAnsi="Arial"/>
          <w:b w:val="0"/>
          <w:i w:val="0"/>
          <w:sz w:val="19"/>
        </w:rPr>
        <w:t>. Am 10. August 2026 freigegebener 30-Milliarden-Parameter-</w:t>
      </w:r>
      <w:r>
        <w:rPr>
          <w:rFonts w:ascii="Arial" w:hAnsi="Arial"/>
          <w:b w:val="0"/>
          <w:i/>
          <w:sz w:val="19"/>
        </w:rPr>
        <w:t>Open-Weight</w:t>
      </w:r>
      <w:r>
        <w:rPr>
          <w:rFonts w:ascii="Arial" w:hAnsi="Arial"/>
          <w:b w:val="0"/>
          <w:i w:val="0"/>
          <w:sz w:val="19"/>
        </w:rPr>
        <w:t xml:space="preserve">-Ableger der </w:t>
      </w:r>
      <w:r>
        <w:rPr>
          <w:rFonts w:ascii="Arial" w:hAnsi="Arial"/>
          <w:b w:val="0"/>
          <w:i/>
          <w:sz w:val="19"/>
        </w:rPr>
        <w:t>Muse-Spark</w:t>
      </w:r>
      <w:r>
        <w:rPr>
          <w:rFonts w:ascii="Arial" w:hAnsi="Arial"/>
          <w:b w:val="0"/>
          <w:i w:val="0"/>
          <w:sz w:val="19"/>
        </w:rPr>
        <w:t xml:space="preserve">-Familie mit </w:t>
      </w:r>
      <w:r>
        <w:rPr>
          <w:rFonts w:ascii="Arial" w:hAnsi="Arial"/>
          <w:b w:val="0"/>
          <w:i/>
          <w:sz w:val="19"/>
        </w:rPr>
        <w:t>Apache-2.0</w:t>
      </w:r>
      <w:r>
        <w:rPr>
          <w:rFonts w:ascii="Arial" w:hAnsi="Arial"/>
          <w:b w:val="0"/>
          <w:i w:val="0"/>
          <w:sz w:val="19"/>
        </w:rPr>
        <w:t xml:space="preserve">-kompatibler Freigabepolitik; 4-Bit-Quantisierung und </w:t>
      </w:r>
      <w:r>
        <w:rPr>
          <w:rFonts w:ascii="Arial" w:hAnsi="Arial"/>
          <w:b w:val="0"/>
          <w:i/>
          <w:sz w:val="19"/>
        </w:rPr>
        <w:t>speculative decoding</w:t>
      </w:r>
      <w:r>
        <w:rPr>
          <w:rFonts w:ascii="Arial" w:hAnsi="Arial"/>
          <w:b w:val="0"/>
          <w:i w:val="0"/>
          <w:sz w:val="19"/>
        </w:rPr>
        <w:t xml:space="preserve"> (Drafter-Verifier-Pipeline) senken den Speicherbedarf von rund 55 auf unter 20 Gigabyte RAM; einstellbare </w:t>
      </w:r>
      <w:r>
        <w:rPr>
          <w:rFonts w:ascii="Arial" w:hAnsi="Arial"/>
          <w:b w:val="0"/>
          <w:i/>
          <w:sz w:val="19"/>
        </w:rPr>
        <w:t>Reasoning-Strength</w:t>
      </w:r>
      <w:r>
        <w:rPr>
          <w:rFonts w:ascii="Arial" w:hAnsi="Arial"/>
          <w:b w:val="0"/>
          <w:i w:val="0"/>
          <w:sz w:val="19"/>
        </w:rPr>
        <w:t xml:space="preserve"> und automatische Aufgabenwiederholungen; Zielprofil lokale Agenten, Function Calling, Coding und LLM-as-a-judge; Anbieter-Benchmark-Vergleiche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auf zwei Dutzend Benchmarks. Aufnahme in § 8.2 als Extension der </w:t>
      </w:r>
      <w:r>
        <w:rPr>
          <w:rFonts w:ascii="Arial" w:hAnsi="Arial"/>
          <w:b w:val="0"/>
          <w:i/>
          <w:sz w:val="19"/>
        </w:rPr>
        <w:t>Muse-Spark-1.2</w:t>
      </w:r>
      <w:r>
        <w:rPr>
          <w:rFonts w:ascii="Arial" w:hAnsi="Arial"/>
          <w:b w:val="0"/>
          <w:i w:val="0"/>
          <w:sz w:val="19"/>
        </w:rPr>
        <w:t>-Freigabe (5. August 2026) auf ein lokal ausführbares Open-Weight-Segment; verdichtet die Verlagerung der Wertschöpfungs- und Zugriffslogik auf die Anwendungs- statt die zentrale API-Ebene. https://research.meta.ai/blog/introducing-muse-glimmer-open-agentic-model | https://siliconangle.com/2026/08/10/meta-releases-open-source-muse-glimmer-model-30b-parameters/ | https://seekingalpha.com/news/4629742-meta-unveils-open-source-ai-model-muse-glimmer-amid-open-weight-push | https://www.phoronix.com/news/Meta-Muse-Glimmer | https://www.opensourceforu.com/2026/08/meta-open-sources-muse-glimmer/ | https://huggingface.co/blog/muse-glimmer | https://huggingface.co/meta-models/Muse-Glimmer-30B | https://www.cnbc.com/2026/08/10/meta-muse-glimmer-open-weight-ai.html | https://developer.meta.com/ai/models/muse-glimmer/</w:t>
      </w:r>
    </w:p>
    <w:p>
      <w:pPr>
        <w:jc w:val="both"/>
      </w:pPr>
      <w:r>
        <w:rPr>
          <w:rFonts w:ascii="Arial" w:hAnsi="Arial"/>
          <w:b w:val="0"/>
          <w:i w:val="0"/>
          <w:sz w:val="19"/>
        </w:rPr>
        <w:t xml:space="preserve">OpenAI / gHacks / Adventure Media / Monks Answer Engine / edenai / Coursiv / techjacksolutions / BenchLM / AIPricing.guru. (11. und 13. August 2026). </w:t>
      </w:r>
      <w:r>
        <w:rPr>
          <w:rFonts w:ascii="Arial" w:hAnsi="Arial"/>
          <w:b w:val="0"/>
          <w:i/>
          <w:sz w:val="19"/>
        </w:rPr>
        <w:t>OpenAI Expands ChatGPT Ads Test to UK, Mexico, Brazil, Japan, and South Korea / Testing ads in ChatGPT / Our approach to advertising and expanding access to ChatGPT / Ads in ChatGPT (Help Center) / GPT-5.6 Sol: Benchmarks, Pricing &amp; API Access Guide 2026 / GPT-5.6 Sol: Benchmarks, API Pricing &amp; Review / GPT-5.6 Pricing: Sol, Terra &amp; Luna API Costs (2026) / OpenAI API Pricing (August 2026): Model &amp; Token Costs / OpenAI API Pricing (August 2026): GPT-5.6 &amp; Cyber</w:t>
      </w:r>
      <w:r>
        <w:rPr>
          <w:rFonts w:ascii="Arial" w:hAnsi="Arial"/>
          <w:b w:val="0"/>
          <w:i w:val="0"/>
          <w:sz w:val="19"/>
        </w:rPr>
        <w:t xml:space="preserve">. Zwei Ereignisse in einem Zeitfenster von 48 Stunden: (a) Rollout des </w:t>
      </w:r>
      <w:r>
        <w:rPr>
          <w:rFonts w:ascii="Arial" w:hAnsi="Arial"/>
          <w:b w:val="0"/>
          <w:i/>
          <w:sz w:val="19"/>
        </w:rPr>
        <w:t>ChatGPT-Advertising</w:t>
      </w:r>
      <w:r>
        <w:rPr>
          <w:rFonts w:ascii="Arial" w:hAnsi="Arial"/>
          <w:b w:val="0"/>
          <w:i w:val="0"/>
          <w:sz w:val="19"/>
        </w:rPr>
        <w:t xml:space="preserve">-Testlaufs zum 11. August 2026 im Vereinigten Königreich, in Mexiko, Brasilien, Japan und der Republik Korea; Anzeigen ausschließlich auf den Tarifen </w:t>
      </w:r>
      <w:r>
        <w:rPr>
          <w:rFonts w:ascii="Arial" w:hAnsi="Arial"/>
          <w:b w:val="0"/>
          <w:i/>
          <w:sz w:val="19"/>
        </w:rPr>
        <w:t>Free</w:t>
      </w:r>
      <w:r>
        <w:rPr>
          <w:rFonts w:ascii="Arial" w:hAnsi="Arial"/>
          <w:b w:val="0"/>
          <w:i w:val="0"/>
          <w:sz w:val="19"/>
        </w:rPr>
        <w:t xml:space="preserve"> und </w:t>
      </w:r>
      <w:r>
        <w:rPr>
          <w:rFonts w:ascii="Arial" w:hAnsi="Arial"/>
          <w:b w:val="0"/>
          <w:i/>
          <w:sz w:val="19"/>
        </w:rPr>
        <w:t>Go</w:t>
      </w:r>
      <w:r>
        <w:rPr>
          <w:rFonts w:ascii="Arial" w:hAnsi="Arial"/>
          <w:b w:val="0"/>
          <w:i w:val="0"/>
          <w:sz w:val="19"/>
        </w:rPr>
        <w:t xml:space="preserve">, während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und </w:t>
      </w:r>
      <w:r>
        <w:rPr>
          <w:rFonts w:ascii="Arial" w:hAnsi="Arial"/>
          <w:b w:val="0"/>
          <w:i/>
          <w:sz w:val="19"/>
        </w:rPr>
        <w:t>Education</w:t>
      </w:r>
      <w:r>
        <w:rPr>
          <w:rFonts w:ascii="Arial" w:hAnsi="Arial"/>
          <w:b w:val="0"/>
          <w:i w:val="0"/>
          <w:sz w:val="19"/>
        </w:rPr>
        <w:t xml:space="preserve"> werbefrei bleiben; (b) Vorschau eines </w:t>
      </w:r>
      <w:r>
        <w:rPr>
          <w:rFonts w:ascii="Arial" w:hAnsi="Arial"/>
          <w:b w:val="0"/>
          <w:i/>
          <w:sz w:val="19"/>
        </w:rPr>
        <w:t>Ultrafast</w:t>
      </w:r>
      <w:r>
        <w:rPr>
          <w:rFonts w:ascii="Arial" w:hAnsi="Arial"/>
          <w:b w:val="0"/>
          <w:i w:val="0"/>
          <w:sz w:val="19"/>
        </w:rPr>
        <w:t xml:space="preserve">-Modus für </w:t>
      </w:r>
      <w:r>
        <w:rPr>
          <w:rFonts w:ascii="Arial" w:hAnsi="Arial"/>
          <w:b w:val="0"/>
          <w:i/>
          <w:sz w:val="19"/>
        </w:rPr>
        <w:t>GPT-5.6 Sol</w:t>
      </w:r>
      <w:r>
        <w:rPr>
          <w:rFonts w:ascii="Arial" w:hAnsi="Arial"/>
          <w:b w:val="0"/>
          <w:i w:val="0"/>
          <w:sz w:val="19"/>
        </w:rPr>
        <w:t xml:space="preserve"> zum 13. August 2026 auf </w:t>
      </w:r>
      <w:r>
        <w:rPr>
          <w:rFonts w:ascii="Arial" w:hAnsi="Arial"/>
          <w:b w:val="0"/>
          <w:i/>
          <w:sz w:val="19"/>
        </w:rPr>
        <w:t>Cerebras</w:t>
      </w:r>
      <w:r>
        <w:rPr>
          <w:rFonts w:ascii="Arial" w:hAnsi="Arial"/>
          <w:b w:val="0"/>
          <w:i w:val="0"/>
          <w:sz w:val="19"/>
        </w:rPr>
        <w:t xml:space="preserve">-Infrastruktur mit bis zu 750 Ausgabe-Token pro Sekunde und rund der 14-fachen Standard-Ausführungsgeschwindigkeit; Preisstruktur der </w:t>
      </w:r>
      <w:r>
        <w:rPr>
          <w:rFonts w:ascii="Arial" w:hAnsi="Arial"/>
          <w:b w:val="0"/>
          <w:i/>
          <w:sz w:val="19"/>
        </w:rPr>
        <w:t>Sol</w:t>
      </w:r>
      <w:r>
        <w:rPr>
          <w:rFonts w:ascii="Arial" w:hAnsi="Arial"/>
          <w:b w:val="0"/>
          <w:i w:val="0"/>
          <w:sz w:val="19"/>
        </w:rPr>
        <w:t>-Zeile (5 US-Dollar Input / 30 US-Dollar Output je Million Token) in der Vorschau unverändert. Aufnahme in § 8.2 als Präzisierung der deflationären Frontier-Ökonomik um eine Latenz-Prämien-Ebene sowie um eine werbe-basierte Refinanzierungsschicht. https://www.ghacks.net/2026/08/13/openai-expands-chatgpt-ads-test-to-uk-mexico-brazil-japan-and-south-korea/ | https://openai.com/index/testing-ads-in-chatgpt/ | https://openai.com/index/our-approach-to-advertising-and-expanding-access/ | https://help.openai.com/en/articles/20001047-ads-in-chatgpt | https://www.edenai.co/post/gpt-5-6-sol-benchmarks-pricing-api-access-guide | https://coursiv.io/blog/chatgpt-5-6-sol | https://techjacksolutions.com/ai-tools/chatgpt/gpt-5-6-pricing/ | https://benchlm.ai/openai/api-pricing | https://www.aipricing.guru/openai-pricing/</w:t>
      </w:r>
    </w:p>
    <w:p>
      <w:pPr>
        <w:jc w:val="both"/>
      </w:pPr>
      <w:r>
        <w:rPr>
          <w:rFonts w:ascii="Arial" w:hAnsi="Arial"/>
          <w:b w:val="0"/>
          <w:i w:val="0"/>
          <w:sz w:val="19"/>
        </w:rPr>
        <w:t xml:space="preserve">Anthropic / Claude (X-Kanal) / GuruFocus / Enterprise DNA / ExplainX / Cosmic JS / Medium (Joe Njenga) / Malay Mail. (10. August 2026). </w:t>
      </w:r>
      <w:r>
        <w:rPr>
          <w:rFonts w:ascii="Arial" w:hAnsi="Arial"/>
          <w:b w:val="0"/>
          <w:i/>
          <w:sz w:val="19"/>
        </w:rPr>
        <w:t>We're making Claude Sonnet 5's introductory pricing permanent / Anthropic Maintains Claude Sonnet 5 Pricing Amid IPO Plans / Claude Sonnet 5 Price Freeze: What It Means for Business / Anthropic Just Made Claude Sonnet 5 Offer Pricing Permanent / Claude Sonnet 5 Pricing Locked at $2/$10 — Cheap Enough?</w:t>
      </w:r>
      <w:r>
        <w:rPr>
          <w:rFonts w:ascii="Arial" w:hAnsi="Arial"/>
          <w:b w:val="0"/>
          <w:i w:val="0"/>
          <w:sz w:val="19"/>
        </w:rPr>
        <w:t xml:space="preserve"> Am 10. August 2026 durch </w:t>
      </w:r>
      <w:r>
        <w:rPr>
          <w:rFonts w:ascii="Arial" w:hAnsi="Arial"/>
          <w:b w:val="0"/>
          <w:i/>
          <w:sz w:val="19"/>
        </w:rPr>
        <w:t>Anthropic</w:t>
      </w:r>
      <w:r>
        <w:rPr>
          <w:rFonts w:ascii="Arial" w:hAnsi="Arial"/>
          <w:b w:val="0"/>
          <w:i w:val="0"/>
          <w:sz w:val="19"/>
        </w:rPr>
        <w:t xml:space="preserve"> öffentlich bekanntgegebene dauerhafte Festschreibung der im Juni 2026 als </w:t>
      </w:r>
      <w:r>
        <w:rPr>
          <w:rFonts w:ascii="Arial" w:hAnsi="Arial"/>
          <w:b w:val="0"/>
          <w:i/>
          <w:sz w:val="19"/>
        </w:rPr>
        <w:t>Introductory Pricing</w:t>
      </w:r>
      <w:r>
        <w:rPr>
          <w:rFonts w:ascii="Arial" w:hAnsi="Arial"/>
          <w:b w:val="0"/>
          <w:i w:val="0"/>
          <w:sz w:val="19"/>
        </w:rPr>
        <w:t xml:space="preserve"> eingeführten Tarife 2 US-Dollar Input / 10 US-Dollar Output pro Million Token für </w:t>
      </w:r>
      <w:r>
        <w:rPr>
          <w:rFonts w:ascii="Arial" w:hAnsi="Arial"/>
          <w:b w:val="0"/>
          <w:i/>
          <w:sz w:val="19"/>
        </w:rPr>
        <w:t>Claude Sonnet 5</w:t>
      </w:r>
      <w:r>
        <w:rPr>
          <w:rFonts w:ascii="Arial" w:hAnsi="Arial"/>
          <w:b w:val="0"/>
          <w:i w:val="0"/>
          <w:sz w:val="19"/>
        </w:rPr>
        <w:t xml:space="preserve"> über den 31. August 2026 hinaus; die zuvor für den 1. September 2026 vorgesehene Erhöhung auf 3 US-Dollar Input / 15 US-Dollar Output (Faktor 1,5) wird zurückgenommen. Anbieter-Begründung: Preisstabilität für Kunden-Investitionsentscheidungen und Reduktion des Preisänderungs-Puffers; Berichterstattung ordnet die Rücknahme in eine sich verschärfende Konkurrenz durch Open-Weight-Modelle (</w:t>
      </w:r>
      <w:r>
        <w:rPr>
          <w:rFonts w:ascii="Arial" w:hAnsi="Arial"/>
          <w:b w:val="0"/>
          <w:i/>
          <w:sz w:val="19"/>
        </w:rPr>
        <w:t>Meta Muse Glimmer</w:t>
      </w:r>
      <w:r>
        <w:rPr>
          <w:rFonts w:ascii="Arial" w:hAnsi="Arial"/>
          <w:b w:val="0"/>
          <w:i w:val="0"/>
          <w:sz w:val="19"/>
        </w:rPr>
        <w:t xml:space="preserve">, </w:t>
      </w:r>
      <w:r>
        <w:rPr>
          <w:rFonts w:ascii="Arial" w:hAnsi="Arial"/>
          <w:b w:val="0"/>
          <w:i/>
          <w:sz w:val="19"/>
        </w:rPr>
        <w:t>Alibaba Qwen 3.8 Max</w:t>
      </w:r>
      <w:r>
        <w:rPr>
          <w:rFonts w:ascii="Arial" w:hAnsi="Arial"/>
          <w:b w:val="0"/>
          <w:i w:val="0"/>
          <w:sz w:val="19"/>
        </w:rPr>
        <w:t xml:space="preserve">, </w:t>
      </w:r>
      <w:r>
        <w:rPr>
          <w:rFonts w:ascii="Arial" w:hAnsi="Arial"/>
          <w:b w:val="0"/>
          <w:i/>
          <w:sz w:val="19"/>
        </w:rPr>
        <w:t>Z.ai GLM-5.3</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w:t>
      </w:r>
      <w:r>
        <w:rPr>
          <w:rFonts w:ascii="Arial" w:hAnsi="Arial"/>
          <w:b w:val="0"/>
          <w:i w:val="0"/>
          <w:sz w:val="19"/>
        </w:rPr>
        <w:t>) und in die IPO-Vorbereitung des Anbieters ein (Konjunktivpflicht nach § 4.2 Claude.md). Aufnahme in § 8.2 als Fortschreibung der deflationären Workhorse-Preisdynamik in der US-Frontier-Achse; Rückwirkung auf § 8.3 (Zugriffslogik einer inländischen KI-Nutzungsabgabe) und § 4.5 (Bemessungsbasis-Volatilität preisbasierter Zugriffe). https://x.com/claudeai/status/2086891169217122586 | https://www.gurufocus.com/news/9022707/anthropic-maintains-claude-sonnet-5-pricing-amid-ipo-plans | https://enterprisedna.co/resources/news/anthropic-claude-sonnet-5-pricing-permanent-reversal-august-2026/ | https://explainx.ai/blog/anthropic-sonnet-5-permanent-pricing-august-2026 | https://medium.com/ai-software-engineer/anthropic-just-made-claude-sonnet-5-offer-pricing-permanent-c51d293bb3e8</w:t>
      </w:r>
    </w:p>
    <w:p>
      <w:pPr>
        <w:jc w:val="both"/>
      </w:pPr>
      <w:r>
        <w:rPr>
          <w:rFonts w:ascii="Arial" w:hAnsi="Arial"/>
          <w:b w:val="0"/>
          <w:i w:val="0"/>
          <w:sz w:val="19"/>
        </w:rPr>
        <w:t xml:space="preserve">DeepSeek / TechNode / Fortune / Engadget / InfoWorld / US News &amp; World Report / PYMNTS / Quartz / Studio Global AI / Eden AI / Chuanxilu / Elser / AI Pricing Guru / BenchLM. (13. August 2026 / Wirksamkeit 16. August 2026 um 16:00 UTC). </w:t>
      </w:r>
      <w:r>
        <w:rPr>
          <w:rFonts w:ascii="Arial" w:hAnsi="Arial"/>
          <w:b w:val="0"/>
          <w:i/>
          <w:sz w:val="19"/>
        </w:rPr>
        <w:t>DeepSeek to introduce peak and off-peak pricing for its API / DeepSeek introduces peak-hour pricing that quadruples current levels / DeepSeek's AI models are about to cost four times more / DeepSeek raises some V4 prices by more than 10x as AI demand strains capacity / DeepSeek raising API prices by up to 1,100 % starting Aug. 16 / DeepSeek Ends Its AI Price War: Why API Costs Are Rising / DeepSeek Introduces Peak Pricing.</w:t>
      </w:r>
      <w:r>
        <w:rPr>
          <w:rFonts w:ascii="Arial" w:hAnsi="Arial"/>
          <w:b w:val="0"/>
          <w:i w:val="0"/>
          <w:sz w:val="19"/>
        </w:rPr>
        <w:t xml:space="preserve"> Am 13. August 2026 durch </w:t>
      </w:r>
      <w:r>
        <w:rPr>
          <w:rFonts w:ascii="Arial" w:hAnsi="Arial"/>
          <w:b w:val="0"/>
          <w:i/>
          <w:sz w:val="19"/>
        </w:rPr>
        <w:t>DeepSeek</w:t>
      </w:r>
      <w:r>
        <w:rPr>
          <w:rFonts w:ascii="Arial" w:hAnsi="Arial"/>
          <w:b w:val="0"/>
          <w:i w:val="0"/>
          <w:sz w:val="19"/>
        </w:rPr>
        <w:t xml:space="preserve"> (Hangzhou) angekündigte und am 16. August 2026 um 16:00 UTC in Kraft tretende Umstellung der bisher einheitlichen </w:t>
      </w:r>
      <w:r>
        <w:rPr>
          <w:rFonts w:ascii="Arial" w:hAnsi="Arial"/>
          <w:b w:val="0"/>
          <w:i/>
          <w:sz w:val="19"/>
        </w:rPr>
        <w:t>V4</w:t>
      </w:r>
      <w:r>
        <w:rPr>
          <w:rFonts w:ascii="Arial" w:hAnsi="Arial"/>
          <w:b w:val="0"/>
          <w:i w:val="0"/>
          <w:sz w:val="19"/>
        </w:rPr>
        <w:t xml:space="preserve">-API-Tarife auf eine </w:t>
      </w:r>
      <w:r>
        <w:rPr>
          <w:rFonts w:ascii="Arial" w:hAnsi="Arial"/>
          <w:b w:val="0"/>
          <w:i/>
          <w:sz w:val="19"/>
        </w:rPr>
        <w:t>Peak-/Off-Peak</w:t>
      </w:r>
      <w:r>
        <w:rPr>
          <w:rFonts w:ascii="Arial" w:hAnsi="Arial"/>
          <w:b w:val="0"/>
          <w:i w:val="0"/>
          <w:sz w:val="19"/>
        </w:rPr>
        <w:t xml:space="preserve">-Preisstruktur; Peak-Fenster 01:00–04:00 UTC und 06:00–10:00 UTC, alle übrigen Zeiten Off-Peak. Für </w:t>
      </w:r>
      <w:r>
        <w:rPr>
          <w:rFonts w:ascii="Arial" w:hAnsi="Arial"/>
          <w:b w:val="0"/>
          <w:i/>
          <w:sz w:val="19"/>
        </w:rPr>
        <w:t>V4-Flash</w:t>
      </w:r>
      <w:r>
        <w:rPr>
          <w:rFonts w:ascii="Arial" w:hAnsi="Arial"/>
          <w:b w:val="0"/>
          <w:i w:val="0"/>
          <w:sz w:val="19"/>
        </w:rPr>
        <w:t xml:space="preserve"> Off-Peak 0,22 US-Dollar Input (Cache-Miss) /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Peak-Output-Sätze entsprechen rund dem Vierfachen der bisherigen einheitlichen Tarife, Cache-Hit-Input-Steigerung nach </w:t>
      </w:r>
      <w:r>
        <w:rPr>
          <w:rFonts w:ascii="Arial" w:hAnsi="Arial"/>
          <w:b w:val="0"/>
          <w:i/>
          <w:sz w:val="19"/>
        </w:rPr>
        <w:t>InfoWorld</w:t>
      </w:r>
      <w:r>
        <w:rPr>
          <w:rFonts w:ascii="Arial" w:hAnsi="Arial"/>
          <w:b w:val="0"/>
          <w:i w:val="0"/>
          <w:sz w:val="19"/>
        </w:rPr>
        <w:t xml:space="preserve">-Berichterstattung 52 bis 1.100 Prozent. Anbieter-Begründung: </w:t>
      </w:r>
      <w:r>
        <w:rPr>
          <w:rFonts w:ascii="Arial" w:hAnsi="Arial"/>
          <w:b w:val="0"/>
          <w:i/>
          <w:sz w:val="19"/>
        </w:rPr>
        <w:t>rationalere Ressourcen­zuteilung</w:t>
      </w:r>
      <w:r>
        <w:rPr>
          <w:rFonts w:ascii="Arial" w:hAnsi="Arial"/>
          <w:b w:val="0"/>
          <w:i w:val="0"/>
          <w:sz w:val="19"/>
        </w:rPr>
        <w:t xml:space="preserve"> und Verschiebung von Entwickler-Workloads in weniger ausgelastete Zeitfenster; Rezeption ordnet die Umstellung in eine erstmalige Kapazitäts­knappheits-Signalisierung eines chinesischen Frontier-Anbieters ein (Konjunktivpflicht nach § 4.2 Claude.md). Aufnahme in § 8.2 als struktureller Gegendatenpunkt zur deflationären Workhorse-Preisdynamik und als erstes Frontier-Lab weltweit mit </w:t>
      </w:r>
      <w:r>
        <w:rPr>
          <w:rFonts w:ascii="Arial" w:hAnsi="Arial"/>
          <w:b w:val="0"/>
          <w:i/>
          <w:sz w:val="19"/>
        </w:rPr>
        <w:t>time-based demand pricing</w:t>
      </w:r>
      <w:r>
        <w:rPr>
          <w:rFonts w:ascii="Arial" w:hAnsi="Arial"/>
          <w:b w:val="0"/>
          <w:i w:val="0"/>
          <w:sz w:val="19"/>
        </w:rPr>
        <w:t>; Rückwirkung auf § 4.5 und § 8.3 (Bemessungsbasis-Verfeinerung an einer Zeit- statt einer Anbieter-Achse). https://technode.com/2026/08/14/deepseek-to-introduce-peak-and-off-peak-pricing-for-its-api/ | https://www.pymnts.com/news/artificial-intelligence/2026/deepseek-introduces-peak-hour-pricing-that-quadruples-current-levels/ | https://www.engadget.com/2236912/deepseek-ai-models-get-four-times-pricier/ | https://www.infoworld.com/article/4209439/deepseek-raises-some-v4-prices-by-more-than-10x-as-ai-demand-strains-capacity.html | https://fortune.com/2026/08/13/deepseek-increases-prices-for-ai-services-by-multiple-times/ | https://money.usnews.com/investing/news/articles/2026-08-13/deepseek-raises-api-pricing-for-its-v4-models | https://qz.com/deepseek-api-price-increase-v4-peak-off-peak-081326 | https://www.studioglobal.ai/discover/answers/what-factors-drove-deepseek-s-august-2026-announcement-6a7600fc7905dee986cc3c74</w:t>
      </w:r>
    </w:p>
    <w:p>
      <w:pPr>
        <w:jc w:val="both"/>
      </w:pPr>
      <w:r>
        <w:rPr>
          <w:rFonts w:ascii="Arial" w:hAnsi="Arial"/>
          <w:b w:val="0"/>
          <w:i w:val="0"/>
          <w:sz w:val="19"/>
        </w:rPr>
        <w:t xml:space="preserve">Z.ai / Unite.AI / Decrypt / TechTimes / ExplainX / fello.ai / The Agent Report / SaaSCity / SandBase. (14. August 2026). </w:t>
      </w:r>
      <w:r>
        <w:rPr>
          <w:rFonts w:ascii="Arial" w:hAnsi="Arial"/>
          <w:b w:val="0"/>
          <w:i/>
          <w:sz w:val="19"/>
        </w:rPr>
        <w:t>Z.ai Launches GLM-5.3 With Frontier Coding and a Cyber Capability That Outgrew Its Training / China's Z.AI Ships GLM-5.3, Calling It the Top Open-Weight Coding Model / GLM-5.3: Post-Training Produced Exploit Chains Z.ai Never Planned, Finds 1,097 Critical Bugs / GLM-5.3 Launch: Benchmarks, Pricing &amp; Access (Aug 2026) / GLM 5.3: Benchmarks, Pricing and the Held-Back Weights / GLM-5.3: Z.ai Tops the Open Coding Leaderboard on Post-Training Alone — and Its Cyber Gains Are the Real Story / GLM-5.3: Same Base Model, 50 % Better at Coding — and a Cyber Capability Z.ai Didn't Plan For / GLM-5.3 Launches: Frontier Coding and Emergent Cybersecurity</w:t>
      </w:r>
      <w:r>
        <w:rPr>
          <w:rFonts w:ascii="Arial" w:hAnsi="Arial"/>
          <w:b w:val="0"/>
          <w:i w:val="0"/>
          <w:sz w:val="19"/>
        </w:rPr>
        <w:t xml:space="preserve">. Am 14. August 2026 durch </w:t>
      </w:r>
      <w:r>
        <w:rPr>
          <w:rFonts w:ascii="Arial" w:hAnsi="Arial"/>
          <w:b w:val="0"/>
          <w:i/>
          <w:sz w:val="19"/>
        </w:rPr>
        <w:t>Z.ai</w:t>
      </w:r>
      <w:r>
        <w:rPr>
          <w:rFonts w:ascii="Arial" w:hAnsi="Arial"/>
          <w:b w:val="0"/>
          <w:i w:val="0"/>
          <w:sz w:val="19"/>
        </w:rPr>
        <w:t xml:space="preserve"> (Beijing) über </w:t>
      </w:r>
      <w:r>
        <w:rPr>
          <w:rFonts w:ascii="Arial" w:hAnsi="Arial"/>
          <w:b w:val="0"/>
          <w:i/>
          <w:sz w:val="19"/>
        </w:rPr>
        <w:t>GLM Coding Plan</w:t>
      </w:r>
      <w:r>
        <w:rPr>
          <w:rFonts w:ascii="Arial" w:hAnsi="Arial"/>
          <w:b w:val="0"/>
          <w:i w:val="0"/>
          <w:sz w:val="19"/>
        </w:rPr>
        <w:t xml:space="preserve"> und </w:t>
      </w:r>
      <w:r>
        <w:rPr>
          <w:rFonts w:ascii="Arial" w:hAnsi="Arial"/>
          <w:b w:val="0"/>
          <w:i/>
          <w:sz w:val="19"/>
        </w:rPr>
        <w:t>ZCode</w:t>
      </w:r>
      <w:r>
        <w:rPr>
          <w:rFonts w:ascii="Arial" w:hAnsi="Arial"/>
          <w:b w:val="0"/>
          <w:i w:val="0"/>
          <w:sz w:val="19"/>
        </w:rPr>
        <w:t xml:space="preserve">-Plattform freigegebene </w:t>
      </w:r>
      <w:r>
        <w:rPr>
          <w:rFonts w:ascii="Arial" w:hAnsi="Arial"/>
          <w:b w:val="0"/>
          <w:i/>
          <w:sz w:val="19"/>
        </w:rPr>
        <w:t>GLM-5.3</w:t>
      </w:r>
      <w:r>
        <w:rPr>
          <w:rFonts w:ascii="Arial" w:hAnsi="Arial"/>
          <w:b w:val="0"/>
          <w:i w:val="0"/>
          <w:sz w:val="19"/>
        </w:rPr>
        <w:t xml:space="preserve">-Iteration auf identischer 744-Milliarden-Parameter-Basis wie </w:t>
      </w:r>
      <w:r>
        <w:rPr>
          <w:rFonts w:ascii="Arial" w:hAnsi="Arial"/>
          <w:b w:val="0"/>
          <w:i/>
          <w:sz w:val="19"/>
        </w:rPr>
        <w:t>GLM-5.2</w:t>
      </w:r>
      <w:r>
        <w:rPr>
          <w:rFonts w:ascii="Arial" w:hAnsi="Arial"/>
          <w:b w:val="0"/>
          <w:i w:val="0"/>
          <w:sz w:val="19"/>
        </w:rPr>
        <w:t xml:space="preserve">, mit rund 50 % Verbesserung auf der anbietereigenen </w:t>
      </w:r>
      <w:r>
        <w:rPr>
          <w:rFonts w:ascii="Arial" w:hAnsi="Arial"/>
          <w:b w:val="0"/>
          <w:i/>
          <w:sz w:val="19"/>
        </w:rPr>
        <w:t>Z.ai Code Bench</w:t>
      </w:r>
      <w:r>
        <w:rPr>
          <w:rFonts w:ascii="Arial" w:hAnsi="Arial"/>
          <w:b w:val="0"/>
          <w:i w:val="0"/>
          <w:sz w:val="19"/>
        </w:rPr>
        <w:t xml:space="preserve"> (34,5 % vs. 23,4 %) durch skaliertes Nach-Training, aber Rückstand auf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an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w:t>
      </w:r>
      <w:r>
        <w:rPr>
          <w:rFonts w:ascii="Arial" w:hAnsi="Arial"/>
          <w:b w:val="0"/>
          <w:i/>
          <w:sz w:val="19"/>
        </w:rPr>
        <w:t>SWE-Bench Verified</w:t>
      </w:r>
      <w:r>
        <w:rPr>
          <w:rFonts w:ascii="Arial" w:hAnsi="Arial"/>
          <w:b w:val="0"/>
          <w:i w:val="0"/>
          <w:sz w:val="19"/>
        </w:rPr>
        <w:t xml:space="preserve"> Kimi K3 67,5, Fable 5 69,7, GLM-5.3 66,9; </w:t>
      </w:r>
      <w:r>
        <w:rPr>
          <w:rFonts w:ascii="Arial" w:hAnsi="Arial"/>
          <w:b w:val="0"/>
          <w:i/>
          <w:sz w:val="19"/>
        </w:rPr>
        <w:t>GLM-5.2</w:t>
      </w:r>
      <w:r>
        <w:rPr>
          <w:rFonts w:ascii="Arial" w:hAnsi="Arial"/>
          <w:b w:val="0"/>
          <w:i w:val="0"/>
          <w:sz w:val="19"/>
        </w:rPr>
        <w:t xml:space="preserve">-API-Preise rund 1,40 US-Dollar Input / 4,40 US-Dollar Output je Million Token (etwa eine Größenordnung unter US-Frontier); Open-Weight-Freigabe zurückgehalten für rund zwei Wochen nach Sicherheits­evaluation und Härtung (Abweichung von der </w:t>
      </w:r>
      <w:r>
        <w:rPr>
          <w:rFonts w:ascii="Arial" w:hAnsi="Arial"/>
          <w:b w:val="0"/>
          <w:i/>
          <w:sz w:val="19"/>
        </w:rPr>
        <w:t>GLM-5.2</w:t>
      </w:r>
      <w:r>
        <w:rPr>
          <w:rFonts w:ascii="Arial" w:hAnsi="Arial"/>
          <w:b w:val="0"/>
          <w:i w:val="0"/>
          <w:sz w:val="19"/>
        </w:rPr>
        <w:t xml:space="preserve">-Praxis mit MIT-Lizenz auf </w:t>
      </w:r>
      <w:r>
        <w:rPr>
          <w:rFonts w:ascii="Arial" w:hAnsi="Arial"/>
          <w:b w:val="0"/>
          <w:i/>
          <w:sz w:val="19"/>
        </w:rPr>
        <w:t>Hugging Face</w:t>
      </w:r>
      <w:r>
        <w:rPr>
          <w:rFonts w:ascii="Arial" w:hAnsi="Arial"/>
          <w:b w:val="0"/>
          <w:i w:val="0"/>
          <w:sz w:val="19"/>
        </w:rPr>
        <w:t xml:space="preserve"> binnen Tagen); emergente Cybersicherheits-Fähigkeit: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2.436 Schwachstellen identifiziert (1.097 kritisch)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w:t>
      </w:r>
      <w:r>
        <w:rPr>
          <w:rFonts w:ascii="Arial" w:hAnsi="Arial"/>
          <w:b w:val="0"/>
          <w:i/>
          <w:sz w:val="19"/>
        </w:rPr>
        <w:t>Z.ai</w:t>
      </w:r>
      <w:r>
        <w:rPr>
          <w:rFonts w:ascii="Arial" w:hAnsi="Arial"/>
          <w:b w:val="0"/>
          <w:i w:val="0"/>
          <w:sz w:val="19"/>
        </w:rPr>
        <w:t xml:space="preserve"> auf der US-</w:t>
      </w:r>
      <w:r>
        <w:rPr>
          <w:rFonts w:ascii="Arial" w:hAnsi="Arial"/>
          <w:b w:val="0"/>
          <w:i/>
          <w:sz w:val="19"/>
        </w:rPr>
        <w:t>Entity List</w:t>
      </w:r>
      <w:r>
        <w:rPr>
          <w:rFonts w:ascii="Arial" w:hAnsi="Arial"/>
          <w:b w:val="0"/>
          <w:i w:val="0"/>
          <w:sz w:val="19"/>
        </w:rPr>
        <w:t xml:space="preserve">. Aufnahme in § 8.2 als weiterer Datenpunkt der Konvergenz auf der Frontier-Modell-Achse (parallel zu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mit strukturellem Novum einer sicherheitsbezogenen Zurückhaltungsphase bei einem chinesischen Anbieter; Rückwirkung auf die Zugriffslogik einer inländischen KI-Nutzungsabgabe (§ 8.3) über die Verlagerung der Bemessungsbasis auf die inländische Ausführung des Anwendungs- und Sicherheits-Stacks. https://www.unite.ai/z-ai-launches-glm-5-3-with-frontier-coding-and-a-cyber-capability-that-outgrew-its-training/ | https://decrypt.co/375684/china-z-ai-glm-5-3-top-open-weight-coding-model | https://www.techtimes.com/articles/324426/20260814/glm-53-post-training-produced-exploit-chains-zai-never-planned-finds-1097-critical-bugs.htm | https://explainx.ai/blog/glm-5-3-launch-cyber-defense-benchmarks-august-2026 | https://felloai.com/glm-5-3/ | https://the-agent-report.com/2026/08/glm-5-3-zai-post-training-coding-cyber/ | https://saascity.io/blog/glm-5-3-zai-open-weights-coding-model-cyber-capabilities-2026 | https://blog.sandbase.ai/glm-5-3-release-watch-2026/</w:t>
      </w:r>
    </w:p>
    <w:p>
      <w:pPr>
        <w:jc w:val="both"/>
      </w:pPr>
      <w:r>
        <w:rPr>
          <w:rFonts w:ascii="Arial" w:hAnsi="Arial"/>
          <w:b w:val="0"/>
          <w:i w:val="0"/>
          <w:sz w:val="19"/>
        </w:rPr>
        <w:t xml:space="preserve">Broadcom Inc. / Apollo Global Management / Blackstone / Bloomberg / Yahoo Finance / TheNextWeb / CNBC / Dealroom News / Insider Finance / WMBD Radio. (20. August 2026). </w:t>
      </w:r>
      <w:r>
        <w:rPr>
          <w:rFonts w:ascii="Arial" w:hAnsi="Arial"/>
          <w:b w:val="0"/>
          <w:i/>
          <w:sz w:val="19"/>
        </w:rPr>
        <w:t>AI Infrastructure Boom Drives Broadcom's $60 Billion Debt Financing Talks / Broadcom Seeks More Than $60 Billion in Latest AI Debt Deal / Broadcom seeks more than $60bn in debt to fund AI chips for Anthropic / Broadcom's newest debt deal / Broadcom seeks over $60B in debt to bankroll AI chips for Anthropic / Broadcom Debt Financing Negotiations Expand.</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20. August 2026 sondiert </w:t>
      </w:r>
      <w:r>
        <w:rPr>
          <w:rFonts w:ascii="Arial" w:hAnsi="Arial"/>
          <w:b w:val="0"/>
          <w:i/>
          <w:sz w:val="19"/>
        </w:rPr>
        <w:t>Broadcom</w:t>
      </w:r>
      <w:r>
        <w:rPr>
          <w:rFonts w:ascii="Arial" w:hAnsi="Arial"/>
          <w:b w:val="0"/>
          <w:i w:val="0"/>
          <w:sz w:val="19"/>
        </w:rPr>
        <w:t xml:space="preserve">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von mehr als 60 Milliarden US-Dollar (rund 30 Milliarden US-Dollar Junior-Debt-Tranche und rund 60–70 Milliarden US-Dollar Senior-Secured-Tranche mit Broadcom-Teilbürgschaft, Gesamtvolumen potenziell bis rund 100 Milliarden US-Dollar) zur Finanzierung von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sie baut auf einer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Anthropic-Compute-Kapazität (erste Ausbaustufe rund ein Gigawatt, Ziel der Partnerschaft mehr als 20 Gigawatt Compute bis 2028) auf. Aufnahme in § 8.2 als sechste Konstruktion der Compute-Finanzierungs­schicht (Vendor-financed junior/senior debt mit Design­partner als Teilbürge und Rohstoff-Lieferanten); Rückwirkung auf § 4.5 und § 8.3 (Bestandsanknüpfung außerhalb der Anbieter­bilanz). https://www.bloomberg.com/news/articles/2026-08-20/broadcom-seeks-more-than-60-billion-in-latest-ai-debt-deal | https://finance.yahoo.com/technology/ai/articles/broadcom-seeks-more-60-billion-201702584.html | https://thenextweb.com/news/broadcom-60bn-ai-chip-debt-anthropic | https://www.cnbc.com/video/2026/08/21/broadcoms-newest-debt-deal.html | https://dealroom.co/news/146284-broadcom-seeks-over-60b-in-debt-to-bankroll-ai-chips-for-anthropic/ | https://www.insiderfinance.io/news/broadcom-debt-financing-negotiations-expand | https://wmbdradio.com/2026/08/20/broadcom-seeks-more-than-60-billion-in-latest-ai-debt-deal-bloomberg-news-reports/</w:t>
      </w:r>
    </w:p>
    <w:p>
      <w:pPr>
        <w:jc w:val="both"/>
      </w:pPr>
      <w:r>
        <w:rPr>
          <w:rFonts w:ascii="Arial" w:hAnsi="Arial"/>
          <w:b w:val="0"/>
          <w:i w:val="0"/>
          <w:sz w:val="19"/>
        </w:rPr>
        <w:t xml:space="preserve">Anthropic PBC / Bloomberg / Fortune / Quartz / futuresearch / Tech Startups / Digital Applied. (17.–21. August 2026). </w:t>
      </w:r>
      <w:r>
        <w:rPr>
          <w:rFonts w:ascii="Arial" w:hAnsi="Arial"/>
          <w:b w:val="0"/>
          <w:i/>
          <w:sz w:val="19"/>
        </w:rPr>
        <w:t>Anthropic's Annualized Revenue Tops $65 Billion Before IPO / Anthropic investors target $2 trillion IPO valuation in October / Anthropic Revenue and Valuation in 2026 Leading to IPO / Top Tech News Today, August 21, 2026 / Anthropic Files for IPO: What It Means for Claude Users.</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-Prospekt wird gegen Ende August 2026 erwartet (Konjunktivpflicht nach § 4.2 Claude.md). Aufnahme in § 8.2 als Kundenseiten-Bestätigung der sechsten Compute-Finanzierungs­konstruktion und als unmittelbarer Prüfstein der im Papier skizzierten KI-Renten-Debatte (§ 8.3). https://www.bloomberg.com/news/articles/2026-08-17/anthropic-revenue-run-rate-surpasses-65-billion-ahead-of-ipo | https://qz.com/anthropic-ipo-2-trillion-valuation-october-081326 | https://futuresearch.ai/anthropic-financial-forecast/ | https://techstartups.com/2026/08/21/top-tech-news-today-august-21-2026-anthropic-apple-broadcom-google-nvidia-openai-tesla-more/ | https://www.digitalapplied.com/blog/anthropic-ipo-filing-2026-claude-stack-analysis</w:t>
      </w:r>
    </w:p>
    <w:p>
      <w:pPr>
        <w:jc w:val="both"/>
      </w:pPr>
      <w:r>
        <w:rPr>
          <w:rFonts w:ascii="Arial" w:hAnsi="Arial"/>
          <w:b w:val="0"/>
          <w:i w:val="0"/>
          <w:sz w:val="19"/>
        </w:rPr>
        <w:t xml:space="preserve">Vanguard / S&amp;P Global / Morgan Stanley / U.S. Department of the Treasury (Bessent) / Bloomberg / CNBC / Axios / NBC News / Council on Foreign Relations / Forbes / Yahoo Finance / TechTimes. (17. Juli 2026 – 25. August 2026). </w:t>
      </w:r>
      <w:r>
        <w:rPr>
          <w:rFonts w:ascii="Arial" w:hAnsi="Arial"/>
          <w:b w:val="0"/>
          <w:i/>
          <w:sz w:val="19"/>
        </w:rPr>
        <w:t>Bond Investors Push Back As AI Debt Heads Toward $570 Billion / The AI buildout comes to the bond market / US Long Bonds Risk Deeper Selloff Without Clear Warsh Guidance / Bessent moves to curb Treasury yields, putting new pressure on Warsh's Fed / Treasury doubles debt buybacks as Bessent moves to steady bond market / What the Treasury's Buyback Surprise Says About the Bond Market / Warsh Keynote at Jackson Hole: AI Capex Is Breaking His Rate-Hold Case.</w:t>
      </w:r>
      <w:r>
        <w:rPr>
          <w:rFonts w:ascii="Arial" w:hAnsi="Arial"/>
          <w:b w:val="0"/>
          <w:i w:val="0"/>
          <w:sz w:val="19"/>
        </w:rPr>
        <w:t xml:space="preserve"> Belegkette zur makrofinanziellen Verdrängungswirkung der KI-Capex-Finanzierung: (i) </w:t>
      </w:r>
      <w:r>
        <w:rPr>
          <w:rFonts w:ascii="Arial" w:hAnsi="Arial"/>
          <w:b w:val="0"/>
          <w:i/>
          <w:sz w:val="19"/>
        </w:rPr>
        <w:t>Vanguard</w:t>
      </w:r>
      <w:r>
        <w:rPr>
          <w:rFonts w:ascii="Arial" w:hAnsi="Arial"/>
          <w:b w:val="0"/>
          <w:i w:val="0"/>
          <w:sz w:val="19"/>
        </w:rPr>
        <w:t xml:space="preserve"> schätzt das aggregierte KI-Debt-Emissionsvolumen für 2026 auf 300–570 Milliarden US-Dollar (Ökosystem-weit: Hyperscaler, Chip-Hersteller, Rechenzentrumsentwickler, Versorgungsunternehmen); (ii) </w:t>
      </w:r>
      <w:r>
        <w:rPr>
          <w:rFonts w:ascii="Arial" w:hAnsi="Arial"/>
          <w:b w:val="0"/>
          <w:i/>
          <w:sz w:val="19"/>
        </w:rPr>
        <w:t>S&amp;P Global</w:t>
      </w:r>
      <w:r>
        <w:rPr>
          <w:rFonts w:ascii="Arial" w:hAnsi="Arial"/>
          <w:b w:val="0"/>
          <w:i w:val="0"/>
          <w:sz w:val="19"/>
        </w:rPr>
        <w:t xml:space="preserve"> zählt bis Mitte 2026 rund 225 Milliarden US-Dollar an KI-bezogenen Bonds (rund zehnfache Steigerung gegenüber dem Vorjahres­zeitraum); (iii) </w:t>
      </w:r>
      <w:r>
        <w:rPr>
          <w:rFonts w:ascii="Arial" w:hAnsi="Arial"/>
          <w:b w:val="0"/>
          <w:i/>
          <w:sz w:val="19"/>
        </w:rPr>
        <w:t>Bloomberg</w:t>
      </w:r>
      <w:r>
        <w:rPr>
          <w:rFonts w:ascii="Arial" w:hAnsi="Arial"/>
          <w:b w:val="0"/>
          <w:i w:val="0"/>
          <w:sz w:val="19"/>
        </w:rPr>
        <w:t xml:space="preserve"> verzeichnet bei den fünf US-Hyperscalern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rund 132 Milliarden US-Dollar Bond-Emission bis 31. Juli 2026 gegenüber einem Jahres­durchschnitt von rund 35 Milliarden US-Dollar in den Vorjahren, darunter ein Multitranchen-Angebot in Höhe von rund 53 Milliarden US-Dollar sowie ein „Century-Bond" mit hundertjähriger Laufzeit; (iv) </w:t>
      </w:r>
      <w:r>
        <w:rPr>
          <w:rFonts w:ascii="Arial" w:hAnsi="Arial"/>
          <w:b w:val="0"/>
          <w:i/>
          <w:sz w:val="19"/>
        </w:rPr>
        <w:t>Morgan Stanley</w:t>
      </w:r>
      <w:r>
        <w:rPr>
          <w:rFonts w:ascii="Arial" w:hAnsi="Arial"/>
          <w:b w:val="0"/>
          <w:i w:val="0"/>
          <w:sz w:val="19"/>
        </w:rPr>
        <w:t xml:space="preserve"> leitet nach </w:t>
      </w:r>
      <w:r>
        <w:rPr>
          <w:rFonts w:ascii="Arial" w:hAnsi="Arial"/>
          <w:b w:val="0"/>
          <w:i/>
          <w:sz w:val="19"/>
        </w:rPr>
        <w:t>Forbes</w:t>
      </w:r>
      <w:r>
        <w:rPr>
          <w:rFonts w:ascii="Arial" w:hAnsi="Arial"/>
          <w:b w:val="0"/>
          <w:i w:val="0"/>
          <w:sz w:val="19"/>
        </w:rPr>
        <w:t xml:space="preserve">-Rezeption vom 17. Juli 2026 aus 570 Milliarden US-Dollar globalem KI-Debt-Volumen eine Finanzierungslücke von rund 1,5 Billionen US-Dollar zwischen erforderlichen Rechenzentrums­investitionen (~2,9 Billionen US-Dollar bis 2028) und dem verfügbaren Konzern-Cashflow (~1,4 Billionen US-Dollar) ab; (v) am 19. August 2026 kündigt US-Finanzminister </w:t>
      </w:r>
      <w:r>
        <w:rPr>
          <w:rFonts w:ascii="Arial" w:hAnsi="Arial"/>
          <w:b w:val="0"/>
          <w:i/>
          <w:sz w:val="19"/>
        </w:rPr>
        <w:t>Scott Bessent</w:t>
      </w:r>
      <w:r>
        <w:rPr>
          <w:rFonts w:ascii="Arial" w:hAnsi="Arial"/>
          <w:b w:val="0"/>
          <w:i w:val="0"/>
          <w:sz w:val="19"/>
        </w:rPr>
        <w:t xml:space="preserve"> eine Verdopplung des Long-Bond-Buyback-Volumens von 2 auf 4 Milliarden US-Dollar pro Operation zwischen 9. September und 4. November 2026 an, nachdem die dreißigjährige US-Treasury-Rendite zeitweise den höchsten Stand seit 2007 erreicht hatte; (vi) </w:t>
      </w:r>
      <w:r>
        <w:rPr>
          <w:rFonts w:ascii="Arial" w:hAnsi="Arial"/>
          <w:b w:val="0"/>
          <w:i/>
          <w:sz w:val="19"/>
        </w:rPr>
        <w:t>Bloomberg</w:t>
      </w:r>
      <w:r>
        <w:rPr>
          <w:rFonts w:ascii="Arial" w:hAnsi="Arial"/>
          <w:b w:val="0"/>
          <w:i w:val="0"/>
          <w:sz w:val="19"/>
        </w:rPr>
        <w:t xml:space="preserve">-Vorbericht vom 23. August 2026 und </w:t>
      </w:r>
      <w:r>
        <w:rPr>
          <w:rFonts w:ascii="Arial" w:hAnsi="Arial"/>
          <w:b w:val="0"/>
          <w:i/>
          <w:sz w:val="19"/>
        </w:rPr>
        <w:t>TechTimes</w:t>
      </w:r>
      <w:r>
        <w:rPr>
          <w:rFonts w:ascii="Arial" w:hAnsi="Arial"/>
          <w:b w:val="0"/>
          <w:i w:val="0"/>
          <w:sz w:val="19"/>
        </w:rPr>
        <w:t xml:space="preserve">-Analyse vom 25. August 2026 bereiten die Jackson-Hole-Keynote von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am 28. August 2026 als Prüfstein einer disinflationären KI-Produktivitätsthese gegen die kurzfristig zinserhöhende Bondmarkt-Verwerfung durch KI-Capex vor (interne Fed-Dissenz auf einem Niveau, das die </w:t>
      </w:r>
      <w:r>
        <w:rPr>
          <w:rFonts w:ascii="Arial" w:hAnsi="Arial"/>
          <w:b w:val="0"/>
          <w:i/>
          <w:sz w:val="19"/>
        </w:rPr>
        <w:t>Federal Reserve</w:t>
      </w:r>
      <w:r>
        <w:rPr>
          <w:rFonts w:ascii="Arial" w:hAnsi="Arial"/>
          <w:b w:val="0"/>
          <w:i w:val="0"/>
          <w:sz w:val="19"/>
        </w:rPr>
        <w:t xml:space="preserve"> seit 2016 nicht mehr gesehen hat). Aufnahme in § 8.2 als siebte Konstruktion der Compute-Finanzierungs­schicht (aggregierte makrofinanzielle Verdrängungswirkung); Rückwirkung auf § 8.3 (KI-Renten-Volumen berührt Fiskal- und Geldpolitik), § 8.4 (Systemstabilität durch Kopplung KI-Capex/Zinskurve) und § 4.5 (Volatilitätsquelle für bestands­orientierte Sanders-Zugriffslogik). https://corporate.vanguard.com/content/corporatesite/us/en/corp/vemo/ai-buildout-comes-to-bond-market.html | https://www.forbes.com/sites/robertszczerba/2026/07/17/bond-investors-push-back-as-ai-debt-heads-toward-570-billion/ | https://www.bloomberg.com/news/articles/2026-08-23/us-long-bonds-risk-deeper-selloff-without-clear-warsh-guidance | https://finance.yahoo.com/economy/policy/articles/us-long-bonds-risk-deeper-193000359.html | https://www.cnbc.com/2026/08/19/bessent-treasury-buybacks-yields-warsh-fed.html | https://www.cnbc.com/2026/08/19/treasury-announces-upscaled-buyback-operation-for-longer-term-debt-sending-yields-lower.html | https://www.axios.com/2026/08/19/rates-treasury-borrowing-bessent | https://www.nbcnews.com/business/economy/bonds-bessent-treasury-debt-repurchase-rcna593319 | https://www.cfr.org/articles/what-the-treasurys-buyback-surprise-says-about-the-bond-market | https://www.techtimes.com/articles/325518/20260825/warsh-keynote-jackson-hole-ai-capex-breaking-his-rate-hold-case.htm</w:t>
      </w:r>
    </w:p>
    <w:p>
      <w:pPr>
        <w:jc w:val="both"/>
      </w:pPr>
      <w:r>
        <w:rPr>
          <w:rFonts w:ascii="Arial" w:hAnsi="Arial"/>
          <w:b w:val="0"/>
          <w:i w:val="0"/>
          <w:sz w:val="19"/>
        </w:rPr>
        <w:t xml:space="preserve">Ma, M. (S.) / The Conversation / Naked Capitalism / TechXplore / Dataconomy / Fast Company / Digital Information World / The Times Weekly / Capital / United for Equity. (12./13. August 2026). </w:t>
      </w:r>
      <w:r>
        <w:rPr>
          <w:rFonts w:ascii="Arial" w:hAnsi="Arial"/>
          <w:b w:val="0"/>
          <w:i/>
          <w:sz w:val="19"/>
        </w:rPr>
        <w:t>Layoffs tied to AI hurt worker productivity — and the reason may surprise managers / AI-driven Layoffs Are Failing To Deliver Productivity Gains / The surprising reason AI layoffs hurt worker productivity.</w:t>
      </w:r>
      <w:r>
        <w:rPr>
          <w:rFonts w:ascii="Arial" w:hAnsi="Arial"/>
          <w:b w:val="0"/>
          <w:i w:val="0"/>
          <w:sz w:val="19"/>
        </w:rPr>
        <w:t xml:space="preserve"> Am 12. August 2026 in </w:t>
      </w:r>
      <w:r>
        <w:rPr>
          <w:rFonts w:ascii="Arial" w:hAnsi="Arial"/>
          <w:b w:val="0"/>
          <w:i/>
          <w:sz w:val="19"/>
        </w:rPr>
        <w:t>The Conversation</w:t>
      </w:r>
      <w:r>
        <w:rPr>
          <w:rFonts w:ascii="Arial" w:hAnsi="Arial"/>
          <w:b w:val="0"/>
          <w:i w:val="0"/>
          <w:sz w:val="19"/>
        </w:rPr>
        <w:t xml:space="preserve"> durch Mark (Shuai) Ma, Associate Professor of Business Administration an der Katz Graduate School of Business der University of Pittsburgh, publizierte populärwissenschaftliche Auslegung des eigenen SSRN-Working-Papers </w:t>
      </w:r>
      <w:r>
        <w:rPr>
          <w:rFonts w:ascii="Arial" w:hAnsi="Arial"/>
          <w:b w:val="0"/>
          <w:i/>
          <w:sz w:val="19"/>
        </w:rPr>
        <w:t>Ding, Ma, Wu &amp; Yang</w:t>
      </w:r>
      <w:r>
        <w:rPr>
          <w:rFonts w:ascii="Arial" w:hAnsi="Arial"/>
          <w:b w:val="0"/>
          <w:i w:val="0"/>
          <w:sz w:val="19"/>
        </w:rPr>
        <w:t xml:space="preserve"> (26. April 2026, SSRN 6652799); Kernaussage: KI-attribuierte Layoffs beschädigen das Mitarbeiter-KI-Sentiment und damit systematisch jene firm-produktivität, die durch KI-Adoption realisiert werden soll — Rückgriff auf eine Atlanta-Fed-Erhebung (rund 90 % der Führungskräfte sehen bislang keine messbaren KI-Produktivitätsgewinne im eigenen Haus), eine Reuters/Ipsos-Umfrage (rund 50 % der US-Amerikanerinnen und -Amerikaner fürchten KI-bedingte Arbeitsplatzverluste im eigenen Haushalt) und eine durchschnittliche Börsenrendite nahe null bei KI-Layoff-Ankündigungen; breite Wiederaufnahme durch </w:t>
      </w:r>
      <w:r>
        <w:rPr>
          <w:rFonts w:ascii="Arial" w:hAnsi="Arial"/>
          <w:b w:val="0"/>
          <w:i/>
          <w:sz w:val="19"/>
        </w:rPr>
        <w:t>Naked Capitalism</w:t>
      </w:r>
      <w:r>
        <w:rPr>
          <w:rFonts w:ascii="Arial" w:hAnsi="Arial"/>
          <w:b w:val="0"/>
          <w:i w:val="0"/>
          <w:sz w:val="19"/>
        </w:rPr>
        <w:t xml:space="preserve"> (12. August 2026), </w:t>
      </w:r>
      <w:r>
        <w:rPr>
          <w:rFonts w:ascii="Arial" w:hAnsi="Arial"/>
          <w:b w:val="0"/>
          <w:i/>
          <w:sz w:val="19"/>
        </w:rPr>
        <w:t>TechXplore</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(13. August 2026, „AI-driven Layoffs Are Failing To Deliver Productivity Gains"), </w:t>
      </w:r>
      <w:r>
        <w:rPr>
          <w:rFonts w:ascii="Arial" w:hAnsi="Arial"/>
          <w:b w:val="0"/>
          <w:i/>
          <w:sz w:val="19"/>
        </w:rPr>
        <w:t>Fast Company</w:t>
      </w:r>
      <w:r>
        <w:rPr>
          <w:rFonts w:ascii="Arial" w:hAnsi="Arial"/>
          <w:b w:val="0"/>
          <w:i w:val="0"/>
          <w:sz w:val="19"/>
        </w:rPr>
        <w:t xml:space="preserve">, </w:t>
      </w:r>
      <w:r>
        <w:rPr>
          <w:rFonts w:ascii="Arial" w:hAnsi="Arial"/>
          <w:b w:val="0"/>
          <w:i/>
          <w:sz w:val="19"/>
        </w:rPr>
        <w:t>Digital Information World</w:t>
      </w:r>
      <w:r>
        <w:rPr>
          <w:rFonts w:ascii="Arial" w:hAnsi="Arial"/>
          <w:b w:val="0"/>
          <w:i w:val="0"/>
          <w:sz w:val="19"/>
        </w:rPr>
        <w:t xml:space="preserve">, </w:t>
      </w:r>
      <w:r>
        <w:rPr>
          <w:rFonts w:ascii="Arial" w:hAnsi="Arial"/>
          <w:b w:val="0"/>
          <w:i/>
          <w:sz w:val="19"/>
        </w:rPr>
        <w:t>The Times Weekly</w:t>
      </w:r>
      <w:r>
        <w:rPr>
          <w:rFonts w:ascii="Arial" w:hAnsi="Arial"/>
          <w:b w:val="0"/>
          <w:i w:val="0"/>
          <w:sz w:val="19"/>
        </w:rPr>
        <w:t xml:space="preserve">, </w:t>
      </w:r>
      <w:r>
        <w:rPr>
          <w:rFonts w:ascii="Arial" w:hAnsi="Arial"/>
          <w:b w:val="0"/>
          <w:i/>
          <w:sz w:val="19"/>
        </w:rPr>
        <w:t>Capital</w:t>
      </w:r>
      <w:r>
        <w:rPr>
          <w:rFonts w:ascii="Arial" w:hAnsi="Arial"/>
          <w:b w:val="0"/>
          <w:i w:val="0"/>
          <w:sz w:val="19"/>
        </w:rPr>
        <w:t xml:space="preserve"> (Mauritius), </w:t>
      </w:r>
      <w:r>
        <w:rPr>
          <w:rFonts w:ascii="Arial" w:hAnsi="Arial"/>
          <w:b w:val="0"/>
          <w:i/>
          <w:sz w:val="19"/>
        </w:rPr>
        <w:t>United for Equity</w:t>
      </w:r>
      <w:r>
        <w:rPr>
          <w:rFonts w:ascii="Arial" w:hAnsi="Arial"/>
          <w:b w:val="0"/>
          <w:i w:val="0"/>
          <w:sz w:val="19"/>
        </w:rPr>
        <w:t xml:space="preserve">. Aufnahme in § 3.5 als Sentiment-Sabotage-Kanal komplementär zur </w:t>
      </w:r>
      <w:r>
        <w:rPr>
          <w:rFonts w:ascii="Arial" w:hAnsi="Arial"/>
          <w:b w:val="0"/>
          <w:i/>
          <w:sz w:val="19"/>
        </w:rPr>
        <w:t>„jagged capability"</w:t>
      </w:r>
      <w:r>
        <w:rPr>
          <w:rFonts w:ascii="Arial" w:hAnsi="Arial"/>
          <w:b w:val="0"/>
          <w:i w:val="0"/>
          <w:sz w:val="19"/>
        </w:rPr>
        <w:t>-Auslegung (McCrory 22. Juli 2026); Rückwirkung auf § 8.4 (Systemstabilität) und § 9.1 (Kausalattributions­problematik einer engen Typ-5-Ersatzabgabe). https://theconversation.com/layoffs-tied-to-ai-hurt-worker-productivity-and-the-reason-may-surprise-managers-286749 | https://www.nakedcapitalism.com/2026/08/layoffs-tied-to-ai-hurt-worker-productivity-and-the-reason-may-surprise-managers.html | https://techxplore.com/news/2026-08-layoffs-ai-worker-productivity.html | https://dataconomy.com/2026/08/13/ai-driven-layoffs-undermine-productivity/ | https://www.fastcompany.com/91589194/surprising-reason-ai-layoffs-hurt-worker-productivity | https://www.digitalinformationworld.com/2026/08/layoffs-tied-to-ai-hurt-worker.html | https://thetimesweekly.com/2026/08/layoffs-tied-to-ai-hurt-worker-productivity-and-the-reason-may-surprise-managers/ | https://www.capital-media.mu/2026/08/layoffs-tied-to-ai-hurt-worker-productivity-and-the-reason-may-surprise-managers/</w:t>
      </w:r>
    </w:p>
    <w:p>
      <w:pPr>
        <w:jc w:val="both"/>
      </w:pPr>
      <w:r>
        <w:rPr>
          <w:rFonts w:ascii="Arial" w:hAnsi="Arial"/>
          <w:b w:val="0"/>
          <w:i w:val="0"/>
          <w:sz w:val="19"/>
        </w:rPr>
        <w:t xml:space="preserve">Meta Platforms, Inc. / Reuters (Katie Paul) / BNN Bloomberg / Engadget / TheNextWeb / Daily Kos / IBTimes / CellCog / AI Weekly / Free Press Journal / Financial Times / Yahoo Finance / MLQ News / The News (Pakistan). (26.–31. August 2026). </w:t>
      </w:r>
      <w:r>
        <w:rPr>
          <w:rFonts w:ascii="Arial" w:hAnsi="Arial"/>
          <w:b w:val="0"/>
          <w:i/>
          <w:sz w:val="19"/>
        </w:rPr>
        <w:t>Mark Zuckerberg had a bold plan to replace Meta staff with AI. Here's how it imploded / Meta reportedly abandoned an AI-focused restructuring plan that would have laid off thousands / Meta explored up to 60 per cent team cuts in AI overhaul before Zuckerberg pulled back / Meta's Project OT: The AI-native restructuring that imploded / Meta abandoned a plan to cut some teams by 60% after AI agents fell short.</w:t>
      </w:r>
      <w:r>
        <w:rPr>
          <w:rFonts w:ascii="Arial" w:hAnsi="Arial"/>
          <w:b w:val="0"/>
          <w:i w:val="0"/>
          <w:sz w:val="19"/>
        </w:rPr>
        <w:t xml:space="preserve"> Reuters-Special-Report vom 26. August 2026 (auf Basis interner Dokumente, Tonaufzeichnungen und mehr als zwanzig Interviews) und breite Sekundärrezeption zum Meta-Reorganisationsprojekt </w:t>
      </w:r>
      <w:r>
        <w:rPr>
          <w:rFonts w:ascii="Arial" w:hAnsi="Arial"/>
          <w:b w:val="0"/>
          <w:i/>
          <w:sz w:val="19"/>
        </w:rPr>
        <w:t>„Project OT"</w:t>
      </w:r>
      <w:r>
        <w:rPr>
          <w:rFonts w:ascii="Arial" w:hAnsi="Arial"/>
          <w:b w:val="0"/>
          <w:i w:val="0"/>
          <w:sz w:val="19"/>
        </w:rPr>
        <w:t xml:space="preserve"> (Organization Transformation), das im Januar 2026 auf einer Klausur in Zuckerbergs Hawaii-Anwesen initiiert wurde und den Konzern in zwei Wellen (Mai und November 2026) </w:t>
      </w:r>
      <w:r>
        <w:rPr>
          <w:rFonts w:ascii="Arial" w:hAnsi="Arial"/>
          <w:b w:val="0"/>
          <w:i/>
          <w:sz w:val="19"/>
        </w:rPr>
        <w:t>„AI native"</w:t>
      </w:r>
      <w:r>
        <w:rPr>
          <w:rFonts w:ascii="Arial" w:hAnsi="Arial"/>
          <w:b w:val="0"/>
          <w:i w:val="0"/>
          <w:sz w:val="19"/>
        </w:rPr>
        <w:t xml:space="preserve"> umbauen sollte — mit geplanter Reduktion einzelner Teams um bis zu sechzig Prozent und einer schlanken </w:t>
      </w:r>
      <w:r>
        <w:rPr>
          <w:rFonts w:ascii="Arial" w:hAnsi="Arial"/>
          <w:b w:val="0"/>
          <w:i/>
          <w:sz w:val="19"/>
        </w:rPr>
        <w:t>„talent-dense"</w:t>
      </w:r>
      <w:r>
        <w:rPr>
          <w:rFonts w:ascii="Arial" w:hAnsi="Arial"/>
          <w:b w:val="0"/>
          <w:i w:val="0"/>
          <w:sz w:val="19"/>
        </w:rPr>
        <w:t xml:space="preserve">-Führungsschicht zur Überwachung virtueller KI-Arbeiter; die erste Welle wurde am 20. Mai 2026 mit rund achttausend Stellen (etwa zehn Prozent der Belegschaft) vollzogen, die zweite Welle am 19. Mai 2026 abgesagt, weil interne Produktivitätsdaten (KI-assistierte Code-Änderungen +220 % gegenüber neuen bzw. aufgewerteten Produktfunktionen +36 % im Jahresvergleich; schwere Sicherheitsvorfälle +40 %, Feuerlöscharbeiten +70 %) die erwartete Produktivitätsrealisierung nicht bestätigten. Aufnahme in § 3.5 als </w:t>
      </w:r>
      <w:r>
        <w:rPr>
          <w:rFonts w:ascii="Arial" w:hAnsi="Arial"/>
          <w:b w:val="0"/>
          <w:i/>
          <w:sz w:val="19"/>
        </w:rPr>
        <w:t>AI-native-Restrukturierung als Realfall</w:t>
      </w:r>
      <w:r>
        <w:rPr>
          <w:rFonts w:ascii="Arial" w:hAnsi="Arial"/>
          <w:b w:val="0"/>
          <w:i w:val="0"/>
          <w:sz w:val="19"/>
        </w:rPr>
        <w:t xml:space="preserve"> komplementär zur Sentiment-Sabotage-Auslegung (Ma 12. August 2026); Rückwirkung auf § 1.1 (Tech-Layoff-Landkarte), § 8.4 (Systemstabilität), § 9.1 (Kausalattributionsproblem einer engen Typ-5-Ersatzabgabe) und § 10.2 (Empfehlungen zur wertschöpfungsorientierten Bemessungsbasis). https://www.bnnbloomberg.ca/business/company-news/2026/08/26/mark-zuckerberg-had-a-bold-plan-to-replace-meta-staff-with-ai-heres-how-it-imploded/ | https://www.engadget.com/2244816/meta-reportedly-abandoned-an-ai-focused-restructuring-plan/ | https://thenextweb.com/news/meta-project-ot-ai-native-layoffs-cancelled | https://www.dailykos.com/stories/2026/8/30/800091408/community/meta-ai-plan/ | https://www.ibtimes.com/mark-zuckerberg-reportedly-wanted-ai-replace-meta-workers-plan-collapsed-within-months-3806823 | https://cellcog.ai/blog/meta-project-ot/ | https://aiweekly.co/alerts/metas-project-ot-plan-to-replace-staff-with-ai-is-scaled-back | https://www.freepressjournal.in/tech/meta-explored-upto-60-per-cent-team-cuts-in-ai-overhaul-before-zuckerberg-pulled-back-report | https://finance.yahoo.com/technology/ai/articles/meta-ai-gamble-gets-bigger-190444252.html | https://finance.yahoo.com/markets/stocks/articles/meta-platforms-almost-slashed-60-210316856.html | https://mlq.ai/news/meta-abandoned-a-plan-to-cut-some-teams-by-60-after-ai-agents-fell-short/ | https://www.thenews.com.pk/latest/1413696-metas-secret-plan-to-cut-60-of-some-teams-with-ai-report</w:t>
      </w:r>
    </w:p>
    <w:p>
      <w:pPr>
        <w:jc w:val="both"/>
      </w:pPr>
      <w:r>
        <w:rPr>
          <w:rFonts w:ascii="Arial" w:hAnsi="Arial"/>
          <w:b/>
          <w:i w:val="0"/>
          <w:sz w:val="19"/>
        </w:rPr>
        <w:t>Hinweis zur Aktualität:</w:t>
      </w:r>
      <w:r>
        <w:rPr>
          <w:rFonts w:ascii="Arial" w:hAnsi="Arial"/>
          <w:b w:val="0"/>
          <w:i w:val="0"/>
          <w:sz w:val="19"/>
        </w:rPr>
        <w:t xml:space="preserve"> Dieses Arbeitspapier gibt den Stand Anfang September 2026 (Schnitt am 6. September 2026 — Lauf 001 vom 6. September 2026, Version 86.0)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Version 62.0 (Schnitt 11. August 2026 — Lauf 001 vom 11. August 2026) ergänzt zwei belegbare Neuzugänge im 48-Stunden-Fenster: (a) die am 10. August 2026 vorgestellte strategische Partnerschaft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und </w:t>
      </w:r>
      <w:r>
        <w:rPr>
          <w:rFonts w:ascii="Arial" w:hAnsi="Arial"/>
          <w:b w:val="0"/>
          <w:i/>
          <w:sz w:val="19"/>
        </w:rPr>
        <w:t>GIC</w:t>
      </w:r>
      <w:r>
        <w:rPr>
          <w:rFonts w:ascii="Arial" w:hAnsi="Arial"/>
          <w:b w:val="0"/>
          <w:i w:val="0"/>
          <w:sz w:val="19"/>
        </w:rPr>
        <w:t xml:space="preserve"> mit der Gründung des Infrastruktur-Vehikels </w:t>
      </w:r>
      <w:r>
        <w:rPr>
          <w:rFonts w:ascii="Arial" w:hAnsi="Arial"/>
          <w:b w:val="0"/>
          <w:i/>
          <w:sz w:val="19"/>
        </w:rPr>
        <w:t>Theseus Infrastructure</w:t>
      </w:r>
      <w:r>
        <w:rPr>
          <w:rFonts w:ascii="Arial" w:hAnsi="Arial"/>
          <w:b w:val="0"/>
          <w:i w:val="0"/>
          <w:sz w:val="19"/>
        </w:rPr>
        <w:t xml:space="preserve"> für dedizierte KI-Rechenzentren (US-amerikanischer Erstfokus;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w:t>
      </w:r>
      <w:r>
        <w:rPr>
          <w:rFonts w:ascii="Arial" w:hAnsi="Arial"/>
          <w:b w:val="0"/>
          <w:i/>
          <w:sz w:val="19"/>
        </w:rPr>
        <w:t>Macquarie</w:t>
      </w:r>
      <w:r>
        <w:rPr>
          <w:rFonts w:ascii="Arial" w:hAnsi="Arial"/>
          <w:b w:val="0"/>
          <w:i w:val="0"/>
          <w:sz w:val="19"/>
        </w:rPr>
        <w:t>/</w:t>
      </w:r>
      <w:r>
        <w:rPr>
          <w:rFonts w:ascii="Arial" w:hAnsi="Arial"/>
          <w:b w:val="0"/>
          <w:i/>
          <w:sz w:val="19"/>
        </w:rPr>
        <w:t>GIC</w:t>
      </w:r>
      <w:r>
        <w:rPr>
          <w:rFonts w:ascii="Arial" w:hAnsi="Arial"/>
          <w:b w:val="0"/>
          <w:i w:val="0"/>
          <w:sz w:val="19"/>
        </w:rPr>
        <w:t xml:space="preserve"> als Eigenkapital-Mehrheitsträger; </w:t>
      </w:r>
      <w:r>
        <w:rPr>
          <w:rFonts w:ascii="Arial" w:hAnsi="Arial"/>
          <w:b w:val="0"/>
          <w:i/>
          <w:sz w:val="19"/>
        </w:rPr>
        <w:t>Anthropic</w:t>
      </w:r>
      <w:r>
        <w:rPr>
          <w:rFonts w:ascii="Arial" w:hAnsi="Arial"/>
          <w:b w:val="0"/>
          <w:i w:val="0"/>
          <w:sz w:val="19"/>
        </w:rPr>
        <w:t xml:space="preserve"> verpflichtet sich zur Abdeckung von Aufschlägen auf die Verbraucher-Stromtarife der Host-Regionen; Angaben zu Standorten, Investitionsvolumen, Gigawatt-Kapazität und Zeitplan zum Ankündigungsdatum offen) — Aufnahme in § 8.2 als privatwirtschaftliches Multi-Investor-Vehikel-Modell der KI-Compute-Finanzierungs­schicht mit Rückwirkung auf § 4.5 (bereits realisierte kapitalmarkt­institutionelle Bestandsanknüpfung neben legislativen SWF-Vorschlägen), § 5.4 (privatwirtschaftliche Consumer-Utility-Rate-Schutzklausel als Externalitäten-Kompensation) und § 8.3, Neueintrag in § 11.5 (Konjunktivpflicht nach § 4.2 Claude.md); (b) die am 10. August 2026 eröffnete Retail-Zeichnungsphase der </w:t>
      </w:r>
      <w:r>
        <w:rPr>
          <w:rFonts w:ascii="Arial" w:hAnsi="Arial"/>
          <w:b w:val="0"/>
          <w:i/>
          <w:sz w:val="19"/>
        </w:rPr>
        <w:t>Unitree-Robotics</w:t>
      </w:r>
      <w:r>
        <w:rPr>
          <w:rFonts w:ascii="Arial" w:hAnsi="Arial"/>
          <w:b w:val="0"/>
          <w:i w:val="0"/>
          <w:sz w:val="19"/>
        </w:rPr>
        <w:t>-Shanghai-STAR-Emission mit rund 5.526-fach überzeichnetem Retail-Anteil und rund 9,8 Millionen Einzel-Zeichnungs­aufträgen (Anbieter-/Emittenten-Angaben) — Fortschreibung des bereits mit Version 58.0 / 59.0 in § 8.2 dokumentierten Unitree-Kapitalmarktvorgangs mit Rückwirkung auf § 4.5 (verkürzte Beobachtungsphase für bestandsorientierte Umverteilungslogik im Retail-getriebenen Bewertungsumfeld) und § 8.3 (weitere Verschiebung der Referenzpunkte inländischer Anschlussstellen einer wertschöpfungs­orientierten KI-Nutzungsabgabe in Richtung Anwendungs-Ebene), Neueintrag in § 11.5. Version 64.0 (Schnitt 13. August 2026 — Lauf 001 vom 13. August 2026: Compute-Finanzierungs­schicht um Nvidia-Lancium- und Blackstone-/Apollo-Anthropic-</w:t>
      </w:r>
      <w:r>
        <w:rPr>
          <w:rFonts w:ascii="Arial" w:hAnsi="Arial"/>
          <w:b w:val="0"/>
          <w:i/>
          <w:sz w:val="19"/>
        </w:rPr>
        <w:t>Chip-Lease-SPV</w:t>
      </w:r>
      <w:r>
        <w:rPr>
          <w:rFonts w:ascii="Arial" w:hAnsi="Arial"/>
          <w:b w:val="0"/>
          <w:i w:val="0"/>
          <w:sz w:val="19"/>
        </w:rPr>
        <w:t xml:space="preserve">-Konstruktionen ergänzt, Apple-vs-OpenAI-Injunction/Motion-to-Dismiss-Nachtrag, Salesforce-Layoff-Runde) und Version 63.0 (Schnitt 12. August 2026 — Lauf 001 vom 12. August 2026) ergänzt zwei privatwirtschaftliche Datenpunkte an derselben KI-Compute-Finanzierungs­schicht und einen Nachtrag zur </w:t>
      </w:r>
      <w:r>
        <w:rPr>
          <w:rFonts w:ascii="Arial" w:hAnsi="Arial"/>
          <w:b w:val="0"/>
          <w:i/>
          <w:sz w:val="19"/>
        </w:rPr>
        <w:t>Unitree</w:t>
      </w:r>
      <w:r>
        <w:rPr>
          <w:rFonts w:ascii="Arial" w:hAnsi="Arial"/>
          <w:b w:val="0"/>
          <w:i w:val="0"/>
          <w:sz w:val="19"/>
        </w:rPr>
        <w:t xml:space="preserve">-Retail-Zeichnung: (a) die am 10. August 2026 angekündigte </w:t>
      </w:r>
      <w:r>
        <w:rPr>
          <w:rFonts w:ascii="Arial" w:hAnsi="Arial"/>
          <w:b w:val="0"/>
          <w:i/>
          <w:sz w:val="19"/>
        </w:rPr>
        <w:t>Nvidia</w:t>
      </w:r>
      <w:r>
        <w:rPr>
          <w:rFonts w:ascii="Arial" w:hAnsi="Arial"/>
          <w:b w:val="0"/>
          <w:i w:val="0"/>
          <w:sz w:val="19"/>
        </w:rPr>
        <w:t xml:space="preserve">-Partnerschaft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w:t>
      </w:r>
      <w:r>
        <w:rPr>
          <w:rFonts w:ascii="Arial" w:hAnsi="Arial"/>
          <w:b w:val="0"/>
          <w:i/>
          <w:sz w:val="19"/>
        </w:rPr>
        <w:t>unabhängiger AI-Compute-Infrastructure-Financing-Platforms</w:t>
      </w:r>
      <w:r>
        <w:rPr>
          <w:rFonts w:ascii="Arial" w:hAnsi="Arial"/>
          <w:b w:val="0"/>
          <w:i w:val="0"/>
          <w:sz w:val="19"/>
        </w:rPr>
        <w:t xml:space="preserve"> für die Mobilisierung von </w:t>
      </w:r>
      <w:r>
        <w:rPr>
          <w:rFonts w:ascii="Arial" w:hAnsi="Arial"/>
          <w:b w:val="0"/>
          <w:i/>
          <w:sz w:val="19"/>
        </w:rPr>
        <w:t>über 500 Milliarden US-Dollar Drittkapital</w:t>
      </w:r>
      <w:r>
        <w:rPr>
          <w:rFonts w:ascii="Arial" w:hAnsi="Arial"/>
          <w:b w:val="0"/>
          <w:i w:val="0"/>
          <w:sz w:val="19"/>
        </w:rPr>
        <w:t xml:space="preserve"> auf Basis von </w:t>
      </w:r>
      <w:r>
        <w:rPr>
          <w:rFonts w:ascii="Arial" w:hAnsi="Arial"/>
          <w:b w:val="0"/>
          <w:i/>
          <w:sz w:val="19"/>
        </w:rPr>
        <w:t>Nvidia</w:t>
      </w:r>
      <w:r>
        <w:rPr>
          <w:rFonts w:ascii="Arial" w:hAnsi="Arial"/>
          <w:b w:val="0"/>
          <w:i w:val="0"/>
          <w:sz w:val="19"/>
        </w:rPr>
        <w:t xml:space="preserve">-Hardware (Memoranda of Understanding, unabhängige Vehikel jenseits der </w:t>
      </w:r>
      <w:r>
        <w:rPr>
          <w:rFonts w:ascii="Arial" w:hAnsi="Arial"/>
          <w:b w:val="0"/>
          <w:i/>
          <w:sz w:val="19"/>
        </w:rPr>
        <w:t>Nvidia</w:t>
      </w:r>
      <w:r>
        <w:rPr>
          <w:rFonts w:ascii="Arial" w:hAnsi="Arial"/>
          <w:b w:val="0"/>
          <w:i w:val="0"/>
          <w:sz w:val="19"/>
        </w:rPr>
        <w:t xml:space="preserve">-Bilanz; </w:t>
      </w:r>
      <w:r>
        <w:rPr>
          <w:rFonts w:ascii="Arial" w:hAnsi="Arial"/>
          <w:b w:val="0"/>
          <w:i/>
          <w:sz w:val="19"/>
        </w:rPr>
        <w:t>Jensen Huang</w:t>
      </w:r>
      <w:r>
        <w:rPr>
          <w:rFonts w:ascii="Arial" w:hAnsi="Arial"/>
          <w:b w:val="0"/>
          <w:i w:val="0"/>
          <w:sz w:val="19"/>
        </w:rPr>
        <w:t xml:space="preserve"> rahmt KI-Compute-Infrastruktur öffentlich als </w:t>
      </w:r>
      <w:r>
        <w:rPr>
          <w:rFonts w:ascii="Arial" w:hAnsi="Arial"/>
          <w:b w:val="0"/>
          <w:i/>
          <w:sz w:val="19"/>
        </w:rPr>
        <w:t>investable asset class</w:t>
      </w:r>
      <w:r>
        <w:rPr>
          <w:rFonts w:ascii="Arial" w:hAnsi="Arial"/>
          <w:b w:val="0"/>
          <w:i w:val="0"/>
          <w:sz w:val="19"/>
        </w:rPr>
        <w:t xml:space="preserve">) — Aufnahme in § 8.2 als zweite privatwirtschaftliche Multi-Plattform-Konstruktion binnen 24 Stunden nach </w:t>
      </w:r>
      <w:r>
        <w:rPr>
          <w:rFonts w:ascii="Arial" w:hAnsi="Arial"/>
          <w:b w:val="0"/>
          <w:i/>
          <w:sz w:val="19"/>
        </w:rPr>
        <w:t>Theseus</w:t>
      </w:r>
      <w:r>
        <w:rPr>
          <w:rFonts w:ascii="Arial" w:hAnsi="Arial"/>
          <w:b w:val="0"/>
          <w:i w:val="0"/>
          <w:sz w:val="19"/>
        </w:rPr>
        <w:t xml:space="preserve">, Neueintrag in § 11.5; (b) der am 11. August 2026 geschlossene zwanzigjährige </w:t>
      </w:r>
      <w:r>
        <w:rPr>
          <w:rFonts w:ascii="Arial" w:hAnsi="Arial"/>
          <w:b w:val="0"/>
          <w:i/>
          <w:sz w:val="19"/>
        </w:rPr>
        <w:t>Anthropic</w:t>
      </w:r>
      <w:r>
        <w:rPr>
          <w:rFonts w:ascii="Arial" w:hAnsi="Arial"/>
          <w:b w:val="0"/>
          <w:i w:val="0"/>
          <w:sz w:val="19"/>
        </w:rPr>
        <w:t>/</w:t>
      </w:r>
      <w:r>
        <w:rPr>
          <w:rFonts w:ascii="Arial" w:hAnsi="Arial"/>
          <w:b w:val="0"/>
          <w:i/>
          <w:sz w:val="19"/>
        </w:rPr>
        <w:t>Riot-Platforms</w:t>
      </w:r>
      <w:r>
        <w:rPr>
          <w:rFonts w:ascii="Arial" w:hAnsi="Arial"/>
          <w:b w:val="0"/>
          <w:i w:val="0"/>
          <w:sz w:val="19"/>
        </w:rPr>
        <w:t>-</w:t>
      </w:r>
      <w:r>
        <w:rPr>
          <w:rFonts w:ascii="Arial" w:hAnsi="Arial"/>
          <w:b w:val="0"/>
          <w:i/>
          <w:sz w:val="19"/>
        </w:rPr>
        <w:t>Compute-Nutzungsvertrag</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(Basisvolumen rund 9,1 Milliarden US-Dollar, mit zwei Fünfjahres-Verlängerungsoptionen aufkumulierbar auf 16,1 Milliarden US-Dollar; Ausbaustufe 96 Megawatt bis Ende 2027, Vollausbau bis Juni 2028; </w:t>
      </w:r>
      <w:r>
        <w:rPr>
          <w:rFonts w:ascii="Arial" w:hAnsi="Arial"/>
          <w:b w:val="0"/>
          <w:i/>
          <w:sz w:val="19"/>
        </w:rPr>
        <w:t>Morgan Stanley</w:t>
      </w:r>
      <w:r>
        <w:rPr>
          <w:rFonts w:ascii="Arial" w:hAnsi="Arial"/>
          <w:b w:val="0"/>
          <w:i w:val="0"/>
          <w:sz w:val="19"/>
        </w:rPr>
        <w:t xml:space="preserve">-Finanzierung 573 Millionen US-Dollar) als Umwidmung einer umgewidmeten Bitcoin-Mining-Anlage zur langfristigen KI-Compute-Anlage — Aufnahme in § 8.2 als drittes strukturell verschiedenes, aber logisch verwandtes Muster der KI-Compute-Finanzierungs­schicht, Neueintrag in § 11.5; (c) Nachtrag zum bestehenden </w:t>
      </w:r>
      <w:r>
        <w:rPr>
          <w:rFonts w:ascii="Arial" w:hAnsi="Arial"/>
          <w:b w:val="0"/>
          <w:i/>
          <w:sz w:val="19"/>
        </w:rPr>
        <w:t>Unitree</w:t>
      </w:r>
      <w:r>
        <w:rPr>
          <w:rFonts w:ascii="Arial" w:hAnsi="Arial"/>
          <w:b w:val="0"/>
          <w:i w:val="0"/>
          <w:sz w:val="19"/>
        </w:rPr>
        <w:t xml:space="preserve">-Retail-Zeichnungsvorgang: Bis zum Ende der Zeichnungsphase am 11. August 2026 sei der öffentliche Retail-Anteil auf über das rund 8.000-Fache des zur Zuteilung stehenden Volumens gestiegen (nach </w:t>
      </w:r>
      <w:r>
        <w:rPr>
          <w:rFonts w:ascii="Arial" w:hAnsi="Arial"/>
          <w:b w:val="0"/>
          <w:i/>
          <w:sz w:val="19"/>
        </w:rPr>
        <w:t>Yahoo Finance</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Zuteilungsquote rund 0,018 Prozent, Gesamtemissionsvolumen rund 900 Millionen US-Dollar; Konjunktivpflicht nach § 4.2 Claude.md, Angaben anbieter-/emittentenseitig). Der Lauf am 21. August 2026 (Version 70.0 → 71.0) ergänzt eine explizite Kohorten-Dimension der KI-Wirkung in § 3.5: (a) der </w:t>
      </w:r>
      <w:r>
        <w:rPr>
          <w:rFonts w:ascii="Arial" w:hAnsi="Arial"/>
          <w:b w:val="0"/>
          <w:i/>
          <w:sz w:val="19"/>
        </w:rPr>
        <w:t>Goldman-Sachs</w:t>
      </w:r>
      <w:r>
        <w:rPr>
          <w:rFonts w:ascii="Arial" w:hAnsi="Arial"/>
          <w:b w:val="0"/>
          <w:i w:val="0"/>
          <w:sz w:val="19"/>
        </w:rPr>
        <w:t>-</w:t>
      </w:r>
      <w:r>
        <w:rPr>
          <w:rFonts w:ascii="Arial" w:hAnsi="Arial"/>
          <w:b w:val="0"/>
          <w:i/>
          <w:sz w:val="19"/>
        </w:rPr>
        <w:t>Global-Economics-Comment „Is AI Impacting Global Labor Markets?"</w:t>
      </w:r>
      <w:r>
        <w:rPr>
          <w:rFonts w:ascii="Arial" w:hAnsi="Arial"/>
          <w:b w:val="0"/>
          <w:i w:val="0"/>
          <w:sz w:val="19"/>
        </w:rPr>
        <w:t xml:space="preserve"> vom 19. August 2026 (Briggs/Hatzius et al.) über mehr als 800 Berufe in Industrieländern (Beschäftigungslücke Berufseinsteiger mehr als dreifach gegenüber breitem Arbeitsmarkt; Call-Center-Untertrend USA rund 39 %, Kanada rund 33 %, Deutschland rund 27 %) — Neueintrag in § 11.1; (b) der </w:t>
      </w:r>
      <w:r>
        <w:rPr>
          <w:rFonts w:ascii="Arial" w:hAnsi="Arial"/>
          <w:b w:val="0"/>
          <w:i/>
          <w:sz w:val="19"/>
        </w:rPr>
        <w:t>Bank-of-Korea</w:t>
      </w:r>
      <w:r>
        <w:rPr>
          <w:rFonts w:ascii="Arial" w:hAnsi="Arial"/>
          <w:b w:val="0"/>
          <w:i w:val="0"/>
          <w:sz w:val="19"/>
        </w:rPr>
        <w:t>-Forschungsbeitrag vom 18. August 2026 (Oh Sam-il) zur Kohorte 15–29: rund 268.000 von 285.000 Netto-Jugendbeschäftigungsverlusten in KI-exponierten Sektoren (rund 94 %) bei zugleich rund 173.000 Netto-Zugewinn in KI-nahen Branchen für die Über-50-Jährigen — Neueintrag in § 11.1 mit Rückwirkung auf § 6.1, § 8.3 (Teilhabefrage) und § 8.4 (Systemstabilität).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86.0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