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-Ereignis vom 2. September 2026 bleibt unerfasst. Zuwachs gegenüber dem Vortag: null. Die Stände vom 12. bis 17.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Die Stände vom 13. bis 17.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Die Stände vom 13. bis 17. September 2026 bleiben als zeitlich frühere Referenzen vollständig erhalten. https://displaceindex.com/trends/ai-layoffs-tracker/</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i w:val="0"/>
          <w:sz w:val="19"/>
        </w:rPr>
        <w:t>Hinweis zur Aktualität:</w:t>
      </w:r>
      <w:r>
        <w:rPr>
          <w:rFonts w:ascii="Arial" w:hAnsi="Arial"/>
          <w:b w:val="0"/>
          <w:i w:val="0"/>
          <w:sz w:val="19"/>
        </w:rPr>
        <w:t xml:space="preserve"> Dieses Arbeitspapier gibt den Stand Mitte September 2026 (Schnitt am 18. September 2026 — Lauf 001 vom 18. September 2026, Version 98.0)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