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im weiteren Verlauf des Mai und in der ersten Juni-Hälfte 2026 ist die Welle nicht abgerissen: zum 5. Juni 2026 weist die TrueUp-Zählung 149.935 betroffene Personen aus 363 Layoff-Meldungen aus (rund 974 Personen pro Tag), und zum 12. Juni 2026 dokumentiert die SkillSyncer-Methodik 183.966 Personen aus 247 Layoff-Ereignissen (rund 1.129 Personen pro Tag), während dieselbe Tracker-Methodik erstmals einen quantifizierten Anteil KI-getriebener Restrukturierungen ausweist: rund 55 % der erfassten Layoff-Ereignisse des Jahres 2026 zitieren KI, Automatisierung oder Maschinelles Lernen explizit als treibenden Faktor, was 152.415 Beschäftigte aus 135 Unternehmen betrifft,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2. Juni 2026 vom DevOps-Anbieter </w:t>
      </w:r>
      <w:r>
        <w:rPr>
          <w:rFonts w:ascii="Arial" w:hAnsi="Arial"/>
          <w:b w:val="0"/>
          <w:i/>
          <w:sz w:val="19"/>
        </w:rPr>
        <w:t>GitLab</w:t>
      </w:r>
      <w:r>
        <w:rPr>
          <w:rFonts w:ascii="Arial" w:hAnsi="Arial"/>
          <w:b w:val="0"/>
          <w:i w:val="0"/>
          <w:sz w:val="19"/>
        </w:rPr>
        <w:t xml:space="preserve"> angekündigten Streichung von rund 350 Stellen (etwa 14 % der globalen Belegschaft) bei gleichzeitigem Rückzug aus 22 Ländern und einer Aufgliederung der Forschungs- und Entwicklungsorganisation in rund 60 autonome Teams für den „agentic era" (Restrukturierungsaufwand 30 bis 35 Millionen US-Dollar, Aktienkursabschlag nachbörslich rund 8 %; CEO Bill Staples begründet die Reduktion mit dem Einsatz interner KI-Agenten für Code-Reviews, Approvals und Übergaben), aus den am 3. Juni 2026 von </w:t>
      </w:r>
      <w:r>
        <w:rPr>
          <w:rFonts w:ascii="Arial" w:hAnsi="Arial"/>
          <w:b w:val="0"/>
          <w:i/>
          <w:sz w:val="19"/>
        </w:rPr>
        <w:t>Uber</w:t>
      </w:r>
      <w:r>
        <w:rPr>
          <w:rFonts w:ascii="Arial" w:hAnsi="Arial"/>
          <w:b w:val="0"/>
          <w:i w:val="0"/>
          <w:sz w:val="19"/>
        </w:rPr>
        <w:t xml:space="preserve"> angekündigten Streichungen in der „People and Places"-Abteilung (rund 23 % der HR-, Recruiting-, Workplace- und Kultur-Funktionen — knapp ein Prozent der globalen 34.000-Personen-Belegschaft) wenige Wochen nachdem der Chief Technology Officer Praveen Neppalli Naga eingeräumt hatte, das gesamte für 2026 vorgesehene KI-Coding-Tool-Budget binnen vier Monaten aufgebraucht zu haben — primär durch die rasch gestiegene Nutzung von </w:t>
      </w:r>
      <w:r>
        <w:rPr>
          <w:rFonts w:ascii="Arial" w:hAnsi="Arial"/>
          <w:b w:val="0"/>
          <w:i/>
          <w:sz w:val="19"/>
        </w:rPr>
        <w:t>Anthropic Claude Code</w:t>
      </w:r>
      <w:r>
        <w:rPr>
          <w:rFonts w:ascii="Arial" w:hAnsi="Arial"/>
          <w:b w:val="0"/>
          <w:i w:val="0"/>
          <w:sz w:val="19"/>
        </w:rPr>
        <w:t xml:space="preserve"> und </w:t>
      </w:r>
      <w:r>
        <w:rPr>
          <w:rFonts w:ascii="Arial" w:hAnsi="Arial"/>
          <w:b w:val="0"/>
          <w:i/>
          <w:sz w:val="19"/>
        </w:rPr>
        <w:t>Cursor</w:t>
      </w:r>
      <w:r>
        <w:rPr>
          <w:rFonts w:ascii="Arial" w:hAnsi="Arial"/>
          <w:b w:val="0"/>
          <w:i w:val="0"/>
          <w:sz w:val="19"/>
        </w:rPr>
        <w:t xml:space="preserve">, deren Adoption unter den rund 5.000 Uber-Ingenieuren zwischen November 2025 und Februar 2026 von 32 auf 84 % stieg, bis nahezu 95 % monatlich KI-Werkzeuge nutzten und nach Konzernangaben etwa 70 % des committeten Codes von diesen Systemen erzeugt wurden; Uber hat in der Folge die monatliche Pro-Ingenieur-Ausgabengrenze auf 1.500 US-Dollar gekappt —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Inzwischen — am 7. Mai 2026 — haben Parlament und Rat eine </w:t>
      </w:r>
      <w:r>
        <w:rPr>
          <w:rFonts w:ascii="Arial" w:hAnsi="Arial"/>
          <w:b w:val="0"/>
          <w:i/>
          <w:sz w:val="19"/>
        </w:rPr>
        <w:t>vorläufige politische Einigung</w:t>
      </w:r>
      <w:r>
        <w:rPr>
          <w:rFonts w:ascii="Arial" w:hAnsi="Arial"/>
          <w:b w:val="0"/>
          <w:i w:val="0"/>
          <w:sz w:val="19"/>
        </w:rPr>
        <w:t xml:space="preserve"> zum Digital Omnibus on AI erzielt; die formelle Annahme im Plenum wird für Juni 2026 erwartet, die Veröffentlichung im Amtsblatt soll der förmlichen Annahme nachgelagert in den Wochen darauf folgen. Inhaltlich bestätigt die Einigung die konvergierten Stichtage (Anhang III zum 2. Dezember 2027, Anhang I zum 2. August 2028), führt die </w:t>
      </w:r>
      <w:r>
        <w:rPr>
          <w:rFonts w:ascii="Arial" w:hAnsi="Arial"/>
          <w:b w:val="0"/>
          <w:i/>
          <w:sz w:val="19"/>
        </w:rPr>
        <w:t>Nudification</w:t>
      </w:r>
      <w:r>
        <w:rPr>
          <w:rFonts w:ascii="Arial" w:hAnsi="Arial"/>
          <w:b w:val="0"/>
          <w:i w:val="0"/>
          <w:sz w:val="19"/>
        </w:rPr>
        <w:t xml:space="preserve">- und CSAM-Prohibition als neuen Art. 5-Tatbestand ein, weist dem </w:t>
      </w:r>
      <w:r>
        <w:rPr>
          <w:rFonts w:ascii="Arial" w:hAnsi="Arial"/>
          <w:b w:val="0"/>
          <w:i/>
          <w:sz w:val="19"/>
        </w:rPr>
        <w:t>AI Office</w:t>
      </w:r>
      <w:r>
        <w:rPr>
          <w:rFonts w:ascii="Arial" w:hAnsi="Arial"/>
          <w:b w:val="0"/>
          <w:i w:val="0"/>
          <w:sz w:val="19"/>
        </w:rPr>
        <w:t xml:space="preserve"> die Aufsicht über AI-Systeme zu, die auf einem GPAI-Modell desselben Anbieters/Konzerns aufbauen oder in DSA-pflichtige große Online-Plattformen oder Suchmaschinen eingebettet sind, und verlängert die Wasserzeichen-/Kennzeichnungspflicht nach Art. 50(2) bis zum 2. Dezember 2026 (faktisch eine Verkürzung des Umsetzungsfensters auf rund drei Monate, weil bislang keine harmonisierte Norm verabschiedet ist).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Deutsche Durchführungsgesetzgebung zum AI Act — KI-MIG (Juni 2026):</w:t>
      </w:r>
      <w:r>
        <w:rPr>
          <w:rFonts w:ascii="Arial" w:hAnsi="Arial"/>
          <w:b w:val="0"/>
          <w:i w:val="0"/>
          <w:sz w:val="19"/>
        </w:rPr>
        <w:t xml:space="preserve"> Am 11. Juni 2026 hat der Deutsche Bundestag das </w:t>
      </w:r>
      <w:r>
        <w:rPr>
          <w:rFonts w:ascii="Arial" w:hAnsi="Arial"/>
          <w:b w:val="0"/>
          <w:i/>
          <w:sz w:val="19"/>
        </w:rPr>
        <w:t>Gesetz zur Durchführung der Verordnung über künstliche Intelligenz</w:t>
      </w:r>
      <w:r>
        <w:rPr>
          <w:rFonts w:ascii="Arial" w:hAnsi="Arial"/>
          <w:b w:val="0"/>
          <w:i w:val="0"/>
          <w:sz w:val="19"/>
        </w:rPr>
        <w:t xml:space="preserve"> („KI-Marktüberwachungs- und Innovationsgesetz", KI-MIG) in der vom Digital-Ausschuss leicht modifizierten Fassung beschlossen — die Koalitionsfraktionen CDU/CSU und SPD stimmten zu, die Oppositionsfraktionen AfD, Bündnis 90/Die Grünen und Die Linke dagegen. Das Gesetz designiert die </w:t>
      </w:r>
      <w:r>
        <w:rPr>
          <w:rFonts w:ascii="Arial" w:hAnsi="Arial"/>
          <w:b w:val="0"/>
          <w:i/>
          <w:sz w:val="19"/>
        </w:rPr>
        <w:t>Bundesnetzagentur</w:t>
      </w:r>
      <w:r>
        <w:rPr>
          <w:rFonts w:ascii="Arial" w:hAnsi="Arial"/>
          <w:b w:val="0"/>
          <w:i w:val="0"/>
          <w:sz w:val="19"/>
        </w:rPr>
        <w:t xml:space="preserve"> als zentrale Marktüberwachungs- und benannte Behörde für KI in Deutschland und schafft den nationalen Vollzugsrahmen für die EU-Verordnung 2024/1689 (vgl. § 4.3); die Zustimmung des Bundesrats steht noch aus, ist aber im Sommer 2026 angekündigt. Für die in diesem Papier geführte Steuerdebatte ist das Gesetz nicht unmittelbar steuerwirksam, hat aber zwei mittelbare Konsequenzen: erstens schafft die Konzentration der Aufsicht bei einer einzigen Bundesoberbehörde eine institutionelle Anlaufstelle, an die fiskalische Definitionen (Hochrisiko-, GPAI-, Systemklassen) anschlussfähig wären; zweitens öffnet die im Gesetz enthaltene Innovationsklausel (KI-Reallabore, Sandbox-Regelungen) einen administrativen Pfad, in dem zukünftige fiskalische Anknüpfungspunkte (etwa eine Erweiterung der Plattform-Digitalabgabe auf KI-Inferenz oder eine zweckgebundene Wertschöpfungs­abgaben-Komponente) erprobt werden könnten, ohne dass dafür eine neue Behörden­architektur aufgebaut werden müsste.</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 Am 1. Juni 2026 hat Sanders mit dem </w:t>
      </w:r>
      <w:r>
        <w:rPr>
          <w:rFonts w:ascii="Arial" w:hAnsi="Arial"/>
          <w:b w:val="0"/>
          <w:i/>
          <w:sz w:val="19"/>
        </w:rPr>
        <w:t>American AI Sovereign Wealth Fund Act</w:t>
      </w:r>
      <w:r>
        <w:rPr>
          <w:rFonts w:ascii="Arial" w:hAnsi="Arial"/>
          <w:b w:val="0"/>
          <w:i w:val="0"/>
          <w:sz w:val="19"/>
        </w:rPr>
        <w:t xml:space="preserve"> eine weitere flankierende Gesetzesinitiative eingebracht: Der Entwurf sieht vor, dass die führenden US-amerikanischen KI-Unternehmen (namentlich OpenAI, Anthropic und xAI) einmalig 50 % ihrer Aktienanteile in einen bundesseitig verwalteten Staatsfonds zu übertragen hätten; aus dem Fondsvermögen sollten zunächst universelle Bürgerdividenden, mittelfristig auch Beiträge zu Gesundheitsversorgung, Bildung und Wohnen finanziert werden. Der Bund würde im Gegenzug Stimmrechte und gleichberechtigte Vorstandssitze in den betroffenen Unternehmen erhalten, mit denen er als gemeinwohlschädlich eingestufte Entscheidungen blockieren könnte. Sanders begründet die Maßnahme im Konjunktiv damit, dass moderne KI auf öffentlich verfügbarer Information trainiert worden sei, „ohne Anerkennung, ohne Vergütung", weshalb der Allgemeinheit ein Anteil an den Erträgen zustehe. Bemerkenswert ist die Vorgeschichte: Sam Altman traf Sanders in der Woche vor der Einbringung in Washington und sprach öffentlich von einer „direct ownership stake" für die amerikanische Öffentlichkeit; Vorschläge der OpenAI-, Anthropic- und xAI-Führungen sind in der Begründung des Entwurfs ausdrücklich zitiert. Der Entwurf ist in einem republikanisch geführten Kongress chancenlos und wird in der konservativen Öffentlichkeit (Reason, Free Beacon) als „Verstaatlichung" kritisiert; für die Steuerdebatte ist er dennoch der bislang konkreteste US-bundesgesetzliche Versuch, Typ-4-Verschiebung (höhere Belastung der KI-Eigentümer­seite) und Typ-3-/§-5.4-Logik (zweckgebundene Beteiligung über einen Fonds) in einem einzigen Gesetzgebungsakt zu verschränken — und nimmt erstmals die in § 5.4 und § 8.3 entwickelte Architektur (Staatsfonds als Teilhabevehikel) konkret legislativ in den Blick. Eine fiskalisch-juristische Anschlussfähigkeit an europäische und deutsche Modelle ist gering, weil der Eingriff in das Aktieneigentum nach deutschem und unionsrechtlichem Maßstab am Maßstab von Art. 14 GG bzw. Art. 17 Grundrechtecharta nicht haltbar wäre; die </w:t>
      </w:r>
      <w:r>
        <w:rPr>
          <w:rFonts w:ascii="Arial" w:hAnsi="Arial"/>
          <w:b w:val="0"/>
          <w:i/>
          <w:sz w:val="19"/>
        </w:rPr>
        <w:t>Sichtbarkeit</w:t>
      </w:r>
      <w:r>
        <w:rPr>
          <w:rFonts w:ascii="Arial" w:hAnsi="Arial"/>
          <w:b w:val="0"/>
          <w:i w:val="0"/>
          <w:sz w:val="19"/>
        </w:rPr>
        <w:t xml:space="preserve"> der Teilhabelogik, die der Entwurf für die US-Debatte erstmals kodifiziert, ist jedoch für die Anschlussfähigkeit der in § 8.3 entwickelten Drei-Hebel-Architektur ein bedeutsamer Bezugspunkt.</w:t>
      </w:r>
    </w:p>
    <w:p>
      <w:pPr>
        <w:jc w:val="both"/>
      </w:pPr>
      <w:r>
        <w:rPr>
          <w:rFonts w:ascii="Arial" w:hAnsi="Arial"/>
          <w:b/>
          <w:i w:val="0"/>
          <w:sz w:val="19"/>
        </w:rPr>
        <w:t>Warren-Vorstoß (Mai/Juni 2026):</w:t>
      </w:r>
      <w:r>
        <w:rPr>
          <w:rFonts w:ascii="Arial" w:hAnsi="Arial"/>
          <w:b w:val="0"/>
          <w:i w:val="0"/>
          <w:sz w:val="19"/>
        </w:rPr>
        <w:t xml:space="preserve"> Parallel zu Sanders hat US-Senatorin Elizabeth Warren am 27. Mai 2026 einen eigenständigen AI-Steuer-Vorschlag vorgelegt, der konzeptionell anders ansetzt als der Sovereign-Wealth-Fund-Entwurf. Im Zentrum steht eine „angemessene" Verbrauchsteuer (</w:t>
      </w:r>
      <w:r>
        <w:rPr>
          <w:rFonts w:ascii="Arial" w:hAnsi="Arial"/>
          <w:b w:val="0"/>
          <w:i/>
          <w:sz w:val="19"/>
        </w:rPr>
        <w:t>excise tax</w:t>
      </w:r>
      <w:r>
        <w:rPr>
          <w:rFonts w:ascii="Arial" w:hAnsi="Arial"/>
          <w:b w:val="0"/>
          <w:i w:val="0"/>
          <w:sz w:val="19"/>
        </w:rPr>
        <w:t xml:space="preserve">) auf den Stromverbrauch großer Rechenzentren, skaliert mit der Betriebsgröße, sodass Hyperscaler und KI-Anbieter mit Billionen-Bewertung den größten Teil der Last tragen würden; flankierend will Warren ihren </w:t>
      </w:r>
      <w:r>
        <w:rPr>
          <w:rFonts w:ascii="Arial" w:hAnsi="Arial"/>
          <w:b w:val="0"/>
          <w:i/>
          <w:sz w:val="19"/>
        </w:rPr>
        <w:t>Ultra-Millionaire Tax Act of 2026</w:t>
      </w:r>
      <w:r>
        <w:rPr>
          <w:rFonts w:ascii="Arial" w:hAnsi="Arial"/>
          <w:b w:val="0"/>
          <w:i w:val="0"/>
          <w:sz w:val="19"/>
        </w:rPr>
        <w:t xml:space="preserve"> (Vermögensteuer ab 50 Millionen US-Dollar Privatvermögen) wiederbeleben. Das Aufkommen soll Beschäftigungsschutz, universelle Gesundheitsversorgung, Bildung und Arbeitslosenversicherung finanzieren. Die Begründungslinie folgt der Sanders-/OpenAI-Logik („Amerikaner verdienen einen Anteil am KI-Boom, der auf öffentlichen Ressourcen, menschlicher Kreativität und steuerfinanzierter Forschung beruht"), unterscheidet sich aber im Instrumentenwahl: Warren setzt auf eine </w:t>
      </w:r>
      <w:r>
        <w:rPr>
          <w:rFonts w:ascii="Arial" w:hAnsi="Arial"/>
          <w:b w:val="0"/>
          <w:i/>
          <w:sz w:val="19"/>
        </w:rPr>
        <w:t>fiskalische</w:t>
      </w:r>
      <w:r>
        <w:rPr>
          <w:rFonts w:ascii="Arial" w:hAnsi="Arial"/>
          <w:b w:val="0"/>
          <w:i w:val="0"/>
          <w:sz w:val="19"/>
        </w:rPr>
        <w:t xml:space="preserve"> Anknüpfung an einen messbaren physischen Bezugspunkt (Rechenzentrums-Energie) und eine </w:t>
      </w:r>
      <w:r>
        <w:rPr>
          <w:rFonts w:ascii="Arial" w:hAnsi="Arial"/>
          <w:b w:val="0"/>
          <w:i/>
          <w:sz w:val="19"/>
        </w:rPr>
        <w:t>vermögensbezogene</w:t>
      </w:r>
      <w:r>
        <w:rPr>
          <w:rFonts w:ascii="Arial" w:hAnsi="Arial"/>
          <w:b w:val="0"/>
          <w:i w:val="0"/>
          <w:sz w:val="19"/>
        </w:rPr>
        <w:t xml:space="preserve"> Bereicherungssteuer, statt — wie Sanders — auf eine eigentumsrechtliche Übertragung von Aktien. Für die deutsche und europäische Steuerdebatte ist Warrens Energie-Excise-Vorschlag interessanter als das Sovereign-Wealth-Fund-Konzept, weil er an einem messbaren Standortmerkmal ansetzt und in der bestehenden Verbrauchsteuersystematik (Mineralöl-, Strom-, Energie-Steuer) anschlussfähig wäre; aufkommensseitig würde er allerdings primär dort Erträge generieren, wo Rechenzentren physisch betrieben werden — also primär in den USA — und damit das Anliegen einer fiskalischen Teilhabe an </w:t>
      </w:r>
      <w:r>
        <w:rPr>
          <w:rFonts w:ascii="Arial" w:hAnsi="Arial"/>
          <w:b w:val="0"/>
          <w:i/>
          <w:sz w:val="19"/>
        </w:rPr>
        <w:t>importierter</w:t>
      </w:r>
      <w:r>
        <w:rPr>
          <w:rFonts w:ascii="Arial" w:hAnsi="Arial"/>
          <w:b w:val="0"/>
          <w:i w:val="0"/>
          <w:sz w:val="19"/>
        </w:rPr>
        <w:t xml:space="preserve"> KI-Wertschöpfung nicht lösen.</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und Gouverneur Ned Lamont hat </w:t>
      </w:r>
      <w:r>
        <w:rPr>
          <w:rFonts w:ascii="Arial" w:hAnsi="Arial"/>
          <w:b w:val="0"/>
          <w:i/>
          <w:sz w:val="19"/>
        </w:rPr>
        <w:t>SB 5</w:t>
      </w:r>
      <w:r>
        <w:rPr>
          <w:rFonts w:ascii="Arial" w:hAnsi="Arial"/>
          <w:b w:val="0"/>
          <w:i w:val="0"/>
          <w:sz w:val="19"/>
        </w:rPr>
        <w:t xml:space="preserve"> am 2. Juni 2026 als </w:t>
      </w:r>
      <w:r>
        <w:rPr>
          <w:rFonts w:ascii="Arial" w:hAnsi="Arial"/>
          <w:b w:val="0"/>
          <w:i/>
          <w:sz w:val="19"/>
        </w:rPr>
        <w:t>Public Act 26-15</w:t>
      </w:r>
      <w:r>
        <w:rPr>
          <w:rFonts w:ascii="Arial" w:hAnsi="Arial"/>
          <w:b w:val="0"/>
          <w:i w:val="0"/>
          <w:sz w:val="19"/>
        </w:rPr>
        <w:t xml:space="preserve"> — </w:t>
      </w:r>
      <w:r>
        <w:rPr>
          <w:rFonts w:ascii="Arial" w:hAnsi="Arial"/>
          <w:b w:val="0"/>
          <w:i/>
          <w:sz w:val="19"/>
        </w:rPr>
        <w:t>Connecticut Artificial Intelligence Responsibility and Transparency Act</w:t>
      </w:r>
      <w:r>
        <w:rPr>
          <w:rFonts w:ascii="Arial" w:hAnsi="Arial"/>
          <w:b w:val="0"/>
          <w:i w:val="0"/>
          <w:sz w:val="19"/>
        </w:rPr>
        <w:t xml:space="preserve"> („CART Act") — unterzeichnet; das Gesetz tritt in einer gestaffelten Geltungsdaten-Architektur zwischen Oktober 2026 und Januar 2028 in Kraft.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US Senate, 119th Congress / Sanders, B. (1. Juni 2026). </w:t>
      </w:r>
      <w:r>
        <w:rPr>
          <w:rFonts w:ascii="Arial" w:hAnsi="Arial"/>
          <w:b w:val="0"/>
          <w:i/>
          <w:sz w:val="19"/>
        </w:rPr>
        <w:t>American AI Sovereign Wealth Fund Act.</w:t>
      </w:r>
      <w:r>
        <w:rPr>
          <w:rFonts w:ascii="Arial" w:hAnsi="Arial"/>
          <w:b w:val="0"/>
          <w:i w:val="0"/>
          <w:sz w:val="19"/>
        </w:rPr>
        <w:t xml:space="preserve"> Gesetzentwurf für eine einmalige Übertragung von 50 % der Aktienanteile führender US-KI-Unternehmen (OpenAI, Anthropic, xAI) in einen bundesseitig verwalteten Staatsfonds; Bürgerdividenden und Finanzierung von Gesundheit, Bildung, Wohnen; Stimmrechte und Vorstandssitze für den Bund. Berichterstattung: The Hill, Fox Business, Fortune, Law News, World Socialist Web Site, Reason. https://thehill.com/policy/technology/5906140-sanders-ai-ownership-wealth/ | https://www.foxbusiness.com/politics/sanders-unveils-plan-take-50-stake-ai-companies-government-wealth-fund | https://fortune.com/2026/06/03/bernie-sanders-ai-ownership-sovereign-wealth-fund-electrification/ | https://www.lawnews.co.uk/legal-news/sanders-introduces-ai-sovereign-wealth-fund-bill-in-the-senate/ | https://reason.com/2026/06/02/bernie-sanders-ai-wealth-fund-bill-shows-that-he-doesnt-understand-ai-or-wealth/</w:t>
      </w:r>
    </w:p>
    <w:p>
      <w:pPr>
        <w:jc w:val="both"/>
      </w:pPr>
      <w:r>
        <w:rPr>
          <w:rFonts w:ascii="Arial" w:hAnsi="Arial"/>
          <w:b w:val="0"/>
          <w:i w:val="0"/>
          <w:sz w:val="19"/>
        </w:rPr>
        <w:t xml:space="preserve">Warren, E. / US Senate. (27. Mai / 3. Juni 2026). </w:t>
      </w:r>
      <w:r>
        <w:rPr>
          <w:rFonts w:ascii="Arial" w:hAnsi="Arial"/>
          <w:b w:val="0"/>
          <w:i/>
          <w:sz w:val="19"/>
        </w:rPr>
        <w:t>Proposal for an AI Excise Tax on Data-Center Energy Consumption and revival of the Ultra-Millionaire Tax Act of 2026.</w:t>
      </w:r>
      <w:r>
        <w:rPr>
          <w:rFonts w:ascii="Arial" w:hAnsi="Arial"/>
          <w:b w:val="0"/>
          <w:i w:val="0"/>
          <w:sz w:val="19"/>
        </w:rPr>
        <w:t xml:space="preserve"> Berichterstattung: Axios, The Hill, Benzinga, TechSpot, CNBC. https://www.axios.com/2026/05/27/elizabeth-warren-tax-ai-companies-benefit-americans | https://thehill.com/homenews/senate/5898081-warren-proposes-ai-tax/ | https://www.benzinga.com/news/politics/26/06/53050170/elizabeth-warren-americans-deserve-share-of-ai-bounty-big-tech-billions | https://www.techspot.com/news/112549-elizabeth-warren-wants-tax-ai-data-centers-power.html | https://www.cnbc.com/video/2026/06/03/sen-elizabeth-warren-on-calls-for-ai-tax-details-of-her-two-cent-wealth-tax-proposal.html</w:t>
      </w:r>
    </w:p>
    <w:p>
      <w:pPr>
        <w:jc w:val="both"/>
      </w:pPr>
      <w:r>
        <w:rPr>
          <w:rFonts w:ascii="Arial" w:hAnsi="Arial"/>
          <w:b w:val="0"/>
          <w:i w:val="0"/>
          <w:sz w:val="19"/>
        </w:rPr>
        <w:t xml:space="preserve">Connecticut General Assembly / Office of the Governor of Connecticut. (2. Juni 2026). </w:t>
      </w:r>
      <w:r>
        <w:rPr>
          <w:rFonts w:ascii="Arial" w:hAnsi="Arial"/>
          <w:b w:val="0"/>
          <w:i/>
          <w:sz w:val="19"/>
        </w:rPr>
        <w:t>Public Act 26-15 — Connecticut Artificial Intelligence Responsibility and Transparency Act (CART Act); Governor Ned Lamont signs SB 5.</w:t>
      </w:r>
      <w:r>
        <w:rPr>
          <w:rFonts w:ascii="Arial" w:hAnsi="Arial"/>
          <w:b w:val="0"/>
          <w:i w:val="0"/>
          <w:sz w:val="19"/>
        </w:rPr>
        <w:t xml:space="preserve"> Gestaffelte Geltungsdaten Oktober 2026 bis Januar 2028. Pressemitteilung des Gouverneursbüros, Ropes &amp; Gray, DLA Piper, FPF, Transparency Coalition for AI. https://portal.ct.gov/governor/news/press-releases/2026/06-2026/governor-lamont-signs-legislation-establishing-youth-online-safety-protections | https://www.ropesgray.com/en/insights/alerts/2026/06/connecticut-enacts-sweeping-ai-law-covering-employment-healthcare-and-online-safety | https://www.dlapiper.com/en-us/insights/publications/2026/05/unpacking-connecticuts-new-ai-law | https://fpf.org/blog/sb-5-in-five-what-to-know-about-connecticuts-new-ai-law/</w:t>
      </w:r>
    </w:p>
    <w:p>
      <w:pPr>
        <w:jc w:val="both"/>
      </w:pPr>
      <w:r>
        <w:rPr>
          <w:rFonts w:ascii="Arial" w:hAnsi="Arial"/>
          <w:b w:val="0"/>
          <w:i w:val="0"/>
          <w:sz w:val="19"/>
        </w:rPr>
        <w:t xml:space="preserve">GitLab / The Stack / The Next Web / The HR Digest. (2. Juni 2026). </w:t>
      </w:r>
      <w:r>
        <w:rPr>
          <w:rFonts w:ascii="Arial" w:hAnsi="Arial"/>
          <w:b w:val="0"/>
          <w:i/>
          <w:sz w:val="19"/>
        </w:rPr>
        <w:t>GitLab cuts ~14 % of workforce (≈350 FTE); exits 22 countries; R&amp;D split into ~60 autonomous teams for the „agentic era"; restructuring charge USD 30–35 m; share −8 % after hours.</w:t>
      </w:r>
      <w:r>
        <w:rPr>
          <w:rFonts w:ascii="Arial" w:hAnsi="Arial"/>
          <w:b w:val="0"/>
          <w:i w:val="0"/>
          <w:sz w:val="19"/>
        </w:rPr>
        <w:t xml:space="preserve"> Sammelberichterstattung. https://www.thestack.technology/gitlab-layoffs-architecture-overhaul-agents-ai/ | https://thenextweb.com/news/gitlab-cuts-7-of-workforce-and-flattens-management-in-sweeping-agentic-era-restructuring | https://www.thehrdigest.com/agentic-ai-ambitions-strike-again-as-gitlab-announces-layoffs-for-2026/ | https://www.theworkersrights.com/gitlab-layoffs-2026/</w:t>
      </w:r>
    </w:p>
    <w:p>
      <w:pPr>
        <w:jc w:val="both"/>
      </w:pPr>
      <w:r>
        <w:rPr>
          <w:rFonts w:ascii="Arial" w:hAnsi="Arial"/>
          <w:b w:val="0"/>
          <w:i w:val="0"/>
          <w:sz w:val="19"/>
        </w:rPr>
        <w:t xml:space="preserve">TechCrunch / IBTimes / TechTimes / Futunn / DesignRush. (2./3. Juni 2026). </w:t>
      </w:r>
      <w:r>
        <w:rPr>
          <w:rFonts w:ascii="Arial" w:hAnsi="Arial"/>
          <w:b w:val="0"/>
          <w:i/>
          <w:sz w:val="19"/>
        </w:rPr>
        <w:t>Uber caps employee AI spending after blowing through budget in 4 months / Uber Cut 23% of Its HR Staff Days After Blowing Through Its Entire AI Budget / Uber Technologies advances cost reduction / Uber's 2026 AI Budget Ran Out After Claude Code Took Over.</w:t>
      </w:r>
      <w:r>
        <w:rPr>
          <w:rFonts w:ascii="Arial" w:hAnsi="Arial"/>
          <w:b w:val="0"/>
          <w:i w:val="0"/>
          <w:sz w:val="19"/>
        </w:rPr>
        <w:t xml:space="preserve"> CTO Praveen Neppalli Naga, AI-Tool-Adoption von 32 auf 84 % zwischen November 2025 und Februar 2026, monatliche Per-Engineer-Spend-Grenze 1.500 USD für Claude Code / Cursor; Streichungen rund 23 % der „People and Places"-Abteilung. https://techcrunch.com/2026/06/02/uber-caps-employee-ai-spending-after-blowing-through-budget-in-four-months/ | https://www.ibtimes.co.uk/uber-ai-budget-job-cuts-1801340 | https://www.techtimes.com/articles/317842/20260605/uber-cuts-23-hr-staff-new-president-denies-ai-role-95-engineers-use-it-daily.htm | https://news.designrush.com/uber-2026-ai-budget-claude-code-token-spend</w:t>
      </w:r>
    </w:p>
    <w:p>
      <w:pPr>
        <w:jc w:val="both"/>
      </w:pPr>
      <w:r>
        <w:rPr>
          <w:rFonts w:ascii="Arial" w:hAnsi="Arial"/>
          <w:b w:val="0"/>
          <w:i w:val="0"/>
          <w:sz w:val="19"/>
        </w:rPr>
        <w:t xml:space="preserve">TrueUp / SkillSyncer. (5./12. Juni 2026). </w:t>
      </w:r>
      <w:r>
        <w:rPr>
          <w:rFonts w:ascii="Arial" w:hAnsi="Arial"/>
          <w:b w:val="0"/>
          <w:i/>
          <w:sz w:val="19"/>
        </w:rPr>
        <w:t>Tech Layoffs Tracker — TrueUp 149.935 Personen aus 363 Layoff-Meldungen zum 5. Juni 2026 (rund 974 Personen pro Tag); SkillSyncer 183.966 Personen aus 247 Layoff-Ereignissen zum 12. Juni 2026 (rund 1.129 Personen pro Tag); 55 % der 2026-Ereignisse explizit KI-/Automatisierungs-bezogen — 152.415 Beschäftigte aus 135 Unternehmen.</w:t>
      </w:r>
      <w:r>
        <w:rPr>
          <w:rFonts w:ascii="Arial" w:hAnsi="Arial"/>
          <w:b w:val="0"/>
          <w:i w:val="0"/>
          <w:sz w:val="19"/>
        </w:rPr>
        <w:t xml:space="preserve"> https://www.trueup.io/layoffs | https://skillsyncer.com/layoffs-tracker | https://www.techtimes.com/articles/317848/20260605/tech-layoffs-2026-hit-149935-uber-cuts-hr-days-after-ai-drained-its-coding-budget.htm</w:t>
      </w:r>
    </w:p>
    <w:p>
      <w:pPr>
        <w:jc w:val="both"/>
      </w:pPr>
      <w:r>
        <w:rPr>
          <w:rFonts w:ascii="Arial" w:hAnsi="Arial"/>
          <w:b w:val="0"/>
          <w:i w:val="0"/>
          <w:sz w:val="19"/>
        </w:rPr>
        <w:t xml:space="preserve">Council of the EU / European Parliament. (7. Mai 2026). </w:t>
      </w:r>
      <w:r>
        <w:rPr>
          <w:rFonts w:ascii="Arial" w:hAnsi="Arial"/>
          <w:b w:val="0"/>
          <w:i/>
          <w:sz w:val="19"/>
        </w:rPr>
        <w:t>Artificial Intelligence: Council and Parliament agree to simplify and streamline rules — provisional agreement on the Digital Omnibus on AI.</w:t>
      </w:r>
      <w:r>
        <w:rPr>
          <w:rFonts w:ascii="Arial" w:hAnsi="Arial"/>
          <w:b w:val="0"/>
          <w:i w:val="0"/>
          <w:sz w:val="19"/>
        </w:rPr>
        <w:t xml:space="preserve"> Verlängerung Hochrisiko-Compliance (Anhang III 2. Dezember 2027; Anhang I 2. August 2028), Wasserzeichen­pflicht bis 2. Dezember 2026, neuer Art. 5-Tatbestand zu </w:t>
      </w:r>
      <w:r>
        <w:rPr>
          <w:rFonts w:ascii="Arial" w:hAnsi="Arial"/>
          <w:b w:val="0"/>
          <w:i/>
          <w:sz w:val="19"/>
        </w:rPr>
        <w:t>Nudification</w:t>
      </w:r>
      <w:r>
        <w:rPr>
          <w:rFonts w:ascii="Arial" w:hAnsi="Arial"/>
          <w:b w:val="0"/>
          <w:i w:val="0"/>
          <w:sz w:val="19"/>
        </w:rPr>
        <w:t>/CSAM, AI Office als Aufsicht über AI-Systeme auf GPAI-Modellen desselben Anbieters bzw. in DSA-pflichtigen Plattformen. Kanzlei- und Fachanalysen: Consilium, DLA Piper, White &amp; Case, Bird &amp; Bird, Gibson Dunn, Hogan Lovells, Taylor Wessing, Mishcon, William Fry, Verify­Wise. https://www.consilium.europa.eu/en/press/press-releases/2026/05/07/artificial-intelligence-council-and-parliament-agree-to-simplify-and-streamline-rules/ | https://www.dlapiper.com/en-us/insights/publications/2026/06/eu-bodies-reach-provisional-agreement-on-ai-act-key-points-for-organizations | https://www.whitecase.com/insight-alert/eu-agrees-digital-omnibus-deal-simplify-ai-rules | https://www.twobirds.com/en/insights/2026/digital-omnibus-on-ai-provisional-agreement-reached-at-the-may-trilogue | https://www.gibsondunn.com/eu-ai-act-omnibus-agreement-postponed-high-risk-deadlines-and-other-key-changes/</w:t>
      </w:r>
    </w:p>
    <w:p>
      <w:pPr>
        <w:jc w:val="both"/>
      </w:pPr>
      <w:r>
        <w:rPr>
          <w:rFonts w:ascii="Arial" w:hAnsi="Arial"/>
          <w:b w:val="0"/>
          <w:i w:val="0"/>
          <w:sz w:val="19"/>
        </w:rPr>
        <w:t xml:space="preserve">Deutscher Bundestag / Bundesregierung / activeMind.legal. (11. Juni 2026). </w:t>
      </w:r>
      <w:r>
        <w:rPr>
          <w:rFonts w:ascii="Arial" w:hAnsi="Arial"/>
          <w:b w:val="0"/>
          <w:i/>
          <w:sz w:val="19"/>
        </w:rPr>
        <w:t>Beschluss zum Gesetz zur Durchführung der KI-Verordnung (KI-MIG); Bundesnetzagentur als zentrale Marktüberwachungsbehörde; Bundesrat-Zustimmung ausstehend.</w:t>
      </w:r>
      <w:r>
        <w:rPr>
          <w:rFonts w:ascii="Arial" w:hAnsi="Arial"/>
          <w:b w:val="0"/>
          <w:i w:val="0"/>
          <w:sz w:val="19"/>
        </w:rPr>
        <w:t xml:space="preserve"> https://www.bundestag.de/dokumente/textarchiv/2026/kw24-de-ki-1183820 | https://www.bundesregierung.de/breg-de/aktuelles/umsetzung-ki-verordnung-2406638 | https://bmds.bund.de/service/gesetzgebungsverfahren/gesetz-zur-durchfuehrung-der-ki-verordnung | https://www.activemind.legal/de/guides/ki-mig/</w:t>
      </w:r>
    </w:p>
    <w:p>
      <w:pPr>
        <w:jc w:val="both"/>
      </w:pPr>
      <w:r>
        <w:rPr>
          <w:rFonts w:ascii="Arial" w:hAnsi="Arial"/>
          <w:b/>
          <w:i w:val="0"/>
          <w:sz w:val="19"/>
        </w:rPr>
        <w:t>Hinweis zur Aktualität:</w:t>
      </w:r>
      <w:r>
        <w:rPr>
          <w:rFonts w:ascii="Arial" w:hAnsi="Arial"/>
          <w:b w:val="0"/>
          <w:i w:val="0"/>
          <w:sz w:val="19"/>
        </w:rPr>
        <w:t xml:space="preserve"> Dieses Arbeitspapier gibt den Stand Mitte Juni 2026 (Schnitt am 13. Juni 2026 — Lauf 002 vom 13. Juni 2026) wieder. Neu eingearbeitet sind insbesondere: die am 7. Mai 2026 erzielte vorläufige politische Einigung von Parlament und Rat zum </w:t>
      </w:r>
      <w:r>
        <w:rPr>
          <w:rFonts w:ascii="Arial" w:hAnsi="Arial"/>
          <w:b w:val="0"/>
          <w:i/>
          <w:sz w:val="19"/>
        </w:rPr>
        <w:t>Digital Omnibus on AI</w:t>
      </w:r>
      <w:r>
        <w:rPr>
          <w:rFonts w:ascii="Arial" w:hAnsi="Arial"/>
          <w:b w:val="0"/>
          <w:i w:val="0"/>
          <w:sz w:val="19"/>
        </w:rPr>
        <w:t xml:space="preserve"> (Anhang III 2. Dezember 2027, Anhang I 2. August 2028; Wasserzeichen­pflicht bis 2. Dezember 2026; AI-Office-Aufsicht für GPAI-/DSA-eingebettete Systeme; </w:t>
      </w:r>
      <w:r>
        <w:rPr>
          <w:rFonts w:ascii="Arial" w:hAnsi="Arial"/>
          <w:b w:val="0"/>
          <w:i/>
          <w:sz w:val="19"/>
        </w:rPr>
        <w:t>Nudification</w:t>
      </w:r>
      <w:r>
        <w:rPr>
          <w:rFonts w:ascii="Arial" w:hAnsi="Arial"/>
          <w:b w:val="0"/>
          <w:i w:val="0"/>
          <w:sz w:val="19"/>
        </w:rPr>
        <w:t xml:space="preserve">/CSAM-Prohibition als neuer Art. 5-Tatbestand); der am 1. Juni 2026 von US-Senator Bernie Sanders eingebrachte </w:t>
      </w:r>
      <w:r>
        <w:rPr>
          <w:rFonts w:ascii="Arial" w:hAnsi="Arial"/>
          <w:b w:val="0"/>
          <w:i/>
          <w:sz w:val="19"/>
        </w:rPr>
        <w:t>American AI Sovereign Wealth Fund Act</w:t>
      </w:r>
      <w:r>
        <w:rPr>
          <w:rFonts w:ascii="Arial" w:hAnsi="Arial"/>
          <w:b w:val="0"/>
          <w:i w:val="0"/>
          <w:sz w:val="19"/>
        </w:rPr>
        <w:t xml:space="preserve"> (einmaliger 50-%-Aktientransfer von OpenAI, Anthropic, xAI in einen bundesseitig verwalteten Staatsfonds mit Bürgerdividenden und Vorstandssitzen); der parallele Warren-Vorschlag (27. Mai / 3. Juni 2026) einer KI-Excise auf Rechenzentrums-Energie und einer wiederbelebten </w:t>
      </w:r>
      <w:r>
        <w:rPr>
          <w:rFonts w:ascii="Arial" w:hAnsi="Arial"/>
          <w:b w:val="0"/>
          <w:i/>
          <w:sz w:val="19"/>
        </w:rPr>
        <w:t>Ultra-Millionaire Tax Act of 2026</w:t>
      </w:r>
      <w:r>
        <w:rPr>
          <w:rFonts w:ascii="Arial" w:hAnsi="Arial"/>
          <w:b w:val="0"/>
          <w:i w:val="0"/>
          <w:sz w:val="19"/>
        </w:rPr>
        <w:t xml:space="preserve">; die Unterzeichnung von </w:t>
      </w:r>
      <w:r>
        <w:rPr>
          <w:rFonts w:ascii="Arial" w:hAnsi="Arial"/>
          <w:b w:val="0"/>
          <w:i/>
          <w:sz w:val="19"/>
        </w:rPr>
        <w:t>Connecticut SB 5</w:t>
      </w:r>
      <w:r>
        <w:rPr>
          <w:rFonts w:ascii="Arial" w:hAnsi="Arial"/>
          <w:b w:val="0"/>
          <w:i w:val="0"/>
          <w:sz w:val="19"/>
        </w:rPr>
        <w:t xml:space="preserve"> als </w:t>
      </w:r>
      <w:r>
        <w:rPr>
          <w:rFonts w:ascii="Arial" w:hAnsi="Arial"/>
          <w:b w:val="0"/>
          <w:i/>
          <w:sz w:val="19"/>
        </w:rPr>
        <w:t>Public Act 26-15</w:t>
      </w:r>
      <w:r>
        <w:rPr>
          <w:rFonts w:ascii="Arial" w:hAnsi="Arial"/>
          <w:b w:val="0"/>
          <w:i w:val="0"/>
          <w:sz w:val="19"/>
        </w:rPr>
        <w:t xml:space="preserve"> (</w:t>
      </w:r>
      <w:r>
        <w:rPr>
          <w:rFonts w:ascii="Arial" w:hAnsi="Arial"/>
          <w:b w:val="0"/>
          <w:i/>
          <w:sz w:val="19"/>
        </w:rPr>
        <w:t>CART Act</w:t>
      </w:r>
      <w:r>
        <w:rPr>
          <w:rFonts w:ascii="Arial" w:hAnsi="Arial"/>
          <w:b w:val="0"/>
          <w:i w:val="0"/>
          <w:sz w:val="19"/>
        </w:rPr>
        <w:t xml:space="preserve">) durch Gouverneur Lamont am 2. Juni 2026; der am 11. Juni 2026 vom Deutschen Bundestag beschlossene KI-MIG mit der Bundesnetzagentur als zentraler Marktüberwachungsbehörde (Bundesrat-Zustimmung ausstehend); die Cluster-F-Layoff-Welle Juni 2026 mit </w:t>
      </w:r>
      <w:r>
        <w:rPr>
          <w:rFonts w:ascii="Arial" w:hAnsi="Arial"/>
          <w:b w:val="0"/>
          <w:i/>
          <w:sz w:val="19"/>
        </w:rPr>
        <w:t>GitLab</w:t>
      </w:r>
      <w:r>
        <w:rPr>
          <w:rFonts w:ascii="Arial" w:hAnsi="Arial"/>
          <w:b w:val="0"/>
          <w:i w:val="0"/>
          <w:sz w:val="19"/>
        </w:rPr>
        <w:t xml:space="preserve"> (2. Juni 2026, ≈350 FTE, 14 %, Rückzug aus 22 Ländern, R&amp;D-Aufgliederung in ≈60 autonome Teams, Restrukturierungsaufwand 30–35 Mio. USD) und </w:t>
      </w:r>
      <w:r>
        <w:rPr>
          <w:rFonts w:ascii="Arial" w:hAnsi="Arial"/>
          <w:b w:val="0"/>
          <w:i/>
          <w:sz w:val="19"/>
        </w:rPr>
        <w:t>Uber</w:t>
      </w:r>
      <w:r>
        <w:rPr>
          <w:rFonts w:ascii="Arial" w:hAnsi="Arial"/>
          <w:b w:val="0"/>
          <w:i w:val="0"/>
          <w:sz w:val="19"/>
        </w:rPr>
        <w:t xml:space="preserve"> (3. Juni 2026, ≈23 % der „People and Places"-Abteilung; KI-Coding-Budget binnen vier Monaten durch </w:t>
      </w:r>
      <w:r>
        <w:rPr>
          <w:rFonts w:ascii="Arial" w:hAnsi="Arial"/>
          <w:b w:val="0"/>
          <w:i/>
          <w:sz w:val="19"/>
        </w:rPr>
        <w:t>Anthropic Claude Code</w:t>
      </w:r>
      <w:r>
        <w:rPr>
          <w:rFonts w:ascii="Arial" w:hAnsi="Arial"/>
          <w:b w:val="0"/>
          <w:i w:val="0"/>
          <w:sz w:val="19"/>
        </w:rPr>
        <w:t xml:space="preserve"> und </w:t>
      </w:r>
      <w:r>
        <w:rPr>
          <w:rFonts w:ascii="Arial" w:hAnsi="Arial"/>
          <w:b w:val="0"/>
          <w:i/>
          <w:sz w:val="19"/>
        </w:rPr>
        <w:t>Cursor</w:t>
      </w:r>
      <w:r>
        <w:rPr>
          <w:rFonts w:ascii="Arial" w:hAnsi="Arial"/>
          <w:b w:val="0"/>
          <w:i w:val="0"/>
          <w:sz w:val="19"/>
        </w:rPr>
        <w:t xml:space="preserve"> aufgebraucht — Adoption unter Ingenieuren November 2025 bis Februar 2026 von 32 auf 84 %, monatliche Per-Engineer-Spend-Grenze 1.500 USD); die fortgeschriebenen Tech-Layoff-Trackerstände </w:t>
      </w:r>
      <w:r>
        <w:rPr>
          <w:rFonts w:ascii="Arial" w:hAnsi="Arial"/>
          <w:b w:val="0"/>
          <w:i/>
          <w:sz w:val="19"/>
        </w:rPr>
        <w:t>TrueUp</w:t>
      </w:r>
      <w:r>
        <w:rPr>
          <w:rFonts w:ascii="Arial" w:hAnsi="Arial"/>
          <w:b w:val="0"/>
          <w:i w:val="0"/>
          <w:sz w:val="19"/>
        </w:rPr>
        <w:t xml:space="preserve"> 149.935 Personen aus 363 Layoff-Meldungen zum 5. Juni 2026 (rund 974/Tag) und </w:t>
      </w:r>
      <w:r>
        <w:rPr>
          <w:rFonts w:ascii="Arial" w:hAnsi="Arial"/>
          <w:b w:val="0"/>
          <w:i/>
          <w:sz w:val="19"/>
        </w:rPr>
        <w:t>SkillSyncer</w:t>
      </w:r>
      <w:r>
        <w:rPr>
          <w:rFonts w:ascii="Arial" w:hAnsi="Arial"/>
          <w:b w:val="0"/>
          <w:i w:val="0"/>
          <w:sz w:val="19"/>
        </w:rPr>
        <w:t xml:space="preserve"> 183.966 Personen aus 247 Layoff-Ereignissen zum 12. Juni 2026 (rund 1.129/Tag), mit erstmals quantifiziertem Anteil KI-getriebener Restrukturierungen von rund 55 % (152.415 Beschäftigte aus 135 Unternehmen). Die Debatte entwickelt sich weiterhin dynamisch, insbesondere im Zuge der OpenAI-Strategiepapiere und der Eröffnung des OpenAI Workshop in Washington, D.C. im Mai 2026, der parlamentarischen Behandlung des GKV-Beitragssatzstabilisierungsgesetzes (Erstdurchgang Bundesrat 8. Mai 2026, Bundestags­lesungen im Mai/Juni 2026), der ausstehenden formellen Annahme des Digital-Omnibus-Pakets durch das Plenum im Juni 2026, des bevorstehenden </w:t>
      </w:r>
      <w:r>
        <w:rPr>
          <w:rFonts w:ascii="Arial" w:hAnsi="Arial"/>
          <w:b w:val="0"/>
          <w:i/>
          <w:sz w:val="19"/>
        </w:rPr>
        <w:t>Microsoft-VRSAR</w:t>
      </w:r>
      <w:r>
        <w:rPr>
          <w:rFonts w:ascii="Arial" w:hAnsi="Arial"/>
          <w:b w:val="0"/>
          <w:i w:val="0"/>
          <w:sz w:val="19"/>
        </w:rPr>
        <w:t xml:space="preserve">-Zyklus (Annahmefrist 8. Juni 2026, VRSAR-Unterzeichnung 9.–22. Juni 2026, </w:t>
      </w:r>
      <w:r>
        <w:rPr>
          <w:rFonts w:ascii="Arial" w:hAnsi="Arial"/>
          <w:b w:val="0"/>
          <w:i/>
          <w:sz w:val="19"/>
        </w:rPr>
        <w:t>Separation Date</w:t>
      </w:r>
      <w:r>
        <w:rPr>
          <w:rFonts w:ascii="Arial" w:hAnsi="Arial"/>
          <w:b w:val="0"/>
          <w:i w:val="0"/>
          <w:sz w:val="19"/>
        </w:rPr>
        <w:t xml:space="preserve"> 2. Juli 2026), der ausstehenden Bundesrat-Zustimmung zum KI-MIG, des im Sejm anhängigen Abgeordnetenentwurfs zur Anhebung der polnischen </w:t>
      </w:r>
      <w:r>
        <w:rPr>
          <w:rFonts w:ascii="Arial" w:hAnsi="Arial"/>
          <w:b w:val="0"/>
          <w:i/>
          <w:sz w:val="19"/>
        </w:rPr>
        <w:t>ulga na robotyzację</w:t>
      </w:r>
      <w:r>
        <w:rPr>
          <w:rFonts w:ascii="Arial" w:hAnsi="Arial"/>
          <w:b w:val="0"/>
          <w:i w:val="0"/>
          <w:sz w:val="19"/>
        </w:rPr>
        <w:t xml:space="preserve"> auf 100 %, der weiterhin ausstehenden Eckpunktepapier-Vorlage zur deutschen Plattform-Digitalabgabe (Weimer) sowie der laufenden Beobachtung der Tech-Layoff-Tracker und KI-Capex-Programme.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