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101.0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sz w:val="19"/>
        </w:rPr>
        <w:t>Nachtrag (Trackerstände 18. September 2026) — die Abwärtsrevision bleibt ein Einzelfall, und ein Zählwerk beziffert erstmals seine eigene Erfassungsquote:</w:t>
      </w:r>
      <w:r>
        <w:rPr>
          <w:rFonts w:ascii="Arial" w:hAnsi="Arial"/>
          <w:b w:val="0"/>
          <w:i w:val="0"/>
          <w:sz w:val="19"/>
        </w:rPr>
        <w:t xml:space="preserve"> Der Abgleich ist am Folgetag nach derselben Verfahrensregel wiederholt worden. Der am Vortag beobachtete Rückgang des Jahresbestandes setzt sich nicht fort: </w:t>
      </w:r>
      <w:r>
        <w:rPr>
          <w:rFonts w:ascii="Arial" w:hAnsi="Arial"/>
          <w:b w:val="0"/>
          <w:i/>
          <w:sz w:val="19"/>
        </w:rPr>
        <w:t>AskTheRecruiter</w:t>
      </w:r>
      <w:r>
        <w:rPr>
          <w:rFonts w:ascii="Arial" w:hAnsi="Arial"/>
          <w:b w:val="0"/>
          <w:i w:val="0"/>
          <w:sz w:val="19"/>
        </w:rPr>
        <w:t xml:space="preserve"> weist zum 18. September 2026 wieder 630.820 belegte Streichungen für 2026 aus, 1.001 mehr als am Vortag, davon 589.570 bereits wirksam und 41.250 mit künftigem Wirksamkeitsdatum; die Summenprobe geht erneut exakt auf (589.570 + 41.250 = 630.820). Die Revision hat sich binnen eines weiteren Tages in die </w:t>
      </w:r>
      <w:r>
        <w:rPr>
          <w:rFonts w:ascii="Arial" w:hAnsi="Arial"/>
          <w:b w:val="0"/>
          <w:i/>
          <w:sz w:val="19"/>
        </w:rPr>
        <w:t>angekündigte</w:t>
      </w:r>
      <w:r>
        <w:rPr>
          <w:rFonts w:ascii="Arial" w:hAnsi="Arial"/>
          <w:b w:val="0"/>
          <w:i w:val="0"/>
          <w:sz w:val="19"/>
        </w:rPr>
        <w:t xml:space="preserve"> Zählstufe verlagert: Diese sinkt von 477.649 auf 473.699, der zusammengefasste Stand beider Stufen von 1.107.468 auf 1.104.519. Die strenge KI-Zuschreibung steigt um acht auf 66.861, die angekündigte bleibt bei 47.883, die weit gefasste Kennzahl steigt gleichfalls um acht auf 123.459; die Zahl meldender Unternehmen wächst erneut um zehn auf 3.127. Zwei interne Unstimmigkeiten derselben Seite sind dabei bezifferbar: Die Übersichtstabelle nennt für das laufende Jahr 604.622 Betroffene gegenüber der Leitkennzahl von 630.820 — eine unerläuterte Differenz von 26.198, die gegenüber dem Vortag (24.074) gewachsen ist —, und sie führt die weit gefasste KI-Kennzahl in sämtlichen Spalten mit genau denselben Werten wie die strenge, während der Kennzahlenblock derselben Seite 123.459 gegenüber 66.861 ausweist. Beide Beobachtungen sind hier vermerkt, aber nicht als Kennzahl weiterverwendet. Die beiden anderen Zählwerke stehen weiter still: </w:t>
      </w:r>
      <w:r>
        <w:rPr>
          <w:rFonts w:ascii="Arial" w:hAnsi="Arial"/>
          <w:b w:val="0"/>
          <w:i/>
          <w:sz w:val="19"/>
        </w:rPr>
        <w:t>SkillSyncer</w:t>
      </w:r>
      <w:r>
        <w:rPr>
          <w:rFonts w:ascii="Arial" w:hAnsi="Arial"/>
          <w:b w:val="0"/>
          <w:i w:val="0"/>
          <w:sz w:val="19"/>
        </w:rPr>
        <w:t xml:space="preserve"> bleibt bei 383 Ereignissen mit 210.741 Betroffenen, davon 188 KI-attribuierte Ereignisse (49 % aller Ereignisse) mit 173.465 Betroffenen sowie 25 Betriebsschließungen; die ausgewiesene Tagesrate sinkt allein durch die Verlängerung des Nenners von 811 auf 807 (Rechenprobe: 210.741 / 261 Tage = 807,4), jüngstes gelistetes Einzelereignis bleibt </w:t>
      </w:r>
      <w:r>
        <w:rPr>
          <w:rFonts w:ascii="Arial" w:hAnsi="Arial"/>
          <w:b w:val="0"/>
          <w:i/>
          <w:sz w:val="19"/>
        </w:rPr>
        <w:t>Zomato</w:t>
      </w:r>
      <w:r>
        <w:rPr>
          <w:rFonts w:ascii="Arial" w:hAnsi="Arial"/>
          <w:b w:val="0"/>
          <w:i w:val="0"/>
          <w:sz w:val="19"/>
        </w:rPr>
        <w:t xml:space="preserve"> vom 30. August 2026, womit die Erfassungslücke auf neunzehn Tage wächst. </w:t>
      </w:r>
      <w:r>
        <w:rPr>
          <w:rFonts w:ascii="Arial" w:hAnsi="Arial"/>
          <w:b w:val="0"/>
          <w:i/>
          <w:sz w:val="19"/>
        </w:rPr>
        <w:t>DisplaceIndex</w:t>
      </w:r>
      <w:r>
        <w:rPr>
          <w:rFonts w:ascii="Arial" w:hAnsi="Arial"/>
          <w:b w:val="0"/>
          <w:i w:val="0"/>
          <w:sz w:val="19"/>
        </w:rPr>
        <w:t xml:space="preserve"> bleibt unverändert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fünfte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w:t>
      </w:r>
    </w:p>
    <w:p>
      <w:pPr>
        <w:jc w:val="both"/>
      </w:pPr>
      <w:r>
        <w:rPr>
          <w:rFonts w:ascii="Arial" w:hAnsi="Arial"/>
          <w:b w:val="0"/>
          <w:i w:val="0"/>
          <w:sz w:val="19"/>
        </w:rPr>
        <w:t xml:space="preserve">Der eigentliche Zugewinn dieses Abgleichs liegt erneut nicht in den Beständen, sondern in einer Angabe, die bei diesem Abruf erstmals ausgelesen worden ist: Dasselbe Zählwerk veröffentlicht eine </w:t>
      </w:r>
      <w:r>
        <w:rPr>
          <w:rFonts w:ascii="Arial" w:hAnsi="Arial"/>
          <w:b/>
          <w:i w:val="0"/>
          <w:sz w:val="19"/>
        </w:rPr>
        <w:t>gemessene Erfassungsquote</w:t>
      </w:r>
      <w:r>
        <w:rPr>
          <w:rFonts w:ascii="Arial" w:hAnsi="Arial"/>
          <w:b w:val="0"/>
          <w:i w:val="0"/>
          <w:sz w:val="19"/>
        </w:rPr>
        <w:t xml:space="preserve">. Es hat nach eigener Darstellung sämtliche zwischen dem 1. Juli 2025 und dem 30. Juni 2026 bei der US-Börsenaufsicht eingereichten 8-K-Meldungen ausgezählt, die im strukturierten Meldungskopf den Posten </w:t>
      </w:r>
      <w:r>
        <w:rPr>
          <w:rFonts w:ascii="Arial" w:hAnsi="Arial"/>
          <w:b w:val="0"/>
          <w:i/>
          <w:sz w:val="19"/>
        </w:rPr>
        <w:t>Item 2.05</w:t>
      </w:r>
      <w:r>
        <w:rPr>
          <w:rFonts w:ascii="Arial" w:hAnsi="Arial"/>
          <w:b w:val="0"/>
          <w:i w:val="0"/>
          <w:sz w:val="19"/>
        </w:rPr>
        <w:t xml:space="preserve"> (Verpflichtungen aus Personalabbau- und Standortschließungsmaßnahmen) führen und zugleich eine absolute Zahl betroffener Beschäftigter nennen, und geprüft, wie viele davon im eigenen Bestand erscheinen: 55 von 57 oder 96 %, bei einem 95-Prozent-Konfidenzintervall von 88 % bis 99 %. Von den veröffentlichten Zahlen stimmten 36 von 36 geprüften Angaben wörtlich mit der zitierten Quelle überein; die Messung werde wöchentlich gegen dieselbe eingefrorene Meldungsliste wiederholt. Der Betreiber zieht daraus selbst den Schluss, der Bestand sei </w:t>
      </w:r>
      <w:r>
        <w:rPr>
          <w:rFonts w:ascii="Arial" w:hAnsi="Arial"/>
          <w:b w:val="0"/>
          <w:i/>
          <w:sz w:val="19"/>
        </w:rPr>
        <w:t>„a floor and not a census"</w:t>
      </w:r>
      <w:r>
        <w:rPr>
          <w:rFonts w:ascii="Arial" w:hAnsi="Arial"/>
          <w:b w:val="0"/>
          <w:i w:val="0"/>
          <w:sz w:val="19"/>
        </w:rPr>
        <w:t xml:space="preserve"> — eine Untergrenze und keine Vollerhebung —, und hält ausdrücklich fest, die Messung decke </w:t>
      </w:r>
      <w:r>
        <w:rPr>
          <w:rFonts w:ascii="Arial" w:hAnsi="Arial"/>
          <w:b w:val="0"/>
          <w:i/>
          <w:sz w:val="19"/>
        </w:rPr>
        <w:t>eine</w:t>
      </w:r>
      <w:r>
        <w:rPr>
          <w:rFonts w:ascii="Arial" w:hAnsi="Arial"/>
          <w:b w:val="0"/>
          <w:i w:val="0"/>
          <w:sz w:val="19"/>
        </w:rPr>
        <w:t xml:space="preserve"> Quellenfamilie über </w:t>
      </w:r>
      <w:r>
        <w:rPr>
          <w:rFonts w:ascii="Arial" w:hAnsi="Arial"/>
          <w:b w:val="0"/>
          <w:i/>
          <w:sz w:val="19"/>
        </w:rPr>
        <w:t>ein</w:t>
      </w:r>
      <w:r>
        <w:rPr>
          <w:rFonts w:ascii="Arial" w:hAnsi="Arial"/>
          <w:b w:val="0"/>
          <w:i w:val="0"/>
          <w:sz w:val="19"/>
        </w:rPr>
        <w:t xml:space="preserve"> Jahr ab und sage nichts über private Arbeitgeber, über Streichungen außerhalb der Vereinigten Staaten und über die beiden anderen Zuflusswege (WARN-Meldungen und Presseauswertung). Zugleich beziffert er die Abweichung gegenüber Ankündigungserhebungen erstmals der Größenordnung nach: Deren Gesamtwert enthalte Trennungen ohne benannten Arbeitgeber — Aufhebungsangebote, aufgeschobene Kündigungen, Fluktuationsprogramme und Reduktionen im US-Bundesdienst —, die für 2025 allein rund 250.000 bis 300.000 Stellen ausgemacht hätten und für die es keine verknüpfbare Unterlage gebe. Welche Folgerungen sich daraus für einen an der Verdrängung anknüpfenden Steuertatbestand ergeben, ist in § 9.2 ausgeführt.</w:t>
      </w:r>
    </w:p>
    <w:p>
      <w:pPr>
        <w:jc w:val="both"/>
      </w:pPr>
      <w:r>
        <w:rPr>
          <w:rFonts w:ascii="Arial" w:hAnsi="Arial"/>
          <w:b w:val="0"/>
          <w:i/>
          <w:sz w:val="19"/>
        </w:rPr>
        <w:t>Nachtrag (Trackerstände 19. September 2026) — der Bestand wächst, die KI-Zuschreibung nicht:</w:t>
      </w:r>
      <w:r>
        <w:rPr>
          <w:rFonts w:ascii="Arial" w:hAnsi="Arial"/>
          <w:b w:val="0"/>
          <w:i w:val="0"/>
          <w:sz w:val="19"/>
        </w:rPr>
        <w:t xml:space="preserve"> Der Abgleich ist am Folgetag erneut nach derselben Verfahrensregel und mit Direktabruf aller drei erschlossenen Zählwerke durchgeführt worden. </w:t>
      </w:r>
      <w:r>
        <w:rPr>
          <w:rFonts w:ascii="Arial" w:hAnsi="Arial"/>
          <w:b w:val="0"/>
          <w:i/>
          <w:sz w:val="19"/>
        </w:rPr>
        <w:t>AskTheRecruiter</w:t>
      </w:r>
      <w:r>
        <w:rPr>
          <w:rFonts w:ascii="Arial" w:hAnsi="Arial"/>
          <w:b w:val="0"/>
          <w:i w:val="0"/>
          <w:sz w:val="19"/>
        </w:rPr>
        <w:t xml:space="preserve"> weist zum 19. September 2026 633.867 belegte Streichungen für 2026 aus, davon 591.040 bereits wirksam und 42.827 mit künftigem Wirksamkeitsdatum (Summenprobe: 591.040 + 42.827 = 633.867, geht auf); die lediglich angekündigte Zählstufe steigt auf 477.766, der zusammengefasste Stand beider Stufen auf 1.111.633 (Summenprobe: 633.867 + 477.766 = 1.111.633, geht auf). Gegenüber dem Vortag entspricht das einem Zuwachs von 3.047 belegten und 4.067 angekündigten Streichungen, zusammen 7.114. Die drei KI-Kennzahlen desselben Zählwerks bleiben dabei sämtlich unverändert: strenge Zuschreibung 66.861, angekündigte Zuschreibung 47.883 (Summenprobe: 66.861 + 47.883 = 114.744, geht auf), weit gefasste Kennzahl 123.459. Der Tageszuwachs von 7.114 Streichungen ist also vollständig ohne jede KI-Zuschreibung erfolgt — ein Befund, der die in § 9.1 behandelte Kausalattributionsfrage erstmals als </w:t>
      </w:r>
      <w:r>
        <w:rPr>
          <w:rFonts w:ascii="Arial" w:hAnsi="Arial"/>
          <w:b w:val="0"/>
          <w:i/>
          <w:sz w:val="19"/>
        </w:rPr>
        <w:t>Flussgröße</w:t>
      </w:r>
      <w:r>
        <w:rPr>
          <w:rFonts w:ascii="Arial" w:hAnsi="Arial"/>
          <w:b w:val="0"/>
          <w:i w:val="0"/>
          <w:sz w:val="19"/>
        </w:rPr>
        <w:t xml:space="preserve"> statt als Bestandsquote sichtbar macht: Nicht die Höhe der kumulierten KI-Quote, sondern die Frage, ob die laufende Zuschreibung mit dem laufenden Zugang Schritt hält, entscheidet darüber, ob ein an der Verdrängung anknüpfender Steuertatbestand seine Bemessungsgrundlage zeitnah erfassen könnte. Die Zahl meldender Unternehmen wächst um achtzehn auf 3.145; erstmals ausgelesen sind die Gebietsangaben (64 Länder, 49 US-Bundesstaaten und der District of Columbia) sowie eine weitere interne Unstimmigkeit derselben Seite, die neben den 3.145 Unternehmen der laufenden Ansicht eine Allzeitzahl von 2.026 Unternehmen führt — eine Allzeitgröße, die kleiner ist als der Teilbestand eines einzelnen Jahres. Sie ist hier vermerkt, aber nicht als Kennzahl weiterverwendet. Die gemessene Erfassungsquote (55 von 57 einschlägigen 8-K-Meldungen, 96 Prozent bei einem 95-Prozent-Vertrauensbereich von 88 bis 99 Prozent) ist unverändert. Die beiden anderen Zählwerke stehen den sechsten Tag in Folge still: </w:t>
      </w:r>
      <w:r>
        <w:rPr>
          <w:rFonts w:ascii="Arial" w:hAnsi="Arial"/>
          <w:b w:val="0"/>
          <w:i/>
          <w:sz w:val="19"/>
        </w:rPr>
        <w:t>SkillSyncer</w:t>
      </w:r>
      <w:r>
        <w:rPr>
          <w:rFonts w:ascii="Arial" w:hAnsi="Arial"/>
          <w:b w:val="0"/>
          <w:i w:val="0"/>
          <w:sz w:val="19"/>
        </w:rPr>
        <w:t xml:space="preserve"> bleibt bei 383 Ereignissen mit 210.741 Betroffenen und einer ausgewiesenen KI-Attributionsquote von 49 Prozent der Ereignisse; die angezeigte Tagesrate sinkt allein durch die Verlängerung des Nenners von 807 auf 804 (Rechenprobe: 210.741 / 262 Tage = 804,4). </w:t>
      </w:r>
      <w:r>
        <w:rPr>
          <w:rFonts w:ascii="Arial" w:hAnsi="Arial"/>
          <w:b w:val="0"/>
          <w:i/>
          <w:sz w:val="19"/>
        </w:rPr>
        <w:t>DisplaceIndex</w:t>
      </w:r>
      <w:r>
        <w:rPr>
          <w:rFonts w:ascii="Arial" w:hAnsi="Arial"/>
          <w:b w:val="0"/>
          <w:i w:val="0"/>
          <w:sz w:val="19"/>
        </w:rPr>
        <w:t xml:space="preserve"> bleibt bei 377.084 KI-attribuierten Streichungen seit Januar 2023 bei 57 berichtenden Unternehmen und 0,5 Prozent der als Vergleichsgröße herangezogenen Gesamtstreichungen. Die Zähldefinitionen sind bei allen drei Abrufen mitgeführt worden und bestätigen die am 13. September 2026 dokumentierte Unvergleichbarkeit: </w:t>
      </w:r>
      <w:r>
        <w:rPr>
          <w:rFonts w:ascii="Arial" w:hAnsi="Arial"/>
          <w:b w:val="0"/>
          <w:i/>
          <w:sz w:val="19"/>
        </w:rPr>
        <w:t>AskTheRecruiter</w:t>
      </w:r>
      <w:r>
        <w:rPr>
          <w:rFonts w:ascii="Arial" w:hAnsi="Arial"/>
          <w:b w:val="0"/>
          <w:i w:val="0"/>
          <w:sz w:val="19"/>
        </w:rPr>
        <w:t xml:space="preserve"> zählt nur, was durch Einreichung bei der US-Börsenaufsicht, WARN-Meldung oder namentlich benannten Bericht belegt ist („No figure appears unless its source states it"); </w:t>
      </w:r>
      <w:r>
        <w:rPr>
          <w:rFonts w:ascii="Arial" w:hAnsi="Arial"/>
          <w:b w:val="0"/>
          <w:i/>
          <w:sz w:val="19"/>
        </w:rPr>
        <w:t>SkillSyncer</w:t>
      </w:r>
      <w:r>
        <w:rPr>
          <w:rFonts w:ascii="Arial" w:hAnsi="Arial"/>
          <w:b w:val="0"/>
          <w:i w:val="0"/>
          <w:sz w:val="19"/>
        </w:rPr>
        <w:t xml:space="preserve"> zählt jede Unternehmensankündigung als ein Ereignis, global und sektorübergreifend, und schreibt Künstliche Intelligenz zu, sobald ein Unternehmen KI, Automatisierung oder maschinelles Lernen selbst benennt — mit ausdrücklichem eigenem Hinweis auf die Möglichkeit einer Zuschreibung ohne tatsächliche Ursächlichkeit; </w:t>
      </w:r>
      <w:r>
        <w:rPr>
          <w:rFonts w:ascii="Arial" w:hAnsi="Arial"/>
          <w:b w:val="0"/>
          <w:i/>
          <w:sz w:val="19"/>
        </w:rPr>
        <w:t>DisplaceIndex</w:t>
      </w:r>
      <w:r>
        <w:rPr>
          <w:rFonts w:ascii="Arial" w:hAnsi="Arial"/>
          <w:b w:val="0"/>
          <w:i w:val="0"/>
          <w:sz w:val="19"/>
        </w:rPr>
        <w:t xml:space="preserve"> verlangt kumulativ ein namentlich benanntes Unternehmen, eine bezifferte Streichungszahl und Künstliche Intelligenz als </w:t>
      </w:r>
      <w:r>
        <w:rPr>
          <w:rFonts w:ascii="Arial" w:hAnsi="Arial"/>
          <w:b w:val="0"/>
          <w:i/>
          <w:sz w:val="19"/>
        </w:rPr>
        <w:t>primäre</w:t>
      </w:r>
      <w:r>
        <w:rPr>
          <w:rFonts w:ascii="Arial" w:hAnsi="Arial"/>
          <w:b w:val="0"/>
          <w:i w:val="0"/>
          <w:sz w:val="19"/>
        </w:rPr>
        <w:t xml:space="preserve"> Ursache und bezieht die Quote auf eine US-Gesamtgröße der Federal Reserve Economic Data. Eine einzelne Trackerzahl bleibt damit ohne die mitgeführte Definition nicht interpretierbar.</w:t>
      </w:r>
    </w:p>
    <w:p>
      <w:pPr>
        <w:jc w:val="both"/>
      </w:pPr>
      <w:r>
        <w:rPr>
          <w:rFonts w:ascii="Arial" w:hAnsi="Arial"/>
          <w:b w:val="0"/>
          <w:i/>
          <w:sz w:val="19"/>
        </w:rPr>
        <w:t>Nachtrag (Trackerstände 20. September 2026) — ein fünftes Zählwerk, eine Berichtigung und der zweite Tag ohne jede KI-Zuschreibung:</w:t>
      </w:r>
      <w:r>
        <w:rPr>
          <w:rFonts w:ascii="Arial" w:hAnsi="Arial"/>
          <w:b w:val="0"/>
          <w:i w:val="0"/>
          <w:sz w:val="19"/>
        </w:rPr>
        <w:t xml:space="preserve"> Der Abgleich ist am Folgetag nach derselben Verfahrensregel und mit Direktabruf aller erschlossenen Zählwerke wiederholt worden. </w:t>
      </w:r>
      <w:r>
        <w:rPr>
          <w:rFonts w:ascii="Arial" w:hAnsi="Arial"/>
          <w:b w:val="0"/>
          <w:i/>
          <w:sz w:val="19"/>
        </w:rPr>
        <w:t>AskTheRecruiter</w:t>
      </w:r>
      <w:r>
        <w:rPr>
          <w:rFonts w:ascii="Arial" w:hAnsi="Arial"/>
          <w:b w:val="0"/>
          <w:i w:val="0"/>
          <w:sz w:val="19"/>
        </w:rPr>
        <w:t xml:space="preserve"> weist zum 20. September 2026 635.574 belegte Streichungen für 2026 aus, davon 591.783 bereits wirksam und 43.791 mit künftigem Wirksamkeitsdatum (Summenprobe: 591.783 + 43.791 = 635.574, geht auf); die lediglich angekündigte Zählstufe steigt auf 483.866, der zusammengefasste Stand beider Stufen auf 1.119.440 (Summenprobe: 635.574 + 483.866 = 1.119.440, geht auf). Gegenüber dem Vortag entspricht das einem Zuwachs von 1.707 belegten und 6.100 angekündigten Streichungen, zusammen 7.807 (Rechenprobe gegen die Gesamtstände: 1.119.440 − 1.111.633 = 7.807, geht auf). Die vier KI-Kennzahlen desselben Zählwerks bleiben dabei sämtlich unverändert: strenge Zuschreibung 66.861, angekündigte Zuschreibung 47.883, zusammengefasst 114.744, weit gefasste Kennzahl 123.459. Damit ist der am Vortag erstmals beobachtete Flussbefund an einem zweiten Tag reproduziert: In achtundvierzig Stunden sind 14.921 Streichungen zugegangen (7.114 am 19. und 7.807 am 20. September 2026), ohne dass eine einzige davon in irgendeiner der vier KI-Kennzahlen erscheint. Für die in § 9.1 behandelte Kausalattributionsfrage verschiebt das den Akzent weiter von der Bestandsquote zur </w:t>
      </w:r>
      <w:r>
        <w:rPr>
          <w:rFonts w:ascii="Arial" w:hAnsi="Arial"/>
          <w:b w:val="0"/>
          <w:i/>
          <w:sz w:val="19"/>
        </w:rPr>
        <w:t>Zuschreibungsgeschwindigkeit</w:t>
      </w:r>
      <w:r>
        <w:rPr>
          <w:rFonts w:ascii="Arial" w:hAnsi="Arial"/>
          <w:b w:val="0"/>
          <w:i w:val="0"/>
          <w:sz w:val="19"/>
        </w:rPr>
        <w:t>: Ein an der Verdrängung anknüpfender Steuertatbestand müsste seine Bemessungsgrundlage im laufenden Zugang erfassen, nicht im Rückblick auf einen kumulierten Bestand. Ob die Ursache ein Zuschreibungsverzug, eine Zuschreibungslücke oder ein tatsächlich KI-freier Zugang ist, bleibt aus den Trackerdaten weiterhin unentscheidbar; die Beobachtung wird fortgeschrieben, bevor daraus eine Aussage abgeleitet wird.</w:t>
      </w:r>
    </w:p>
    <w:p>
      <w:pPr>
        <w:jc w:val="both"/>
      </w:pPr>
      <w:r>
        <w:rPr>
          <w:rFonts w:ascii="Arial" w:hAnsi="Arial"/>
          <w:b/>
          <w:i w:val="0"/>
          <w:sz w:val="19"/>
        </w:rPr>
        <w:t>Berichtigung zum Stand vom 19. September 2026.</w:t>
      </w:r>
      <w:r>
        <w:rPr>
          <w:rFonts w:ascii="Arial" w:hAnsi="Arial"/>
          <w:b w:val="0"/>
          <w:i w:val="0"/>
          <w:sz w:val="19"/>
        </w:rPr>
        <w:t xml:space="preserve"> Der vollständigere Abruf desselben Zählwerks korrigiert eine im Vorlauf vermerkte Beobachtung. Die dort als „Allzeitzahl von 2.026 Unternehmen" bezeichnete Angabe ist keine Allzeitgröße, sondern die Jahresansicht („companies in 2026"); die tatsächlichen Allzeitangaben lauten 39.591 Unternehmen, 81 Länder und 65.698 Einträge und sind sämtlich größer als der Jahresbestand. Die im Vorlauf gezogene Folgerung, das Zählwerk führe eine Allzeitgröße unterhalb eines Jahresteilbestands, ist damit hinfällig und wird hiermit berichtigt; der frühere Stand bleibt als zeitlich frühere Referenz erhalten (§ 11.5). Bestehen bleibt allerdings eine </w:t>
      </w:r>
      <w:r>
        <w:rPr>
          <w:rFonts w:ascii="Arial" w:hAnsi="Arial"/>
          <w:b w:val="0"/>
          <w:i/>
          <w:sz w:val="19"/>
        </w:rPr>
        <w:t>andere</w:t>
      </w:r>
      <w:r>
        <w:rPr>
          <w:rFonts w:ascii="Arial" w:hAnsi="Arial"/>
          <w:b w:val="0"/>
          <w:i w:val="0"/>
          <w:sz w:val="19"/>
        </w:rPr>
        <w:t xml:space="preserve"> Unstimmigkeit derselben Seite, die erst durch die Berichtigung sichtbar wird: Für dieselbe Jahresgröße 2026 führt die Seite nebeneinander 2.026 Unternehmen (Jahresansicht) und 3.152 Unternehmen bei 3.409 Einträgen (laufende Ansicht). Beide Zahlen sind hier vermerkt, keine wird als Kennzahl weiterverwendet. Die gemessene Erfassungsquote ist unverändert (55 von 57 einschlägigen 8-K-Meldungen, 96 Prozent bei einem 95-Prozent-Vertrauensbereich von 88 bis 99 Prozent); neu ausgelesen ist eine Eigenprüfung des Betreibers, nach der 36 von 36 stichprobenhaft geprüften Zahlen wörtlich in der angegebenen Quelle stehen. Die Zahl meldender Unternehmen der laufenden Ansicht wächst um sieben auf 3.152, die Gebietsabdeckung um ein Land auf 65 Länder bei unverändert 49 US-Bundesstaaten. Die beiden bereits erschlossenen anderen Zählwerke stehen weiter still: </w:t>
      </w:r>
      <w:r>
        <w:rPr>
          <w:rFonts w:ascii="Arial" w:hAnsi="Arial"/>
          <w:b w:val="0"/>
          <w:i/>
          <w:sz w:val="19"/>
        </w:rPr>
        <w:t>SkillSyncer</w:t>
      </w:r>
      <w:r>
        <w:rPr>
          <w:rFonts w:ascii="Arial" w:hAnsi="Arial"/>
          <w:b w:val="0"/>
          <w:i w:val="0"/>
          <w:sz w:val="19"/>
        </w:rPr>
        <w:t xml:space="preserve"> bleibt den siebten Tag in Folge bei 383 Ereignissen mit 210.741 Betroffenen und 188 KI-attribuierten Ereignissen mit 173.465 Betroffenen; die angezeigte Tagesrate sinkt allein durch die Verlängerung des Nenners von 804 auf 801 (Rechenprobe: 210.741 / 263 Tage = 801,3). </w:t>
      </w:r>
      <w:r>
        <w:rPr>
          <w:rFonts w:ascii="Arial" w:hAnsi="Arial"/>
          <w:b w:val="0"/>
          <w:i/>
          <w:sz w:val="19"/>
        </w:rPr>
        <w:t>DisplaceIndex</w:t>
      </w:r>
      <w:r>
        <w:rPr>
          <w:rFonts w:ascii="Arial" w:hAnsi="Arial"/>
          <w:b w:val="0"/>
          <w:i w:val="0"/>
          <w:sz w:val="19"/>
        </w:rPr>
        <w:t xml:space="preserve"> bleibt den achten Tag in Folge bei 377.084 KI-attribuierten Streichungen seit Januar 2023, 57 berichtenden Unternehmen und 0,5 Prozent der als Vergleichsgröße herangezogenen Gesamtstreichungen.</w:t>
      </w:r>
    </w:p>
    <w:p>
      <w:pPr>
        <w:jc w:val="both"/>
      </w:pPr>
      <w:r>
        <w:rPr>
          <w:rFonts w:ascii="Arial" w:hAnsi="Arial"/>
          <w:b/>
          <w:i w:val="0"/>
          <w:sz w:val="19"/>
        </w:rPr>
        <w:t>Ein fünftes Zählwerk — und der Definitionsfehler, vor dem die Verfahrensregel warnt.</w:t>
      </w:r>
      <w:r>
        <w:rPr>
          <w:rFonts w:ascii="Arial" w:hAnsi="Arial"/>
          <w:b w:val="0"/>
          <w:i w:val="0"/>
          <w:sz w:val="19"/>
        </w:rPr>
        <w:t xml:space="preserve"> Bei diesem Lauf ist mit dem </w:t>
      </w:r>
      <w:r>
        <w:rPr>
          <w:rFonts w:ascii="Arial" w:hAnsi="Arial"/>
          <w:b w:val="0"/>
          <w:i/>
          <w:sz w:val="19"/>
        </w:rPr>
        <w:t>Job Security Meter</w:t>
      </w:r>
      <w:r>
        <w:rPr>
          <w:rFonts w:ascii="Arial" w:hAnsi="Arial"/>
          <w:b w:val="0"/>
          <w:i w:val="0"/>
          <w:sz w:val="19"/>
        </w:rPr>
        <w:t xml:space="preserve"> ein weiteres, unabhängig geführtes Zählwerk erschlossen worden. Es weist zum Stand 18. September 2026 (Ankündigungen bis zum 13. September 2026) mehr als 128.500 gestrichene Stellen im Technologiesektor des Jahres 2026 bei mehr als 281 Unternehmen aus, stellt dem einen Vergleichswert von rund 122.600 für das gesamte Jahr 2025 gegenüber und führt daneben eine sektorübergreifende US-Größe von mehr als 284.000 von Massenentlassungsanzeigen erfassten Beschäftigten. Gezählt wird nach Ankündigungsdatum, mit Schwerpunkt auf dem US-Technologiesektor und unter Rückgriff auf die Erhebung eines Personalberatungsunternehmens, auf Massenentlassungsanzeigen, Unternehmensangaben und Sekundärberichterstattung; eine eigene Methodendokumentation liegt nicht vor. Entscheidend ist nicht der Stand, sondern das Verhältnis von Überschrift und Zählkriterium: Die Seite schreibt die 128.500 Stellen in der Überschrift ausdrücklich Künstlicher Intelligenz zu, die darunter zusammengestellte Grundgesamtheit ist jedoch eine </w:t>
      </w:r>
      <w:r>
        <w:rPr>
          <w:rFonts w:ascii="Arial" w:hAnsi="Arial"/>
          <w:b w:val="0"/>
          <w:i/>
          <w:sz w:val="19"/>
        </w:rPr>
        <w:t>Branchensumme</w:t>
      </w:r>
      <w:r>
        <w:rPr>
          <w:rFonts w:ascii="Arial" w:hAnsi="Arial"/>
          <w:b w:val="0"/>
          <w:i w:val="0"/>
          <w:sz w:val="19"/>
        </w:rPr>
        <w:t xml:space="preserve"> des Technologiesektors, in der die Zuschreibung als Deutung des Gesamtbefundes und nicht als Aufnahmekriterium des Einzelfalls fungiert. Damit liegt erstmals ein Zählwerk vor, das genau jenen Schritt vollzieht, vor dem die am 13. September 2026 eingeführte Verfahrensregel warnt — die Gleichsetzung einer Sektorgröße mit einer Verdrängungsgröße. Für dieselbe Frage — wie viele Stellenstreichungen des Jahres 2026 sind Künstlicher Intelligenz zuzurechnen — stehen damit drei nicht ineinander überführbare Größen nebeneinander: 66.861 bei strenger Zuschreibung durch den Arbeitgeber (</w:t>
      </w:r>
      <w:r>
        <w:rPr>
          <w:rFonts w:ascii="Arial" w:hAnsi="Arial"/>
          <w:b w:val="0"/>
          <w:i/>
          <w:sz w:val="19"/>
        </w:rPr>
        <w:t>AskTheRecruiter</w:t>
      </w:r>
      <w:r>
        <w:rPr>
          <w:rFonts w:ascii="Arial" w:hAnsi="Arial"/>
          <w:b w:val="0"/>
          <w:i w:val="0"/>
          <w:sz w:val="19"/>
        </w:rPr>
        <w:t>), rund 128.500 als Branchensumme mit KI-Überschrift (</w:t>
      </w:r>
      <w:r>
        <w:rPr>
          <w:rFonts w:ascii="Arial" w:hAnsi="Arial"/>
          <w:b w:val="0"/>
          <w:i/>
          <w:sz w:val="19"/>
        </w:rPr>
        <w:t>Job Security Meter</w:t>
      </w:r>
      <w:r>
        <w:rPr>
          <w:rFonts w:ascii="Arial" w:hAnsi="Arial"/>
          <w:b w:val="0"/>
          <w:i w:val="0"/>
          <w:sz w:val="19"/>
        </w:rPr>
        <w:t>) und 173.465 bei Selbstbenennung von Künstlicher Intelligenz, Automatisierung oder maschinellem Lernen durch das Unternehmen (</w:t>
      </w:r>
      <w:r>
        <w:rPr>
          <w:rFonts w:ascii="Arial" w:hAnsi="Arial"/>
          <w:b w:val="0"/>
          <w:i/>
          <w:sz w:val="19"/>
        </w:rPr>
        <w:t>SkillSyncer</w:t>
      </w:r>
      <w:r>
        <w:rPr>
          <w:rFonts w:ascii="Arial" w:hAnsi="Arial"/>
          <w:b w:val="0"/>
          <w:i w:val="0"/>
          <w:sz w:val="19"/>
        </w:rPr>
        <w:t xml:space="preserve">), mithin ein Verhältnis von rund 1 : 1,9 : 2,6. Der Stand von </w:t>
      </w:r>
      <w:r>
        <w:rPr>
          <w:rFonts w:ascii="Arial" w:hAnsi="Arial"/>
          <w:b w:val="0"/>
          <w:i/>
          <w:sz w:val="19"/>
        </w:rPr>
        <w:t>DisplaceIndex</w:t>
      </w:r>
      <w:r>
        <w:rPr>
          <w:rFonts w:ascii="Arial" w:hAnsi="Arial"/>
          <w:b w:val="0"/>
          <w:i w:val="0"/>
          <w:sz w:val="19"/>
        </w:rPr>
        <w:t xml:space="preserve"> ist in diese Reihe nicht einzuordnen, weil er seit Januar 2023 kumuliert. Die Spreizung ist damit nicht kleiner geworden, sondern hat eine weitere Zwischenstufe erhalten — und sie stützt die in § 9.2 gezogene Folgerung, dass eine Bemessungsgrundlage, die an der Zuschreibung ansetzt, ohne verbindliche Legaldefinition des Zuschreibungsmaßstabs nicht justiziabel wäre.</w:t>
      </w:r>
    </w:p>
    <w:p>
      <w:pPr>
        <w:jc w:val="both"/>
      </w:pPr>
      <w:r>
        <w:rPr>
          <w:rFonts w:ascii="Arial" w:hAnsi="Arial"/>
          <w:b w:val="0"/>
          <w:i/>
          <w:sz w:val="19"/>
        </w:rPr>
        <w:t>Nachtrag (Trackerstände 21. September 2026) — der Bestand schrumpft, und ein Zählwerk hat seit drei Wochen keinen Eintrag mehr:</w:t>
      </w:r>
      <w:r>
        <w:rPr>
          <w:rFonts w:ascii="Arial" w:hAnsi="Arial"/>
          <w:b w:val="0"/>
          <w:i w:val="0"/>
          <w:sz w:val="19"/>
        </w:rPr>
        <w:t xml:space="preserve"> Der Abgleich ist am Folgetag nach derselben Verfahrensregel und mit Direktabruf aller fünf erschlossenen Zählwerke wiederholt worden. Er liefert zwei Befunde, die den bisherigen Beobachtungen widersprechen beziehungsweise sie erklären. </w:t>
      </w:r>
      <w:r>
        <w:rPr>
          <w:rFonts w:ascii="Arial" w:hAnsi="Arial"/>
          <w:b w:val="0"/>
          <w:i/>
          <w:sz w:val="19"/>
        </w:rPr>
        <w:t>Erstens</w:t>
      </w:r>
      <w:r>
        <w:rPr>
          <w:rFonts w:ascii="Arial" w:hAnsi="Arial"/>
          <w:b w:val="0"/>
          <w:i w:val="0"/>
          <w:sz w:val="19"/>
        </w:rPr>
        <w:t xml:space="preserve"> geht der Bestand bei </w:t>
      </w:r>
      <w:r>
        <w:rPr>
          <w:rFonts w:ascii="Arial" w:hAnsi="Arial"/>
          <w:b w:val="0"/>
          <w:i/>
          <w:sz w:val="19"/>
        </w:rPr>
        <w:t>AskTheRecruiter</w:t>
      </w:r>
      <w:r>
        <w:rPr>
          <w:rFonts w:ascii="Arial" w:hAnsi="Arial"/>
          <w:b w:val="0"/>
          <w:i w:val="0"/>
          <w:sz w:val="19"/>
        </w:rPr>
        <w:t xml:space="preserve"> erstmals seit dem 18. September 2026 wieder zurück, und zwar auf allen Zählstufen gleichzeitig: 629.474 belegte Streichungen für 2026 (Vortag 635.574; −6.100), davon 585.854 bereits wirksam und 43.620 mit künftigem Wirksamkeitsdatum (Summenprobe: 585.854 + 43.620 = 629.474, geht auf), 483.564 lediglich angekündigte Streichungen (Vortag 483.866; −302) und ein zusammengefasster Stand von 1.113.038 (Summenprobe: 629.474 + 483.564 = 1.113.038, geht auf; Rechenprobe der Veränderung: −6.100 − 302 = −6.402 = 1.119.440 − 1.113.038, geht auf). Auch die Strukturangaben schrumpfen: 3.147 meldende Unternehmen der laufenden Ansicht (Vortag 3.152), 39.587 Unternehmen im Allzeitbestand (Vortag 39.591) und 65.691 Einträge im Allzeitbestand (Vortag 65.698). Damit ist die am 18. September 2026 erstmals beobachtete Abwärtsrevision kein Einzelfall mehr; die dort vermerkte Einschätzung, sie bleibe ein Einzelfall, ist hiermit überholt. Sie ist auch deutlich größer als die erste: Der Rückgang von 6.402 Streichungen entspricht in der Größenordnung dem Tageszugang der beiden Vortage. Ein belegbasiertes Zählwerk, das Einträge nachträglich zurücknimmt, bestätigt die in § 9.2 geführte Verwaltungsüberlegung von der empirischen Seite — eine an Streichungszahlen anknüpfende Bemessungsgrundlage müsste mit Rückabwicklungen rechnen, also mit demselben Problem, das die Umsatzsteuer über Korrekturmeldungen und die Lohnsteuer über den Lohnsteuerjahresausgleich löst. </w:t>
      </w:r>
      <w:r>
        <w:rPr>
          <w:rFonts w:ascii="Arial" w:hAnsi="Arial"/>
          <w:b w:val="0"/>
          <w:i/>
          <w:sz w:val="19"/>
        </w:rPr>
        <w:t>Zweitens</w:t>
      </w:r>
      <w:r>
        <w:rPr>
          <w:rFonts w:ascii="Arial" w:hAnsi="Arial"/>
          <w:b w:val="0"/>
          <w:i w:val="0"/>
          <w:sz w:val="19"/>
        </w:rPr>
        <w:t xml:space="preserve"> bleiben die vier KI-Kennzahlen desselben Zählwerks den dritten Tag in Folge sämtlich unverändert: strenge Zuschreibung 66.861, angekündigte Zuschreibung 47.883, zusammengefasst 114.744 (Summenprobe: 66.861 + 47.883 = 114.744, geht auf), weit gefasste Kennzahl 123.459. Der Flussbefund gilt damit an drei aufeinanderfolgenden Tagen — allerdings nun in einer Gestalt, die eine Deutung ausschließt, die zuvor noch möglich war: Wo der Bestand insgesamt schrumpft und die Zuschreibung stillsteht, lässt sich der Stillstand nicht mehr als bloßer Zuschreibungsverzug gegenüber einem wachsenden Zugang lesen. Unverändert sind ferner die Erfassungsquote (55 von 57 einschlägigen Meldungen nach Item 2.05 der Form 8-K der US-Börsenaufsicht im Zeitraum 1. Juli 2025 bis 30. Juni 2026, 96 Prozent bei einem 95-Prozent-Vertrauensbereich von 88 bis 99 Prozent), die Eigenprüfung (36 von 36 stichprobenhaft geprüften Zahlen wörtlich in der angegebenen Quelle) und die Gebietsabdeckung (65 Länder im laufenden Jahr, 81 im Allzeitbestand; 49 US-Bundesstaaten und der District of Columbia, wobei das Zählwerk die sechs fehlenden Staaten — Arkansas, Wyoming, New Hampshire, Missouri, Hawaii und Oklahoma — nunmehr namentlich mit dem Fehlen brauchbarer Massenentlassungsregister begründet).</w:t>
      </w:r>
    </w:p>
    <w:p>
      <w:pPr>
        <w:jc w:val="both"/>
      </w:pPr>
      <w:r>
        <w:rPr>
          <w:rFonts w:ascii="Arial" w:hAnsi="Arial"/>
          <w:b/>
          <w:i w:val="0"/>
          <w:sz w:val="19"/>
        </w:rPr>
        <w:t>Der Stillstand des zweiten Zählwerks ist keine Anzeigestörung, sondern eine Datenlücke.</w:t>
      </w:r>
      <w:r>
        <w:rPr>
          <w:rFonts w:ascii="Arial" w:hAnsi="Arial"/>
          <w:b w:val="0"/>
          <w:i w:val="0"/>
          <w:sz w:val="19"/>
        </w:rPr>
        <w:t xml:space="preserve"> </w:t>
      </w:r>
      <w:r>
        <w:rPr>
          <w:rFonts w:ascii="Arial" w:hAnsi="Arial"/>
          <w:b w:val="0"/>
          <w:i/>
          <w:sz w:val="19"/>
        </w:rPr>
        <w:t>SkillSyncer</w:t>
      </w:r>
      <w:r>
        <w:rPr>
          <w:rFonts w:ascii="Arial" w:hAnsi="Arial"/>
          <w:b w:val="0"/>
          <w:i w:val="0"/>
          <w:sz w:val="19"/>
        </w:rPr>
        <w:t xml:space="preserve"> steht den neunten Tag in Folge bei 383 Ereignissen mit 210.741 Betroffenen und 188 KI-attribuierten Ereignissen mit 173.465 Betroffenen; die angezeigte Tagesrate sinkt allein durch die Verlängerung des Nenners von 801 auf 798 (Rechenprobe: 210.741 / 264 Tage = 798,3, geht auf). Neu ausgelesen ist in diesem Lauf die Monatsgliederung derselben Seite, und sie erklärt den Stillstand: Januar 29.358, Februar 22.328, März 82.370, April 20.532, Mai 29.303, Juni 12.994, Juli 10.505, August 3.351 Betroffene. Die Summe dieser acht Monate beträgt 210.741 und ist damit </w:t>
      </w:r>
      <w:r>
        <w:rPr>
          <w:rFonts w:ascii="Arial" w:hAnsi="Arial"/>
          <w:b w:val="0"/>
          <w:i/>
          <w:sz w:val="19"/>
        </w:rPr>
        <w:t>identisch</w:t>
      </w:r>
      <w:r>
        <w:rPr>
          <w:rFonts w:ascii="Arial" w:hAnsi="Arial"/>
          <w:b w:val="0"/>
          <w:i w:val="0"/>
          <w:sz w:val="19"/>
        </w:rPr>
        <w:t xml:space="preserve"> mit der ausgewiesenen Jahressumme; ebenso summieren sich die Monatsereignisse (52, 49, 49, 42, 53, 55, 40, 43) genau auf die ausgewiesenen 383 Ereignisse. Für den gesamten September 2026 führt das Zählwerk mithin keinen einzigen Eintrag. Der Stillstand ist also nicht die zufällige Folge eines ereignisarmen Zeitraums und auch keine Anzeigestörung, sondern eine dreiwöchige Erfassungslücke — und zwar in genau dem Zeitraum, in dem ein belegbasiertes Zählwerk einen Zugang in der Größenordnung mehrerer Tausend Streichungen pro Tag verzeichnet hat. Das ist der bislang schärfste Beleg für die am 13. September 2026 eingeführte Verfahrensregel: Zwei Zählwerke, die dieselbe Größe messen wollen, unterscheiden sich hier nicht in der Zähldefinition, sondern in der schlichten Frage, ob im Berichtszeitraum überhaupt gezählt wurde. Eine Trackerzahl ohne Angabe des zuletzt erfassten Ereignisses ist damit auch dann nicht interpretierbar, wenn ihre Zähldefinition bekannt ist. Erkennbar ist die Lücke im Übrigen nur an der internen Summenprobe — die Seite selbst weist sie nicht aus, sondern führt eine Tagesrate fort, die den Nenner täglich verlängert und dadurch einen fortlaufenden Betrieb suggeriert. </w:t>
      </w:r>
      <w:r>
        <w:rPr>
          <w:rFonts w:ascii="Arial" w:hAnsi="Arial"/>
          <w:b w:val="0"/>
          <w:i/>
          <w:sz w:val="19"/>
        </w:rPr>
        <w:t>DisplaceIndex</w:t>
      </w:r>
      <w:r>
        <w:rPr>
          <w:rFonts w:ascii="Arial" w:hAnsi="Arial"/>
          <w:b w:val="0"/>
          <w:i w:val="0"/>
          <w:sz w:val="19"/>
        </w:rPr>
        <w:t xml:space="preserve"> steht den neunten Tag in Folge bei 377.084 KI-attribuierten Streichungen seit Januar 2023, 57 berichtenden Unternehmen und 0,5 Prozent der als Vergleichsgröße herangezogenen Gesamtstreichungen; neu ausgelesen ist die Sektorangabe, nach der auf den Technologiesektor 251.128 Streichungen und damit rund zwei Drittel des kumulierten Bestands entfallen. </w:t>
      </w:r>
      <w:r>
        <w:rPr>
          <w:rFonts w:ascii="Arial" w:hAnsi="Arial"/>
          <w:b w:val="0"/>
          <w:i/>
          <w:sz w:val="19"/>
        </w:rPr>
        <w:t>Job Security Meter</w:t>
      </w:r>
      <w:r>
        <w:rPr>
          <w:rFonts w:ascii="Arial" w:hAnsi="Arial"/>
          <w:b w:val="0"/>
          <w:i w:val="0"/>
          <w:sz w:val="19"/>
        </w:rPr>
        <w:t xml:space="preserve"> ist unverändert auf dem Stand vom 18. September 2026 mit Erfassung bis zum 13. September 2026 und hat in acht Tagen keine Aktualisierung erfahren. Die Spreizung der drei vergleichbaren Jahresgrößen (66.861 / rund 128.500 / 173.465) bleibt damit unverändert — allerdings ist nunmehr bekannt, dass zwei der drei Werte auf Erfassungsständen beruhen, die mehrere Wochen zurückliegen.</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jc w:val="both"/>
      </w:pPr>
      <w:r>
        <w:rPr>
          <w:rFonts w:ascii="Arial" w:hAnsi="Arial"/>
          <w:b/>
          <w:i w:val="0"/>
          <w:sz w:val="19"/>
        </w:rPr>
        <w:t>Die humanoide Robotik als Prüfstein der Definitionsfrage (September 2026).</w:t>
      </w:r>
      <w:r>
        <w:rPr>
          <w:rFonts w:ascii="Arial" w:hAnsi="Arial"/>
          <w:b w:val="0"/>
          <w:i w:val="0"/>
          <w:sz w:val="19"/>
        </w:rPr>
        <w:t xml:space="preserve"> Wie wenig die Definitionsfrage eine akademische ist, zeigt die einzige internationale Statistik, die sie verbindlich zu beantworten versucht. Für den am </w:t>
      </w:r>
      <w:r>
        <w:rPr>
          <w:rFonts w:ascii="Arial" w:hAnsi="Arial"/>
          <w:b w:val="0"/>
          <w:i/>
          <w:sz w:val="19"/>
        </w:rPr>
        <w:t>24. September 2026</w:t>
      </w:r>
      <w:r>
        <w:rPr>
          <w:rFonts w:ascii="Arial" w:hAnsi="Arial"/>
          <w:b w:val="0"/>
          <w:i w:val="0"/>
          <w:sz w:val="19"/>
        </w:rPr>
        <w:t xml:space="preserve"> erscheinenden Bericht </w:t>
      </w:r>
      <w:r>
        <w:rPr>
          <w:rFonts w:ascii="Arial" w:hAnsi="Arial"/>
          <w:b w:val="0"/>
          <w:i/>
          <w:sz w:val="19"/>
        </w:rPr>
        <w:t>World Robotics 2026</w:t>
      </w:r>
      <w:r>
        <w:rPr>
          <w:rFonts w:ascii="Arial" w:hAnsi="Arial"/>
          <w:b w:val="0"/>
          <w:i w:val="0"/>
          <w:sz w:val="19"/>
        </w:rPr>
        <w:t xml:space="preserve"> legt die </w:t>
      </w:r>
      <w:r>
        <w:rPr>
          <w:rFonts w:ascii="Arial" w:hAnsi="Arial"/>
          <w:b w:val="0"/>
          <w:i/>
          <w:sz w:val="19"/>
        </w:rPr>
        <w:t>International Federation of Robotics</w:t>
      </w:r>
      <w:r>
        <w:rPr>
          <w:rFonts w:ascii="Arial" w:hAnsi="Arial"/>
          <w:b w:val="0"/>
          <w:i w:val="0"/>
          <w:sz w:val="19"/>
        </w:rPr>
        <w:t xml:space="preserve"> (IFR, Internationale Föderation für Robotik) erstmals eine eigene Zählung humanoider Roboter vor; die Kernzahlen sind am </w:t>
      </w:r>
      <w:r>
        <w:rPr>
          <w:rFonts w:ascii="Arial" w:hAnsi="Arial"/>
          <w:b w:val="0"/>
          <w:i/>
          <w:sz w:val="19"/>
        </w:rPr>
        <w:t>21. September 2026</w:t>
      </w:r>
      <w:r>
        <w:rPr>
          <w:rFonts w:ascii="Arial" w:hAnsi="Arial"/>
          <w:b w:val="0"/>
          <w:i w:val="0"/>
          <w:sz w:val="19"/>
        </w:rPr>
        <w:t xml:space="preserve"> von der Nachrichtenagentur Reuters vorab berichtet worden. Als humanoid gilt danach ein Roboter nur, wenn er ein menschenähnliches Erscheinungsbild hat und in einer für Menschen gestalteten Umgebung autonom arbeitet — Beine sind ausdrücklich nicht erforderlich. Ausgenommen sind Verbraucher- und Militärgeräte; Medizinrobotik wird gesondert geführt. Nach dieser Definition sind im Jahr 2025 weltweit rund 7.000 humanoide Roboter für industrielle und professionelle Dienstleistungen verkauft worden — gegenüber 542.000 installierten Industrierobotern und 199.000 verkauften Servicerobotern im Jahr 2024. Susanne Bieller, Generalsekretärin der IFR, ordnet die Größe als „einen Bruchteil" des Gesamtbestands ein und weist darauf hin, dass viele der 2025 ausgelieferten Einheiten keine produktive Arbeit verrichtet hätten, sondern von Forschungseinrichtungen oder Unternehmen zur Entwicklung von KI-Modellen beschafft worden seien.</w:t>
      </w:r>
    </w:p>
    <w:p>
      <w:pPr>
        <w:jc w:val="both"/>
      </w:pPr>
      <w:r>
        <w:rPr>
          <w:rFonts w:ascii="Arial" w:hAnsi="Arial"/>
          <w:b w:val="0"/>
          <w:i w:val="0"/>
          <w:sz w:val="19"/>
        </w:rPr>
        <w:t xml:space="preserve">Für dieses Kapitel sind daran drei Punkte bemerkenswert. </w:t>
      </w:r>
      <w:r>
        <w:rPr>
          <w:rFonts w:ascii="Arial" w:hAnsi="Arial"/>
          <w:b w:val="0"/>
          <w:i/>
          <w:sz w:val="19"/>
        </w:rPr>
        <w:t>Erstens</w:t>
      </w:r>
      <w:r>
        <w:rPr>
          <w:rFonts w:ascii="Arial" w:hAnsi="Arial"/>
          <w:b w:val="0"/>
          <w:i w:val="0"/>
          <w:sz w:val="19"/>
        </w:rPr>
        <w:t xml:space="preserve"> beantwortet die IFR die Definitionsfrage genau umgekehrt zur Alltagsvorstellung: Nicht die Bauform entscheidet (Beine sind entbehrlich), sondern die Umgebung, für die das Gerät gebaut ist. Eine steuerrechtliche Anknüpfung an das „Menschenähnliche" liefe damit auf ein Merkmal hinaus, das die Fachstatistik selbst nicht als konstitutiv ansieht. </w:t>
      </w:r>
      <w:r>
        <w:rPr>
          <w:rFonts w:ascii="Arial" w:hAnsi="Arial"/>
          <w:b w:val="0"/>
          <w:i/>
          <w:sz w:val="19"/>
        </w:rPr>
        <w:t>Zweitens</w:t>
      </w:r>
      <w:r>
        <w:rPr>
          <w:rFonts w:ascii="Arial" w:hAnsi="Arial"/>
          <w:b w:val="0"/>
          <w:i w:val="0"/>
          <w:sz w:val="19"/>
        </w:rPr>
        <w:t xml:space="preserve"> trennt die IFR den Erwerb vom produktiven Einsatz — eine Unterscheidung, die für jeden Steuertatbestand vom Typ 1 (Stücksteuer pro Roboter, § 2.1) unmittelbar erheblich wäre, weil sie den Bestand von der substituierten Arbeit entkoppelt. </w:t>
      </w:r>
      <w:r>
        <w:rPr>
          <w:rFonts w:ascii="Arial" w:hAnsi="Arial"/>
          <w:b w:val="0"/>
          <w:i/>
          <w:sz w:val="19"/>
        </w:rPr>
        <w:t>Drittens</w:t>
      </w:r>
      <w:r>
        <w:rPr>
          <w:rFonts w:ascii="Arial" w:hAnsi="Arial"/>
          <w:b w:val="0"/>
          <w:i w:val="0"/>
          <w:sz w:val="19"/>
        </w:rPr>
        <w:t xml:space="preserve"> fällt die Größenordnung auf: Die Zahl verkaufter Humanoider liegt bei gut einem Prozent der jährlichen Industrieroboter-Installationen — wobei die Bezugsjahre auseinanderfallen, weil die Humanoiden-Zählung für 2025 vorliegt, die Vergleichsgrößen der IFR dagegen für 2024 —, während die Prognose eines Investmenthauses für 2026 bereits 90.000 Einheiten und für 2030 1,2 Millionen Einheiten nennt. Die Prognose ist als solche zu kennzeichnen und nicht mit der Erhebung zu vermengen; genau dieser Abstand zwischen gemessenem Bestand und erwarteter Entwicklung ist aber der Grund, warum die Debatte über eine Besteuerung physischer Automatisierung der physischen Automatisierung selbst derzeit deutlich vorausläuft (vgl. § 1.1 zur Verlagerung der beobachtbaren Verdrängung in kognitive Tätigkeiten und § 9.2 zur Messbarkeit).</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jc w:val="both"/>
      </w:pPr>
      <w:r>
        <w:rPr>
          <w:rFonts w:ascii="Arial" w:hAnsi="Arial"/>
          <w:b/>
          <w:i w:val="0"/>
          <w:sz w:val="19"/>
        </w:rPr>
        <w:t>Fortschreibung auf Instrumentenebene (RAND, August/September 2026):</w:t>
      </w:r>
      <w:r>
        <w:rPr>
          <w:rFonts w:ascii="Arial" w:hAnsi="Arial"/>
          <w:b w:val="0"/>
          <w:i w:val="0"/>
          <w:sz w:val="19"/>
        </w:rPr>
        <w:t xml:space="preserve"> Der Befund von Acemoglu, Manera und Restrepo ist bislang ein Modellergebnis auf aggregierter Ebene — er benennt die Verzerrung zwischen den Faktoren, nicht die einzelnen Vorschriften, die sie erzeugen. Diese Lücke schließt eine Arbeit der </w:t>
      </w:r>
      <w:r>
        <w:rPr>
          <w:rFonts w:ascii="Arial" w:hAnsi="Arial"/>
          <w:b w:val="0"/>
          <w:i/>
          <w:sz w:val="19"/>
        </w:rPr>
        <w:t>RAND Corporation</w:t>
      </w:r>
      <w:r>
        <w:rPr>
          <w:rFonts w:ascii="Arial" w:hAnsi="Arial"/>
          <w:b w:val="0"/>
          <w:i w:val="0"/>
          <w:sz w:val="19"/>
        </w:rPr>
        <w:t xml:space="preserve">, die am 17. September 2026 in einem Interview mit dem Mitautor </w:t>
      </w:r>
      <w:r>
        <w:rPr>
          <w:rFonts w:ascii="Arial" w:hAnsi="Arial"/>
          <w:b w:val="0"/>
          <w:i/>
          <w:sz w:val="19"/>
        </w:rPr>
        <w:t>Carter C. Price</w:t>
      </w:r>
      <w:r>
        <w:rPr>
          <w:rFonts w:ascii="Arial" w:hAnsi="Arial"/>
          <w:b w:val="0"/>
          <w:i w:val="0"/>
          <w:sz w:val="19"/>
        </w:rPr>
        <w:t xml:space="preserve"> zusammengefasst worden ist. Grundlage ist das </w:t>
      </w:r>
      <w:r>
        <w:rPr>
          <w:rFonts w:ascii="Arial" w:hAnsi="Arial"/>
          <w:b w:val="0"/>
          <w:i/>
          <w:sz w:val="19"/>
        </w:rPr>
        <w:t>RAND Tax Code Analysis Tool</w:t>
      </w:r>
      <w:r>
        <w:rPr>
          <w:rFonts w:ascii="Arial" w:hAnsi="Arial"/>
          <w:b w:val="0"/>
          <w:i w:val="0"/>
          <w:sz w:val="19"/>
        </w:rPr>
        <w:t>, mit dem nach eigener Darstellung der gesamte US-Bundessteuerkodex von rund 7.000 Seiten Vorschrift für Vorschrift auf beschäftigungsrelevante Wirkungen durchgesehen worden ist. Als beschäftigungsfeindlich identifiziert werden dabei zwei Regelungskomplexe: der Arbeitgeberanteil der Lohnsummensteuer (</w:t>
      </w:r>
      <w:r>
        <w:rPr>
          <w:rFonts w:ascii="Arial" w:hAnsi="Arial"/>
          <w:b w:val="0"/>
          <w:i/>
          <w:sz w:val="19"/>
        </w:rPr>
        <w:t>employer payroll tax</w:t>
      </w:r>
      <w:r>
        <w:rPr>
          <w:rFonts w:ascii="Arial" w:hAnsi="Arial"/>
          <w:b w:val="0"/>
          <w:i w:val="0"/>
          <w:sz w:val="19"/>
        </w:rPr>
        <w:t>), der die Einstellung jeder zusätzlichen Arbeitskraft unmittelbar verteuert, und die Regeln zur vorgezogenen Abschreibung langlebiger Wirtschaftsgüter, die den Erwerb etwa eines Robotiksystems rechnerisch günstiger stellen, als es dem tatsächlichen Werteverzehr entspricht — nach der Formulierung der Autoren eine „direkte Subvention" für die Verdrängung menschlicher Arbeit. Damit liegt erstmals eine vorschriftengenaue Belegkette für die These vor, die Acemoglu, Manera und Restrepo 2020 modelltheoretisch entwickelt hatten (Konjunktivpflicht nach § 4.2 Claude.md, soweit es sich um Politikvorschläge handelt). Die begleitende Aufsatzfassung (</w:t>
      </w:r>
      <w:r>
        <w:rPr>
          <w:rFonts w:ascii="Arial" w:hAnsi="Arial"/>
          <w:b w:val="0"/>
          <w:i/>
          <w:sz w:val="19"/>
        </w:rPr>
        <w:t>Price &amp; Wenger</w:t>
      </w:r>
      <w:r>
        <w:rPr>
          <w:rFonts w:ascii="Arial" w:hAnsi="Arial"/>
          <w:b w:val="0"/>
          <w:i w:val="0"/>
          <w:sz w:val="19"/>
        </w:rPr>
        <w:t xml:space="preserve">, August 2026) beziffert die fiskalische Seite: Rund zwei Drittel — an anderer Stelle mit 65 Prozent angegeben — des US-Bundesaufkommens stammten aus dem Faktor Arbeit in Form von Lohnsummen- und Einkommensteuer; der Rest aus Konsum und Kapital. Weil langfristige Veräußerungsgewinne mit höchstens 20 Prozent gegenüber 37 Prozent auf Arbeitseinkommen belastet werden, falle der effektive Steuersatz auf das Volkseinkommen </w:t>
      </w:r>
      <w:r>
        <w:rPr>
          <w:rFonts w:ascii="Arial" w:hAnsi="Arial"/>
          <w:b w:val="0"/>
          <w:i/>
          <w:sz w:val="19"/>
        </w:rPr>
        <w:t>automatisch</w:t>
      </w:r>
      <w:r>
        <w:rPr>
          <w:rFonts w:ascii="Arial" w:hAnsi="Arial"/>
          <w:b w:val="0"/>
          <w:i w:val="0"/>
          <w:sz w:val="19"/>
        </w:rPr>
        <w:t>, sobald Künstliche Intelligenz Einkommen von Arbeit zu Kapital verschiebe — die Aufkommenserosion setze also nicht erst mit Arbeitsplatzverlusten ein, sondern bereits mit der Verschiebung der Faktoranteile. Die zugrunde liegende Szenarienrechnung (</w:t>
      </w:r>
      <w:r>
        <w:rPr>
          <w:rFonts w:ascii="Arial" w:hAnsi="Arial"/>
          <w:b w:val="0"/>
          <w:i/>
          <w:sz w:val="19"/>
        </w:rPr>
        <w:t>Price &amp; Suresh</w:t>
      </w:r>
      <w:r>
        <w:rPr>
          <w:rFonts w:ascii="Arial" w:hAnsi="Arial"/>
          <w:b w:val="0"/>
          <w:i w:val="0"/>
          <w:sz w:val="19"/>
        </w:rPr>
        <w:t xml:space="preserve">, 25. August 2026; Vorfassung November 2025) präzisiert das: 2024 stammten 84 Prozent des US-Bundesaufkommens aus Einkommen- oder Lohnsummensteuer, beide am Arbeitseinkommen erhoben; wegen der Konzentration hoher Einkommen in gut bezahlten Bürotätigkeiten träfe deren Ersetzung das Aufkommen überproportional; selbst bei gelingender Wiederbeschäftigung zu vergleichbaren Bezügen entspräche der fiskalische Schock dem einer Rezession; und die Mehreinnahmen aus höheren Unternehmensgewinnen glichen die Ausfälle </w:t>
      </w:r>
      <w:r>
        <w:rPr>
          <w:rFonts w:ascii="Arial" w:hAnsi="Arial"/>
          <w:b w:val="0"/>
          <w:i/>
          <w:sz w:val="19"/>
        </w:rPr>
        <w:t>nicht</w:t>
      </w:r>
      <w:r>
        <w:rPr>
          <w:rFonts w:ascii="Arial" w:hAnsi="Arial"/>
          <w:b w:val="0"/>
          <w:i w:val="0"/>
          <w:sz w:val="19"/>
        </w:rPr>
        <w:t xml:space="preserve"> aus — dafür müsste der Körperschaftsteuersatz etwa verdoppelt werden, um auf das Belastungsniveau von Arbeitseinkommen zu kommen. Als Modellergebnis unter definierten Annahmen, nicht als Prognose, ist ferner der Gegenfall festzuhalten: Seien hochleistungsfähige Systeme breit zu ihren Inferenzkosten verfügbar, könnten viele Anbieter von margenlosen KI-Leistungen unterboten werden; die daraus folgende KI-induzierte Deflation würde dann </w:t>
      </w:r>
      <w:r>
        <w:rPr>
          <w:rFonts w:ascii="Arial" w:hAnsi="Arial"/>
          <w:b w:val="0"/>
          <w:i/>
          <w:sz w:val="19"/>
        </w:rPr>
        <w:t>auch</w:t>
      </w:r>
      <w:r>
        <w:rPr>
          <w:rFonts w:ascii="Arial" w:hAnsi="Arial"/>
          <w:b w:val="0"/>
          <w:i w:val="0"/>
          <w:sz w:val="19"/>
        </w:rPr>
        <w:t xml:space="preserve"> das Körperschaftsteueraufkommen mindern, so dass beide Bemessungsgrundlagen zugleich schrumpften. Für die Rezeption in diesem Papier ist die Übertragbarkeit einzugrenzen: Die Befunde gelten für den US-Bundeshaushalt, dessen Aufkommen anders als das deutsche nicht durch eine Umsatzsteuer auf Konsum stabilisiert wird — die Vereinigten Staaten sind nach Angabe der Autoren der einzige OECD-Staat ohne bundesstaatliche Mehrwertsteuer. Die instrumentenbezogene Aussage über Lohnsummenabgaben und Abschreibungsregeln ist dagegen strukturähnlich auf die deutsche Lage übertragbar (→ § 4.2, § 5.1); die fiskalischen Größenordnungen sind es nicht.</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Internationaler Währungsfonds (April 2026):</w:t>
      </w:r>
      <w:r>
        <w:rPr>
          <w:rFonts w:ascii="Arial" w:hAnsi="Arial"/>
          <w:b w:val="0"/>
          <w:i w:val="0"/>
          <w:sz w:val="19"/>
        </w:rPr>
        <w:t xml:space="preserve"> Neben der akademischen Literatur liegt seit April 2026 erstmals eine zusammenhängende Positionsbestimmung des </w:t>
      </w:r>
      <w:r>
        <w:rPr>
          <w:rFonts w:ascii="Arial" w:hAnsi="Arial"/>
          <w:b w:val="0"/>
          <w:i/>
          <w:sz w:val="19"/>
        </w:rPr>
        <w:t>Internationalen Währungsfonds</w:t>
      </w:r>
      <w:r>
        <w:rPr>
          <w:rFonts w:ascii="Arial" w:hAnsi="Arial"/>
          <w:b w:val="0"/>
          <w:i w:val="0"/>
          <w:sz w:val="19"/>
        </w:rPr>
        <w:t xml:space="preserve"> (International Monetary Fund, IWF) zur Steuerfrage vor. Ein elfköpfiges Autorenteam um Natalia Tamirisa unter der Leitung von Era Dabla-Norris legt mit „Global Economic and Financial Implications of Artificial Intelligence: Lessons from a Scenario-Planning Exercise" (IMF Note 2026/002) die Ergebnisse eines Fachgesprächs vom 10. und 11. Dezember 2025 vor, das der Fonds gemeinsam mit der von Anton Korinek geleiteten </w:t>
      </w:r>
      <w:r>
        <w:rPr>
          <w:rFonts w:ascii="Arial" w:hAnsi="Arial"/>
          <w:b w:val="0"/>
          <w:i/>
          <w:sz w:val="19"/>
        </w:rPr>
        <w:t>Economics of Transformative AI Initiative</w:t>
      </w:r>
      <w:r>
        <w:rPr>
          <w:rFonts w:ascii="Arial" w:hAnsi="Arial"/>
          <w:b w:val="0"/>
          <w:i w:val="0"/>
          <w:sz w:val="19"/>
        </w:rPr>
        <w:t xml:space="preserve"> der University of Virginia veranstaltet hat. Untersucht werden zwei Diffusionspfade über einen Fünfjahreshorizont bei gleicher Annahme rasch fortschreitender Modellfähigkeiten: ein </w:t>
      </w:r>
      <w:r>
        <w:rPr>
          <w:rFonts w:ascii="Arial" w:hAnsi="Arial"/>
          <w:b w:val="0"/>
          <w:i/>
          <w:sz w:val="19"/>
        </w:rPr>
        <w:t>Basispfad</w:t>
      </w:r>
      <w:r>
        <w:rPr>
          <w:rFonts w:ascii="Arial" w:hAnsi="Arial"/>
          <w:b w:val="0"/>
          <w:i w:val="0"/>
          <w:sz w:val="19"/>
        </w:rPr>
        <w:t xml:space="preserve"> mit ungleichmäßiger, durch Regulierung, Infrastruktur und betriebliche Reibungen gebremster Verbreitung und ein Pfad </w:t>
      </w:r>
      <w:r>
        <w:rPr>
          <w:rFonts w:ascii="Arial" w:hAnsi="Arial"/>
          <w:b w:val="0"/>
          <w:i/>
          <w:sz w:val="19"/>
        </w:rPr>
        <w:t>entfesselter Verbreitung</w:t>
      </w:r>
      <w:r>
        <w:rPr>
          <w:rFonts w:ascii="Arial" w:hAnsi="Arial"/>
          <w:b w:val="0"/>
          <w:i w:val="0"/>
          <w:sz w:val="19"/>
        </w:rPr>
        <w:t xml:space="preserve"> („runaway diffusion") mit breiter Automatisierung in Industrie und Dienstleistungen und zeitlich vorgezogener Verdrängung. Für die hier geführte Debatte sind vier Aussagen einschlägig. </w:t>
      </w:r>
      <w:r>
        <w:rPr>
          <w:rFonts w:ascii="Arial" w:hAnsi="Arial"/>
          <w:b w:val="0"/>
          <w:i/>
          <w:sz w:val="19"/>
        </w:rPr>
        <w:t>Erstens</w:t>
      </w:r>
      <w:r>
        <w:rPr>
          <w:rFonts w:ascii="Arial" w:hAnsi="Arial"/>
          <w:b w:val="0"/>
          <w:i w:val="0"/>
          <w:sz w:val="19"/>
        </w:rPr>
        <w:t xml:space="preserve"> erwartet der Fonds eine Erosion der arbeitsbezogenen Steuerbasis: Rückgänge bei Beschäftigung und Lohneinkommen schwächten die Bemessungsgrundlage der persönlichen Einkommensteuer, und zwar auch dann, wenn die Löhne der verbleibenden Beschäftigten stiegen. </w:t>
      </w:r>
      <w:r>
        <w:rPr>
          <w:rFonts w:ascii="Arial" w:hAnsi="Arial"/>
          <w:b w:val="0"/>
          <w:i/>
          <w:sz w:val="19"/>
        </w:rPr>
        <w:t>Zweitens</w:t>
      </w:r>
      <w:r>
        <w:rPr>
          <w:rFonts w:ascii="Arial" w:hAnsi="Arial"/>
          <w:b w:val="0"/>
          <w:i w:val="0"/>
          <w:sz w:val="19"/>
        </w:rPr>
        <w:t xml:space="preserve"> könne eine Verlagerung von der Arbeit auf das Kapital über höhere Unternehmensteuern diese Ausfälle angesichts von Kapitalmobilität, Marktkonzentration und internationalem Steuerwettbewerb nur teilweise ausgleichen — ein Befund, der die in § 9.3 referierte Einschränkung bestätigt. </w:t>
      </w:r>
      <w:r>
        <w:rPr>
          <w:rFonts w:ascii="Arial" w:hAnsi="Arial"/>
          <w:b w:val="0"/>
          <w:i/>
          <w:sz w:val="19"/>
        </w:rPr>
        <w:t>Drittens</w:t>
      </w:r>
      <w:r>
        <w:rPr>
          <w:rFonts w:ascii="Arial" w:hAnsi="Arial"/>
          <w:b w:val="0"/>
          <w:i w:val="0"/>
          <w:sz w:val="19"/>
        </w:rPr>
        <w:t xml:space="preserve"> rät der Fonds ausdrücklich von pauschalen Robotersteuern („blunt robot taxes") ab und empfiehlt stattdessen, die Steuersysteme auf die Erfassung </w:t>
      </w:r>
      <w:r>
        <w:rPr>
          <w:rFonts w:ascii="Arial" w:hAnsi="Arial"/>
          <w:b w:val="0"/>
          <w:i/>
          <w:sz w:val="19"/>
        </w:rPr>
        <w:t>ökonomischer Renten</w:t>
      </w:r>
      <w:r>
        <w:rPr>
          <w:rFonts w:ascii="Arial" w:hAnsi="Arial"/>
          <w:b w:val="0"/>
          <w:i w:val="0"/>
          <w:sz w:val="19"/>
        </w:rPr>
        <w:t xml:space="preserve"> auszurichten, die Kapitaleinkommensbesteuerung auf der Ebene der natürlichen Personen mit Sicherungen gegen Basiserosion zu stärken und die Steuerverwaltung selbst KI-gestützt zu ertüchtigen. </w:t>
      </w:r>
      <w:r>
        <w:rPr>
          <w:rFonts w:ascii="Arial" w:hAnsi="Arial"/>
          <w:b w:val="0"/>
          <w:i/>
          <w:sz w:val="19"/>
        </w:rPr>
        <w:t>Viertens</w:t>
      </w:r>
      <w:r>
        <w:rPr>
          <w:rFonts w:ascii="Arial" w:hAnsi="Arial"/>
          <w:b w:val="0"/>
          <w:i w:val="0"/>
          <w:sz w:val="19"/>
        </w:rPr>
        <w:t xml:space="preserve"> verlören beschäftigungsgebundene Sozialversicherungssysteme bei rascher Verbreitung an Wirksamkeit; nötig seien schnell skalierbare Transfersysteme mit schwächerer Bindung an den Erwerbsstatus, in zugespitzten Fällen bis hin zu Programmen nach Art eines bedingungslosen Grundeinkommens (§ 5.3). Ausdrücklich benannt wird eine Asymmetrie, die für die in Kapitel 8 entwickelte Position unmittelbar einschlägig ist: Die fiskalischen Probleme seien am schärfsten für Länder, die KI-Dienste </w:t>
      </w:r>
      <w:r>
        <w:rPr>
          <w:rFonts w:ascii="Arial" w:hAnsi="Arial"/>
          <w:b w:val="0"/>
          <w:i/>
          <w:sz w:val="19"/>
        </w:rPr>
        <w:t>konsumieren</w:t>
      </w:r>
      <w:r>
        <w:rPr>
          <w:rFonts w:ascii="Arial" w:hAnsi="Arial"/>
          <w:b w:val="0"/>
          <w:i w:val="0"/>
          <w:sz w:val="19"/>
        </w:rPr>
        <w:t>, statt sie zu produzieren (vgl. § 8.2).</w:t>
      </w:r>
    </w:p>
    <w:p>
      <w:pPr>
        <w:jc w:val="both"/>
      </w:pPr>
      <w:r>
        <w:rPr>
          <w:rFonts w:ascii="Arial" w:hAnsi="Arial"/>
          <w:b w:val="0"/>
          <w:i w:val="0"/>
          <w:sz w:val="19"/>
        </w:rPr>
        <w:t>Der Einordnung bedarf die Belastbarkeit. Es handelt sich nicht um eine quantifizierte Modellrechnung, sondern um eine Szenario-Planungsübung: Das Papier enthält keine eigenen Punktschätzungen zu Wachstum, Lohnquote oder Beschäftigung, die Beratungen liefen unter der Chatham-House-Regel (Inhalte dürfen wiedergegeben, aber keiner namentlich benannten Person zugeordnet werden), und die Reihe weist die Ansichten ausdrücklich den Verfasserinnen und Verfassern und nicht dem Fonds, seinem Exekutivdirektorium oder seiner Leitung zu. Die Aussagen sind deshalb als institutionell gerahmte Erwartungsbildung zu lesen, nicht als Prognose (§ 4.2 `Claude.md`). Inhaltlich steht der Fonds der Gegenposition in § 3.4 nahe, soweit er eine eigenständige Robotersteuer ablehnt, weicht von ihr aber im positiven Teil ab: de la Feria und andere verweisen auf die bestehende Steuerstruktur, der Fonds auf eine Neuausrichtung auf Renten- und persönliche Kapitaleinkommensbesteuerung. Gegenüber der in § 5.1 behandelten Wertschöpfungsabgabe ist das eine dritte Zugriffslogik — weder Maschine noch Wertschöpfung, sondern Rente als Bemessungsgrundlage.</w:t>
      </w:r>
    </w:p>
    <w:p>
      <w:pPr>
        <w:jc w:val="both"/>
      </w:pPr>
      <w:r>
        <w:rPr>
          <w:rFonts w:ascii="Arial" w:hAnsi="Arial"/>
          <w:b/>
          <w:i w:val="0"/>
          <w:sz w:val="19"/>
        </w:rPr>
        <w:t>Nakatani &amp; Miyamoto (März 2026):</w:t>
      </w:r>
      <w:r>
        <w:rPr>
          <w:rFonts w:ascii="Arial" w:hAnsi="Arial"/>
          <w:b w:val="0"/>
          <w:i w:val="0"/>
          <w:sz w:val="19"/>
        </w:rPr>
        <w:t xml:space="preserve"> Ryota Nakatani (Internationaler Währungsfonds) und Hiroaki Miyamoto (Hitotsubashi-Universität) schreiben mit „Optimal Taxation in the Automation Era" (MPRA Paper 128480, Fassung vom 19. März 2026, eingestellt am 20. April 2026) die bereits mit Nakatani (2024) geführte Linie fort und liefern zugleich die modellgestützte Gegenprobe zu der im vorstehenden Absatz referierten Position des Fonds. Die Autoren bestimmen in einem allgemeinen Gleichgewichtsmodell, das auf die Vereinigten Staaten kalibriert ist, für vier Instrumente gleichzeitig denjenigen Satz, der die Wohlfahrt im eingeschwungenen Zustand (Steady State — dem langfristigen Gleichgewicht des Modells) maximiert: Kapitaleinkommensteuer, Lohnsteuer auf ungelernte Arbeit, Steuer auf Automatisierungskapital (also eine Robotersteuer im Sinne des Typs 2 aus § 2.1) und Konsumsteuer. Nach einem Produktivitätsschub der automatisierungsbezogenen Kapitalgüter liege der wohlfahrtsmaximierende Satz sowohl der Kapitaleinkommensteuer als auch der Robotersteuer bei null, weil deren langfristige Investitionsverzerrungen den Umverteilungsnutzen überwögen; im Grundszenario werde die Wohlfahrt stattdessen durch eine Senkung der Lohnsteuer auf ungelernte Arbeit und vor allem der Konsumsteuer maximiert. Entscheidend sei jedoch die Substituierbarkeit: Seien ungelernte Arbeit und automatisierungsbezogenes Kapital in hohem Maße gegeneinander austauschbar, steige der optimale Konsumsteuersatz, und das zusätzliche Aufkommen werde an die verdrängten ungelernten Beschäftigten umverteilt.</w:t>
      </w:r>
    </w:p>
    <w:p>
      <w:pPr>
        <w:jc w:val="both"/>
      </w:pPr>
      <w:r>
        <w:rPr>
          <w:rFonts w:ascii="Arial" w:hAnsi="Arial"/>
          <w:b w:val="0"/>
          <w:i w:val="0"/>
          <w:sz w:val="19"/>
        </w:rPr>
        <w:t xml:space="preserve">Für die hier geführte Debatte ist die Arbeit in zwei Hinsichten einschlägig, in einer dritten aber ausdrücklich zu begrenzen. </w:t>
      </w:r>
      <w:r>
        <w:rPr>
          <w:rFonts w:ascii="Arial" w:hAnsi="Arial"/>
          <w:b w:val="0"/>
          <w:i/>
          <w:sz w:val="19"/>
        </w:rPr>
        <w:t>Erstens</w:t>
      </w:r>
      <w:r>
        <w:rPr>
          <w:rFonts w:ascii="Arial" w:hAnsi="Arial"/>
          <w:b w:val="0"/>
          <w:i w:val="0"/>
          <w:sz w:val="19"/>
        </w:rPr>
        <w:t xml:space="preserve"> verschärft sie das Nullergebnis für die Robotersteuer gegenüber Thuemmel (§ 3.2) und Guerreiro/Rebelo/Teles: Dort ist die Robotersteuer ein zweitbestes Instrument, das mit fallenden Roboterpreisen an Wert verliert; hier ist ihr optimaler Satz im Grundszenario von vornherein null. </w:t>
      </w:r>
      <w:r>
        <w:rPr>
          <w:rFonts w:ascii="Arial" w:hAnsi="Arial"/>
          <w:b w:val="0"/>
          <w:i/>
          <w:sz w:val="19"/>
        </w:rPr>
        <w:t>Zweitens</w:t>
      </w:r>
      <w:r>
        <w:rPr>
          <w:rFonts w:ascii="Arial" w:hAnsi="Arial"/>
          <w:b w:val="0"/>
          <w:i w:val="0"/>
          <w:sz w:val="19"/>
        </w:rPr>
        <w:t xml:space="preserve"> trifft sie sich mit der Position des Fonds (siehe unmittelbar oben) in der Ablehnung pauschaler Maschinensteuern, weicht aber im positiven Teil von ihr ab: Der Fonds verweist auf ökonomische Renten und die persönliche Kapitaleinkommensbesteuerung, das Modell auf die Konsumsteuer bei gleichzeitigem Nullsatz auf Kapitaleinkommen. Dass beide Aussagen von Autoren derselben Institution stammen, ist kein Widerspruch — die Arbeitspapierreihe bindet den Fonds nicht —, verdient aber den Hinweis, dass „die" Position des Fonds zur Kapitalbesteuerung derzeit nicht einheitlich ist. </w:t>
      </w:r>
      <w:r>
        <w:rPr>
          <w:rFonts w:ascii="Arial" w:hAnsi="Arial"/>
          <w:b w:val="0"/>
          <w:i/>
          <w:sz w:val="19"/>
        </w:rPr>
        <w:t>Drittens</w:t>
      </w:r>
      <w:r>
        <w:rPr>
          <w:rFonts w:ascii="Arial" w:hAnsi="Arial"/>
          <w:b w:val="0"/>
          <w:i w:val="0"/>
          <w:sz w:val="19"/>
        </w:rPr>
        <w:t xml:space="preserve"> und einschränkend: Es handelt sich um eine auf die Vereinigten Staaten kalibrierte Modellrechnung unter definierten Annahmen, nicht um eine politische Empfehlung und erst recht nicht um eine auf deutsche Verhältnisse übertragbare Aussage; die deutsche Sozialversicherung wird in diesem Instrumentensatz überhaupt nicht abgebildet, und gerade die Konsumsteuer ist in Deutschland verteilungspolitisch anders belastet als in einem Modell mit repräsentativen Haushaltsgruppen (vgl. § 4.3, § 5.1). </w:t>
      </w:r>
      <w:r>
        <w:rPr>
          <w:rFonts w:ascii="Arial" w:hAnsi="Arial"/>
          <w:b w:val="0"/>
          <w:i/>
          <w:sz w:val="19"/>
        </w:rPr>
        <w:t>Verfahrensvermerk:</w:t>
      </w:r>
      <w:r>
        <w:rPr>
          <w:rFonts w:ascii="Arial" w:hAnsi="Arial"/>
          <w:b w:val="0"/>
          <w:i w:val="0"/>
          <w:sz w:val="19"/>
        </w:rPr>
        <w:t xml:space="preserve"> Die vorstehende Wiedergabe stützt sich auf die wörtlich ausgelesene Zusammenfassung des Arbeitspapiers und auf dessen im Vorlauf ausgewerteten Volltext; eine maschinelle Textextraktion des Volltextes war in diesem Lauf nicht möglich, weshalb keine über die Zusammenfassung hinausgehenden Einzelwerte, Elastizitäten oder Kalibrierungsparameter zitiert werden.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 Über die Robotersteuer besteht in dieser Literatur inzwischen weitgehende Einigkeit; über das Instrument, das an ihre Stelle treten soll, nicht. Das Modell von Nakatani und Miyamoto (März 2026, § 3.3) markiert den Gegenpol zu Kleven und Zidar: Es kommt zu einem optimalen Satz von null nicht nur für die Robotersteuer, sondern auch für die Kapitaleinkommensteuer, und verlagert den Schwerpunkt auf die Konsumbesteuerung — womit es die Linie von Korinek und Lockwood stützt und die Kapitalspur verwirft. Die Spannweite der Empfehlungen reicht damit von einer substanziellen Kapitaleinkommensteuer bis zu deren vollständigem Verzicht, je nach Modellklasse und Kalibrierung. Für die praktische Steuerpolitik folgt daraus weniger eine Handlungsanweisung als eine Warnung: Die Robustheit dieser Ergebnisse gegenüber Modellwahl und Annahmen ist gering, und keine der Arbeiten ist auf deutsche Verhältnisse kalibriert (vgl. § 10.3).</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Effekte generativer KI auf das Bruttoinlandsprodukt (BIP) und die totale Faktorproduktivität (TFP — der Teil des Produktionszuwachses, der sich nicht durch mehr Kapital- oder Arbeitseinsatz erklärt)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jc w:val="both"/>
      </w:pPr>
      <w:r>
        <w:rPr>
          <w:rFonts w:ascii="Arial" w:hAnsi="Arial"/>
          <w:b/>
          <w:i w:val="0"/>
          <w:sz w:val="19"/>
        </w:rPr>
        <w:t>Spiegelbildliche Konstruktion aus der US-Debatte: die Gewinnprogression je Beschäftigten (RAND, August/September 2026):</w:t>
      </w:r>
      <w:r>
        <w:rPr>
          <w:rFonts w:ascii="Arial" w:hAnsi="Arial"/>
          <w:b w:val="0"/>
          <w:i w:val="0"/>
          <w:sz w:val="19"/>
        </w:rPr>
        <w:t xml:space="preserve"> Die oben beschriebene Substitutionsvariante verlagert die Arbeitgeberlast von der Lohnsumme auf die Wertschöpfung, hält also am Unternehmen als Schuldner fest und wechselt die Bemessungsgrundlage. Aus der US-Diskussion liegt seit August 2026 ein Vorschlag vor, der denselben Zweck — Entlastung des Faktors Arbeit ohne Aufkommensverlust — über eine andere Konstruktion verfolgt und deshalb als Kontrastfolie aufschlussreich ist. </w:t>
      </w:r>
      <w:r>
        <w:rPr>
          <w:rFonts w:ascii="Arial" w:hAnsi="Arial"/>
          <w:b w:val="0"/>
          <w:i/>
          <w:sz w:val="19"/>
        </w:rPr>
        <w:t>Price</w:t>
      </w:r>
      <w:r>
        <w:rPr>
          <w:rFonts w:ascii="Arial" w:hAnsi="Arial"/>
          <w:b w:val="0"/>
          <w:i w:val="0"/>
          <w:sz w:val="19"/>
        </w:rPr>
        <w:t xml:space="preserve"> und </w:t>
      </w:r>
      <w:r>
        <w:rPr>
          <w:rFonts w:ascii="Arial" w:hAnsi="Arial"/>
          <w:b w:val="0"/>
          <w:i/>
          <w:sz w:val="19"/>
        </w:rPr>
        <w:t>Wenger</w:t>
      </w:r>
      <w:r>
        <w:rPr>
          <w:rFonts w:ascii="Arial" w:hAnsi="Arial"/>
          <w:b w:val="0"/>
          <w:i w:val="0"/>
          <w:sz w:val="19"/>
        </w:rPr>
        <w:t xml:space="preserve"> schlagen vor (Konjunktivpflicht nach § 4.2 Claude.md), den Arbeitgeberanteil der Lohnsummensteuer zu streichen und durch zwei Unternehmensabgaben zu ersetzen: eine proportionale Abgabe auf den Unternehmensumsatz und eine </w:t>
      </w:r>
      <w:r>
        <w:rPr>
          <w:rFonts w:ascii="Arial" w:hAnsi="Arial"/>
          <w:b/>
          <w:i w:val="0"/>
          <w:sz w:val="19"/>
        </w:rPr>
        <w:t>progressive Körperschaftsteuer auf den Gewinn je Beschäftigten</w:t>
      </w:r>
      <w:r>
        <w:rPr>
          <w:rFonts w:ascii="Arial" w:hAnsi="Arial"/>
          <w:b w:val="0"/>
          <w:i w:val="0"/>
          <w:sz w:val="19"/>
        </w:rPr>
        <w:t xml:space="preserve">. Die Wirkungsweise lässt sich an dem von den Autoren selbst gewählten Zahlenbeispiel ablesen: Ein Unternehmen mit einer Million US-Dollar Gewinn und hundert Beschäftigten weist einen Gewinn je Beschäftigten von 10.000 US-Dollar aus; ersetzt es neunzig dieser Stellen durch Künstliche Intelligenz, steigt derselbe Gewinn rechnerisch auf 100.000 US-Dollar je Beschäftigten und rückt damit in eine höhere Tarifstufe — bei unverändertem Gewinn steigt die Steuerlast. Die Autoren betonen, dass die Konstruktion die Substitution nicht verhindern solle und auch nicht verhindern werde, wo der Produktivitätsvorsprung groß genug sei; sie solle lediglich die im Kodex angelegte Bevorzugung der Substitution aufheben. Drei Punkte sind für die deutsche Debatte festzuhalten. </w:t>
      </w:r>
      <w:r>
        <w:rPr>
          <w:rFonts w:ascii="Arial" w:hAnsi="Arial"/>
          <w:b w:val="0"/>
          <w:i/>
          <w:sz w:val="19"/>
        </w:rPr>
        <w:t>Erstens</w:t>
      </w:r>
      <w:r>
        <w:rPr>
          <w:rFonts w:ascii="Arial" w:hAnsi="Arial"/>
          <w:b w:val="0"/>
          <w:i w:val="0"/>
          <w:sz w:val="19"/>
        </w:rPr>
        <w:t xml:space="preserve"> knüpft die Konstruktion weder an Maschinen noch an Beschäftigtenzahlen unmittelbar an, sondern an das </w:t>
      </w:r>
      <w:r>
        <w:rPr>
          <w:rFonts w:ascii="Arial" w:hAnsi="Arial"/>
          <w:b w:val="0"/>
          <w:i/>
          <w:sz w:val="19"/>
        </w:rPr>
        <w:t>Verhältnis</w:t>
      </w:r>
      <w:r>
        <w:rPr>
          <w:rFonts w:ascii="Arial" w:hAnsi="Arial"/>
          <w:b w:val="0"/>
          <w:i w:val="0"/>
          <w:sz w:val="19"/>
        </w:rPr>
        <w:t xml:space="preserve"> von Gewinn zu Beschäftigung; sie fällt damit unter keinen der fünf in § 2.1 unterschiedenen Typen der „Robotersteuer" und ist hier deshalb als eigenständige Konstruktion referiert, nicht in die Typologie eingeordnet. </w:t>
      </w:r>
      <w:r>
        <w:rPr>
          <w:rFonts w:ascii="Arial" w:hAnsi="Arial"/>
          <w:b w:val="0"/>
          <w:i/>
          <w:sz w:val="19"/>
        </w:rPr>
        <w:t>Zweitens</w:t>
      </w:r>
      <w:r>
        <w:rPr>
          <w:rFonts w:ascii="Arial" w:hAnsi="Arial"/>
          <w:b w:val="0"/>
          <w:i w:val="0"/>
          <w:sz w:val="19"/>
        </w:rPr>
        <w:t xml:space="preserve"> teilt sie mit der Wertschöpfungsabgabe die Abgrenzungsfestigkeit: Sie muss weder definieren, was ein Roboter ist (→ § 2.2), noch eine Verdrängungskausalität nachweisen (→ § 9.1), sondern liest das Ergebnis der Substitution unmittelbar aus der Gewinn-und-Verlust-Rechnung ab. </w:t>
      </w:r>
      <w:r>
        <w:rPr>
          <w:rFonts w:ascii="Arial" w:hAnsi="Arial"/>
          <w:b w:val="0"/>
          <w:i/>
          <w:sz w:val="19"/>
        </w:rPr>
        <w:t>Drittens</w:t>
      </w:r>
      <w:r>
        <w:rPr>
          <w:rFonts w:ascii="Arial" w:hAnsi="Arial"/>
          <w:b w:val="0"/>
          <w:i w:val="0"/>
          <w:sz w:val="19"/>
        </w:rPr>
        <w:t xml:space="preserve"> unterscheidet sie sich von ihr in der Anreizrichtung: Während die Wertschöpfungsabgabe arbeitsintensive Betriebe entlastet, indem sie die Basis verbreitert, belastet die Gewinnprogression je Beschäftigten kapitalintensive Betriebe zusätzlich — was bei hoher Kapitalmobilität als Verlagerungsanreiz wirken kann (→ § 9.3). Als Aufkommensersatz nennen die Autoren ferner die Besteuerung langfristiger Veräußerungsgewinne zum Einkommensteuertarif (geschätztes Mehraufkommen 100 Milliarden US-Dollar jährlich oder mehr), eine bundesstaatliche Mehrwertsteuer (bei Ausgestaltung nach OECD-Muster knapp 20 Prozent des Bundesaufkommens), eine Bundesvermögensteuer und die Abschaffung der Wertaufstockung von Wirtschaftsgütern im Erbfall (</w:t>
      </w:r>
      <w:r>
        <w:rPr>
          <w:rFonts w:ascii="Arial" w:hAnsi="Arial"/>
          <w:b w:val="0"/>
          <w:i/>
          <w:sz w:val="19"/>
        </w:rPr>
        <w:t>step-up in basis</w:t>
      </w:r>
      <w:r>
        <w:rPr>
          <w:rFonts w:ascii="Arial" w:hAnsi="Arial"/>
          <w:b w:val="0"/>
          <w:i w:val="0"/>
          <w:sz w:val="19"/>
        </w:rPr>
        <w:t>, geschätzt zweistelliger Milliardenbetrag). Diese vier Instrumente betreffen die Aufkommens-, nicht die Beschäftigungsseite und sind deshalb hier nur benannt; ihre unterschiedliche Umsetzbarkeit ist in § 9.3 behandelt.</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jc w:val="both"/>
      </w:pPr>
      <w:r>
        <w:rPr>
          <w:rFonts w:ascii="Arial" w:hAnsi="Arial"/>
          <w:b/>
          <w:i w:val="0"/>
          <w:sz w:val="19"/>
        </w:rPr>
        <w:t>Empirische Gegenprobe aus dem Versorgungsalltag (Rashidi, Ugolini &amp; Fiorentini, 11. September 2026):</w:t>
      </w:r>
      <w:r>
        <w:rPr>
          <w:rFonts w:ascii="Arial" w:hAnsi="Arial"/>
          <w:b w:val="0"/>
          <w:i w:val="0"/>
          <w:sz w:val="19"/>
        </w:rPr>
        <w:t xml:space="preserve"> Für die hier beschriebene Gleichzeitigkeit von Substitution und Ergänzung liegt seit dem 11. September 2026 eine Messung aus einem europäischen Gesundheitssystem vor. Ein arXiv-Preprint (2609.12976 [econ.GN], ohne Begutachtung) untersucht die Einführung der automatisierten Insulinabgabe (</w:t>
      </w:r>
      <w:r>
        <w:rPr>
          <w:rFonts w:ascii="Arial" w:hAnsi="Arial"/>
          <w:b w:val="0"/>
          <w:i/>
          <w:sz w:val="19"/>
        </w:rPr>
        <w:t>automated insulin delivery</w:t>
      </w:r>
      <w:r>
        <w:rPr>
          <w:rFonts w:ascii="Arial" w:hAnsi="Arial"/>
          <w:b w:val="0"/>
          <w:i w:val="0"/>
          <w:sz w:val="19"/>
        </w:rPr>
        <w:t>, AID — Systeme, die die Insulindosierung auf Grundlage kontinuierlicher Glukosemessung selbsttätig steuern) bei 1.608 Erwachsenen mit Typ-1-Diabetes in vier Spezialambulanzen des italienischen Nationalen Gesundheitsdienstes, von denen 283 ein solches System übernahmen. Weil die Verordnung klinisch gezielt und zeitlich gestaffelt erfolge, verbinden die Autoren ein Matching-Verfahren (</w:t>
      </w:r>
      <w:r>
        <w:rPr>
          <w:rFonts w:ascii="Arial" w:hAnsi="Arial"/>
          <w:b w:val="0"/>
          <w:i/>
          <w:sz w:val="19"/>
        </w:rPr>
        <w:t>risk-set coarsened exact matching</w:t>
      </w:r>
      <w:r>
        <w:rPr>
          <w:rFonts w:ascii="Arial" w:hAnsi="Arial"/>
          <w:b w:val="0"/>
          <w:i w:val="0"/>
          <w:sz w:val="19"/>
        </w:rPr>
        <w:t>, ein Abgleich von Behandelten und Unbehandelten anhand grob gestufter Merkmale zum jeweiligen Übernahmezeitpunkt) mit einem gestaffelten Ereignisstudiendesign; 181 Übernehmende ließen sich mit vergleichbaren Kontrollpersonen zusammenführen. Der Befund liefe der naheliegenden Erwartung zuwider: Nach der Übernahme stiege die ambulante Inanspruchnahme, statt zu sinken. Die geschätzte Wirkung auf die Wahrscheinlichkeit eines diabetologischen Facharztkontakts betrage ein Halbjahr nach Übernahme 16,3 Prozentpunkte und nach vier Halbjahren 39,3 Prozentpunkte, gemessen an einer Ausgangswahrscheinlichkeit von 55,2 % im Halbjahr davor; HbA1c-Kontrollen und ein breiterer Prozessindex zeigten dasselbe Vorzeichen bei geringerer Präzision. Die Autoren ordnen ihr Ergebnis ausdrücklich in den aufgabenbasierten Rahmen ein (</w:t>
      </w:r>
      <w:r>
        <w:rPr>
          <w:rFonts w:ascii="Arial" w:hAnsi="Arial"/>
          <w:b w:val="0"/>
          <w:i/>
          <w:sz w:val="19"/>
        </w:rPr>
        <w:t>task-based framework</w:t>
      </w:r>
      <w:r>
        <w:rPr>
          <w:rFonts w:ascii="Arial" w:hAnsi="Arial"/>
          <w:b w:val="0"/>
          <w:i w:val="0"/>
          <w:sz w:val="19"/>
        </w:rPr>
        <w:t>, → § 3.1): Die Automatisierung ersetze die Routineentscheidung über die Dosierung und ergänze zugleich die ärztliche Arbeit in den deutenden, anpassenden und überwachenden Aufgaben; patientennahe Automatisierung könne die Inanspruchnahme daher eher umorganisieren als verringern. Sie halten selbst fest, dass die Schätzungen von der Annahme über die Fortschreibung des unbehandelten Verlaufs abhingen und nur unter diesem Vorbehalt zu lesen seien. Für die Besteuerungsfrage ist der Befund in zweierlei Hinsicht erheblich: Er stützt die hier vertretene Einschätzung, dass im Gesundheitswesen Ergänzung und Substitution nebeneinander auftreten (vgl. § 7.3), und er zeigt zugleich, wie schwer ein an der Verdrängung anknüpfender Steuertatbestand in diesem Sektor zu erfüllen wäre — die Technik ersetzte hier eine Aufgabe, ohne dass die Arbeitsnachfrage insgesamt sänke (→ § 9.1).</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jc w:val="both"/>
      </w:pPr>
      <w:r>
        <w:rPr>
          <w:rFonts w:ascii="Arial" w:hAnsi="Arial"/>
          <w:b/>
          <w:i w:val="0"/>
          <w:sz w:val="19"/>
        </w:rPr>
        <w:t>Zehnte Fortschreibung (handelsbasierte Vermessung der KI-Zulieferfähigkeit — Moon, Hwang, Hwang &amp; Jeong, 15. September 2026):</w:t>
      </w:r>
      <w:r>
        <w:rPr>
          <w:rFonts w:ascii="Arial" w:hAnsi="Arial"/>
          <w:b w:val="0"/>
          <w:i w:val="0"/>
          <w:sz w:val="19"/>
        </w:rPr>
        <w:t xml:space="preserve"> Die Rohstoff-Analogie dieses Abschnitts ist bislang entlang der Modell- und der Rechenschicht geführt worden. Ein arXiv-Preprint vom 15. September 2026 (2609.17200, ohne Begutachtung) vermisst die vorgelagerte </w:t>
      </w:r>
      <w:r>
        <w:rPr>
          <w:rFonts w:ascii="Arial" w:hAnsi="Arial"/>
          <w:b w:val="0"/>
          <w:i/>
          <w:sz w:val="19"/>
        </w:rPr>
        <w:t>Güterschicht</w:t>
      </w:r>
      <w:r>
        <w:rPr>
          <w:rFonts w:ascii="Arial" w:hAnsi="Arial"/>
          <w:b w:val="0"/>
          <w:i w:val="0"/>
          <w:sz w:val="19"/>
        </w:rPr>
        <w:t xml:space="preserve"> und liefert damit einen Bezugspunkt, der für die erste Säule der These — die Veredelungsstrategie — unmittelbar einschlägig ist. Die Autoren übertragen den Ansatz der ökonomischen Komplexität (ein handelsdatengestütztes Maß dafür, wie anspruchsvoll und wie breit das Exportbündel einer Volkswirtschaft ist) auf 103 als KI-ermöglichend eingestufte Warenpositionen und werten dafür die BACI-Handelsdaten der Jahre 2007 bis 2023 für 162 auswertbare Volkswirtschaften aus. Der Weltexport dieser Warengruppe sei nominal von 1,52 auf 2,82 Billionen US-Dollar gestiegen; die fünf größten Exporteure hielten 2023 zusammen 55,2 % davon. Die Warengruppe sei überdurchschnittlich anspruchsvoll: Ihr mittlerer Produktkomplexitätsindex liege bei 0,837 gegenüber rund null im gesamten Warenraum, 58,3 % der Positionen lägen im obersten Komplexitätsquartil. Für die Deutschland-These ist die Rangfolge des Jahres 2023 der eigentliche Befund: Beim komplexitätsgewichteten Spezialisierungsmaß (AECI) führe Japan mit 3,996 vor China mit 3,666 und </w:t>
      </w:r>
      <w:r>
        <w:rPr>
          <w:rFonts w:ascii="Arial" w:hAnsi="Arial"/>
          <w:b/>
          <w:i w:val="0"/>
          <w:sz w:val="19"/>
        </w:rPr>
        <w:t>Deutschland mit 3,535</w:t>
      </w:r>
      <w:r>
        <w:rPr>
          <w:rFonts w:ascii="Arial" w:hAnsi="Arial"/>
          <w:b w:val="0"/>
          <w:i w:val="0"/>
          <w:sz w:val="19"/>
        </w:rPr>
        <w:t>; die Vereinigten Staaten folgten mit 2,991 vor Taiwan mit 2,977, Südkorea erreiche 2,241 und Italien 1,643. Deutschland weise in 61 der 103 Positionen eine offenbarte Spezialisierung auf (Japan 64, China 66, Vereinigte Staaten 53) bei einer mittleren normierten Produktkomplexität von 0,654. Auch bei den verbleibenden Anschlussmöglichkeiten (AECP) stehe Deutschland mit 3,382 und 42 Kandidatenpositionen an dritter Stelle hinter China (4,144) und Italien (3,442). Das Bild fügt sich in die hier vertretene Position: Deutschland ist in der Modellschicht nachrangig (§ 8.2, erste bis neunte Fortschreibung), in der Schicht der Güter, ohne die diese Modelle nicht gebaut und betrieben werden können, aber unter den drei stärksten Volkswirtschaften. Genau dort setzt die Veredelungsstrategie an (§ 8.5). Die Autoren selbst schränken ein, ihre Kennzahlen seien eine vorläufige Ergänzung zu Publikations- und Patentindikatoren, kein umfassendes Maß nationaler KI-Leistungsfähigkeit und keine geprüfte Prognose künftiger Diversifizierung; der Zusammenhang zwischen dem anfänglichen Rohpotenzial und der späteren Veränderung von AECI und Spezialisierungszahl sei auf dem 5-Prozent-Niveau nicht signifikant. Mit diesem Vorbehalt ist der Befund hier als Standortbestimmung, nicht als Prognose zu lesen.</w:t>
      </w:r>
    </w:p>
    <w:p>
      <w:pPr>
        <w:jc w:val="both"/>
      </w:pPr>
      <w:r>
        <w:rPr>
          <w:rFonts w:ascii="Arial" w:hAnsi="Arial"/>
          <w:b/>
          <w:i w:val="0"/>
          <w:sz w:val="19"/>
        </w:rPr>
        <w:t>Elfte Fortschreibung (Strategiekreis für Technologie und Innovation des Bundeskanzlers, 16. September 2026 — die Veredelungsspur erhält eine Regierungsentsprechung, die Finanzierungsspur wieder nicht):</w:t>
      </w:r>
      <w:r>
        <w:rPr>
          <w:rFonts w:ascii="Arial" w:hAnsi="Arial"/>
          <w:b w:val="0"/>
          <w:i w:val="0"/>
          <w:sz w:val="19"/>
        </w:rPr>
        <w:t xml:space="preserve"> Am selben Tag, an dem die europäische Ebene ihre Gesamtbilanz gezogen hat (Neunte Fortschreibung), hat der Bundeskanzler den </w:t>
      </w:r>
      <w:r>
        <w:rPr>
          <w:rFonts w:ascii="Arial" w:hAnsi="Arial"/>
          <w:b w:val="0"/>
          <w:i/>
          <w:sz w:val="19"/>
        </w:rPr>
        <w:t>Strategiekreis für Technologie und Innovation</w:t>
      </w:r>
      <w:r>
        <w:rPr>
          <w:rFonts w:ascii="Arial" w:hAnsi="Arial"/>
          <w:b w:val="0"/>
          <w:i w:val="0"/>
          <w:sz w:val="19"/>
        </w:rPr>
        <w:t xml:space="preserve"> zu seiner dritten Sitzung im Bundeskanzleramt empfangen. Beteiligt waren neben der Leitung des Kanzleramts die Ressorts für Wirtschaft und Energie (BMWE), Forschung, Technologie und Raumfahrt (BMFTR), Digitales und Staatsmodernisierung (BMDS), Finanzen (BMF) und Verteidigung (BMVg) sowie acht Sachverständige aus Wirtschaft und Wissenschaft, darunter der Präsident der Deutschen Akademie der Technikwissenschaften (acatech), der Präsident der Fraunhofer-Gesellschaft sowie Unternehmensvertreterinnen und -vertreter aus der Sprachtechnologie und der Biotechnologie. Zwei Schwerpunkte standen auf der Tagesordnung: die Stärkung des nationalen KI-Ökosystems und Innovationspotenziale im Verteidigungsbereich. Zur ersten Frage kommt das Gremium zu dem Ergebnis, dass gerade die </w:t>
      </w:r>
      <w:r>
        <w:rPr>
          <w:rFonts w:ascii="Arial" w:hAnsi="Arial"/>
          <w:b w:val="0"/>
          <w:i/>
          <w:sz w:val="19"/>
        </w:rPr>
        <w:t>industrielle</w:t>
      </w:r>
      <w:r>
        <w:rPr>
          <w:rFonts w:ascii="Arial" w:hAnsi="Arial"/>
          <w:b w:val="0"/>
          <w:i w:val="0"/>
          <w:sz w:val="19"/>
        </w:rPr>
        <w:t xml:space="preserve"> Künstliche Intelligenz eine besondere Chance biete, Deutschland als KI-Nation zu etablieren; empfohlen werden eine Verzahnung der </w:t>
      </w:r>
      <w:r>
        <w:rPr>
          <w:rFonts w:ascii="Arial" w:hAnsi="Arial"/>
          <w:b w:val="0"/>
          <w:i/>
          <w:sz w:val="19"/>
        </w:rPr>
        <w:t>Hightech Agenda Deutschland</w:t>
      </w:r>
      <w:r>
        <w:rPr>
          <w:rFonts w:ascii="Arial" w:hAnsi="Arial"/>
          <w:b w:val="0"/>
          <w:i w:val="0"/>
          <w:sz w:val="19"/>
        </w:rPr>
        <w:t xml:space="preserve"> mit den europäischen Vorhaben von gemeinsamem europäischem Interesse (Important Projects of Common European Interest, IPCEI) sowie der Einsatz einer KI-Taskforce der Bundesregierung. Erörtert wurden ferner das Potenzial Künstlicher Intelligenz für die nächste Robotikgeneration (vgl. § 2.2) und der Schutz geistigen Eigentums.</w:t>
      </w:r>
    </w:p>
    <w:p>
      <w:pPr>
        <w:jc w:val="both"/>
      </w:pPr>
      <w:r>
        <w:rPr>
          <w:rFonts w:ascii="Arial" w:hAnsi="Arial"/>
          <w:b w:val="0"/>
          <w:i w:val="0"/>
          <w:sz w:val="19"/>
        </w:rPr>
        <w:t xml:space="preserve">Für die erste Säule der These — die Veredelungsstrategie — ist der Vorgang in drei Hinsichten aufschlussreich. </w:t>
      </w:r>
      <w:r>
        <w:rPr>
          <w:rFonts w:ascii="Arial" w:hAnsi="Arial"/>
          <w:b w:val="0"/>
          <w:i/>
          <w:sz w:val="19"/>
        </w:rPr>
        <w:t>Erstens</w:t>
      </w:r>
      <w:r>
        <w:rPr>
          <w:rFonts w:ascii="Arial" w:hAnsi="Arial"/>
          <w:b w:val="0"/>
          <w:i w:val="0"/>
          <w:sz w:val="19"/>
        </w:rPr>
        <w:t xml:space="preserve"> formuliert ein Beratungsgremium der Regierungsspitze eine Zielbestimmung, die strukturell mit der in diesem Abschnitt vertretenen Position übereinstimmt: Der deutsche Zugriff wird nicht auf der Ebene des Basismodells, sondern auf der industriellen Anwendungs- und Veredelungsschicht gesucht. </w:t>
      </w:r>
      <w:r>
        <w:rPr>
          <w:rFonts w:ascii="Arial" w:hAnsi="Arial"/>
          <w:b w:val="0"/>
          <w:i/>
          <w:sz w:val="19"/>
        </w:rPr>
        <w:t>Zweitens</w:t>
      </w:r>
      <w:r>
        <w:rPr>
          <w:rFonts w:ascii="Arial" w:hAnsi="Arial"/>
          <w:b w:val="0"/>
          <w:i w:val="0"/>
          <w:sz w:val="19"/>
        </w:rPr>
        <w:t xml:space="preserve"> reproduziert der Beschluss zugleich die Leerstelle, die in § 4.5 gegenüber dem OpenAI-Papier und in der Neunten Fortschreibung gegenüber der europäischen Bilanz festgehalten worden ist: Die Antwort bleibt vollständig industrie- und förderpolitisch; Finanzierung, Bemessungsgrundlage und Teilhabe (§ 8.3) kommen nicht vor, obwohl mit dem Bundesfinanzministerium das dafür zuständige Ressort am Tisch saß. Die Veredelungsspur und die Finanzierungsspur der These werden damit auf Regierungsebene weiterhin getrennt geführt. </w:t>
      </w:r>
      <w:r>
        <w:rPr>
          <w:rFonts w:ascii="Arial" w:hAnsi="Arial"/>
          <w:b w:val="0"/>
          <w:i/>
          <w:sz w:val="19"/>
        </w:rPr>
        <w:t>Drittens</w:t>
      </w:r>
      <w:r>
        <w:rPr>
          <w:rFonts w:ascii="Arial" w:hAnsi="Arial"/>
          <w:b w:val="0"/>
          <w:i w:val="0"/>
          <w:sz w:val="19"/>
        </w:rPr>
        <w:t xml:space="preserve"> handelt es sich um Empfehlungen eines Beratungsgremiums, nicht um Beschlusslage; sie wären erst über die </w:t>
      </w:r>
      <w:r>
        <w:rPr>
          <w:rFonts w:ascii="Arial" w:hAnsi="Arial"/>
          <w:b w:val="0"/>
          <w:i/>
          <w:sz w:val="19"/>
        </w:rPr>
        <w:t>Hightech Agenda Deutschland</w:t>
      </w:r>
      <w:r>
        <w:rPr>
          <w:rFonts w:ascii="Arial" w:hAnsi="Arial"/>
          <w:b w:val="0"/>
          <w:i w:val="0"/>
          <w:sz w:val="19"/>
        </w:rPr>
        <w:t>, die Haushaltsaufstellung und gegebenenfalls ein IPCEI-Verfahren umzusetzen (Konjunktivpflicht nach § 4.2 `Claude.md`). Ein Verfahrensvermerk ist mitzuführen: Die amtliche Meldung des Bundeskanzlers enthält lediglich die Terminankündigung mit den beiden Themenschwerpunkten; der inhaltliche Bericht mit den oben referierten Empfehlungen stammt von acatech, das den Strategiekreis wissenschaftlich begleitet — also von einem Beteiligten und nicht von einer unabhängigen Instanz. Zahlenangaben zu Investitionsvolumina oder Förderhöhen enthält keine der beiden Quellen.</w:t>
      </w:r>
    </w:p>
    <w:p>
      <w:pPr>
        <w:jc w:val="both"/>
      </w:pPr>
      <w:r>
        <w:rPr>
          <w:rFonts w:ascii="Arial" w:hAnsi="Arial"/>
          <w:b/>
          <w:i w:val="0"/>
          <w:sz w:val="19"/>
        </w:rPr>
        <w:t>Zwölfte Fortschreibung (Hintergrundpapier des Internationalen Währungsfonds für den informellen Rat der Wirtschafts- und Finanzminister, Dublin, 18./19. September 2026 — die Rohstoff-Analogie erhält eine institutionelle Entsprechung):</w:t>
      </w:r>
      <w:r>
        <w:rPr>
          <w:rFonts w:ascii="Arial" w:hAnsi="Arial"/>
          <w:b w:val="0"/>
          <w:i w:val="0"/>
          <w:sz w:val="19"/>
        </w:rPr>
        <w:t xml:space="preserve"> Die in § 3.3 referierte Positionsbestimmung des Fonds vom April 2026 ist global angelegt. Am </w:t>
      </w:r>
      <w:r>
        <w:rPr>
          <w:rFonts w:ascii="Arial" w:hAnsi="Arial"/>
          <w:b w:val="0"/>
          <w:i/>
          <w:sz w:val="19"/>
        </w:rPr>
        <w:t>18. und 19. September 2026</w:t>
      </w:r>
      <w:r>
        <w:rPr>
          <w:rFonts w:ascii="Arial" w:hAnsi="Arial"/>
          <w:b w:val="0"/>
          <w:i w:val="0"/>
          <w:sz w:val="19"/>
        </w:rPr>
        <w:t xml:space="preserve"> hat der Fonds diese Linie erstmals ausdrücklich auf Europa angewandt: Für den informellen Rat der Wirtschafts- und Finanzminister der Europäischen Union in Dublin, dessen zweite Arbeitssitzung unter dem Titel </w:t>
      </w:r>
      <w:r>
        <w:rPr>
          <w:rFonts w:ascii="Arial" w:hAnsi="Arial"/>
          <w:b w:val="0"/>
          <w:i/>
          <w:sz w:val="19"/>
        </w:rPr>
        <w:t>Preparing the Economy for the Future — The Impact of Artificial Intelligence</w:t>
      </w:r>
      <w:r>
        <w:rPr>
          <w:rFonts w:ascii="Arial" w:hAnsi="Arial"/>
          <w:b w:val="0"/>
          <w:i w:val="0"/>
          <w:sz w:val="19"/>
        </w:rPr>
        <w:t xml:space="preserve"> stand, hat er ein Hintergrundpapier vorgelegt. Nach der Berichterstattung der Nachrichtenagentur Reuters vom 19./20. September 2026 hebe Künstliche Intelligenz die europäische Produktivität um rund ein Prozent über fünf Jahre — eine Größenordnung, die mit der bereits veröffentlichten Schätzung des Fonds von rund 1,1 Prozent kumuliert über fünf Jahre übereinstimmt —, drohe aber zugleich die Ungleichheit zu vergrößern, die Stromnetze zu belasten und die Abhängigkeit von ausländischer Technologie zu erhöhen, sofern die Mitgliedstaaten die wirtschaftliche Integration nicht vertieften. Nutzen und Kosten seien voraussichtlich ungleich über Länder, Regionen und Beschäftigte verteilt; rund 60 Prozent der Beschäftigten in den fortgeschrittenen europäischen Volkswirtschaften arbeiteten in Berufen mit hoher KI-Exposition. Die europäischen Rechenzentren verbrauchten bereits rund drei Prozent des Stroms des Kontinents, mit besonderer Belastung der Ballungsräume Frankfurt, London, Amsterdam, Paris und Dublin. Empfohlen werden die Vollendung des Binnenmarktes, Investitionen in grenzüberschreitende Netzinfrastruktur und eine tiefere Integration des europäischen Energiemarktes.</w:t>
      </w:r>
    </w:p>
    <w:p>
      <w:pPr>
        <w:jc w:val="both"/>
      </w:pPr>
      <w:r>
        <w:rPr>
          <w:rFonts w:ascii="Arial" w:hAnsi="Arial"/>
          <w:b w:val="0"/>
          <w:i w:val="0"/>
          <w:sz w:val="19"/>
        </w:rPr>
        <w:t xml:space="preserve">Für die Rohstoff-Analogie dieses Abschnitts ist die letzte Aussage des Papiers die wichtigste: Europa laufe Gefahr, eine weitere strategische Abhängigkeit auszubilden, weil die Vereinigten Staaten und die Volksrepublik China die Entwicklung der Modelle beherrschten, und müsse erheblich in eine eigene KI-Industrie investieren, um nicht auf ausländische Technologie angewiesen zu sein. Damit formuliert eine internationale Finanzinstitution für Europa genau jene Lagebeschreibung, die dieser Abschnitt für Deutschland aus der Rohstoff-Analogie ableitet — Verarbeiter, nicht Förderer (§ 8.2). Die Übereinstimmung reicht allerdings nur bis zur Diagnose. In der Therapie bleibt das Papier auf der Angebotsseite: Binnenmarkt, Netze, Energie, eigene Industrie. Die beiden übrigen Säulen der These — die Umstellung der Sozialstaatsfinanzierung von Lohn auf Wertschöpfung (§ 5.1, § 8.5) und die Teilhabekomponente (§ 8.3) — kommen darin nicht vor, obwohl das Papier mit der 60-Prozent-Expositionsquote und der ungleichen Verteilung über Beschäftigte hinweg die Voraussetzungen dafür selbst benennt. Es ist damit das dritte Dokument in Folge — nach der Rede zur Lage der Union (Neunte Fortschreibung) und dem Strategiekreis des Bundeskanzlers (Elfte Fortschreibung) —, das die Souveränitäts- und Veredelungsspur ausbaut und die Finanzierungs- und Teilhabespur ausspart. Dass diese Lücke nunmehr auch im Vorbereitungsmaterial eines Finanzministerrats auftritt, ist für die in § 4.5 festgehaltene </w:t>
      </w:r>
      <w:r>
        <w:rPr>
          <w:rFonts w:ascii="Arial" w:hAnsi="Arial"/>
          <w:b w:val="0"/>
          <w:i/>
          <w:sz w:val="19"/>
        </w:rPr>
        <w:t>Europa-Leerstelle</w:t>
      </w:r>
      <w:r>
        <w:rPr>
          <w:rFonts w:ascii="Arial" w:hAnsi="Arial"/>
          <w:b w:val="0"/>
          <w:i w:val="0"/>
          <w:sz w:val="19"/>
        </w:rPr>
        <w:t xml:space="preserve"> ein eigenständiger Befund: Sie ist nicht nur eine Leerstelle der Technologiepolitik, sondern reicht bis in das Gremium hinein, das für die Finanzierungsfrage zuständig wäre.</w:t>
      </w:r>
    </w:p>
    <w:p>
      <w:pPr>
        <w:jc w:val="both"/>
      </w:pPr>
      <w:r>
        <w:rPr>
          <w:rFonts w:ascii="Arial" w:hAnsi="Arial"/>
          <w:b w:val="0"/>
          <w:i/>
          <w:sz w:val="19"/>
        </w:rPr>
        <w:t>Verfahrensvermerk zur Quellenlage:</w:t>
      </w:r>
      <w:r>
        <w:rPr>
          <w:rFonts w:ascii="Arial" w:hAnsi="Arial"/>
          <w:b w:val="0"/>
          <w:i w:val="0"/>
          <w:sz w:val="19"/>
        </w:rPr>
        <w:t xml:space="preserve"> Das Hintergrundpapier selbst ist nicht veröffentlicht und war nicht zu beschaffen; die Seite der irischen Ratspräsidentschaft weist für die Sitzung nur Ablauf und Sitzungstitel aus. Die inhaltliche Wiedergabe stützt sich deshalb auf die Agenturberichterstattung, die hier ausnahmsweise inhaltstragend ist; alle Aussagen sind entsprechend im Konjunktiv referiert. Der Produktivitätswert ist zusätzlich gegen eine veröffentlichte Arbeit des Fonds abgeglichen worden (</w:t>
      </w:r>
      <w:r>
        <w:rPr>
          <w:rFonts w:ascii="Arial" w:hAnsi="Arial"/>
          <w:b w:val="0"/>
          <w:i/>
          <w:sz w:val="19"/>
        </w:rPr>
        <w:t>Artificial Intelligence and Productivity in Europe</w:t>
      </w:r>
      <w:r>
        <w:rPr>
          <w:rFonts w:ascii="Arial" w:hAnsi="Arial"/>
          <w:b w:val="0"/>
          <w:i w:val="0"/>
          <w:sz w:val="19"/>
        </w:rPr>
        <w:t>, IMF Working Paper 2025/067), die ihn als kumulativen Fünfjahreswert von rund 1,1 Prozent ausweist; die von Reuters berichtete Rundung auf „rund ein Prozent" ist damit belegt, aber nicht als eigenständige neue Schätzung zu lesen. Zahlenangaben zu fiskalischen Größen — Aufkommenswirkungen, Beitragssätze, Steuersätze — enthält die Berichterstattung nicht.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jc w:val="both"/>
      </w:pPr>
      <w:r>
        <w:rPr>
          <w:rFonts w:ascii="Arial" w:hAnsi="Arial"/>
          <w:b/>
          <w:i w:val="0"/>
          <w:sz w:val="19"/>
        </w:rPr>
        <w:t>Nachtrag (18. September 2026) — Automatisierung ohne Entlassungsereignis:</w:t>
      </w:r>
      <w:r>
        <w:rPr>
          <w:rFonts w:ascii="Arial" w:hAnsi="Arial"/>
          <w:b w:val="0"/>
          <w:i w:val="0"/>
          <w:sz w:val="19"/>
        </w:rPr>
        <w:t xml:space="preserve"> Am 17. September 2026 hat mit </w:t>
      </w:r>
      <w:r>
        <w:rPr>
          <w:rFonts w:ascii="Arial" w:hAnsi="Arial"/>
          <w:b w:val="0"/>
          <w:i/>
          <w:sz w:val="19"/>
        </w:rPr>
        <w:t>Anthropic</w:t>
      </w:r>
      <w:r>
        <w:rPr>
          <w:rFonts w:ascii="Arial" w:hAnsi="Arial"/>
          <w:b w:val="0"/>
          <w:i w:val="0"/>
          <w:sz w:val="19"/>
        </w:rPr>
        <w:t xml:space="preserve"> erstmals ein Anbieter von Basismodellen drei Messgrößen zum eigenen Entwicklungsprozess veröffentlicht: wie viel der eigenen KI-Forschung und -Entwicklung von KI selbst erbracht werde, wie die Handlungen der eingesetzten Agenten überwacht würden und wie die Rechenleistung verteilt sei. Das Unternehmen bezeichnet die Angaben als Prototypen und kündigt an, unabhängige Dritte mit ihrer Überprüfung zu betrauen. Die Zahlen sind Selbstauskunft und im Folgenden entsprechend im Konjunktiv referiert. Für die Frage dieses Abschnitts — was genau ein Steuertatbestand erfassen soll — sind sie gleichwohl der bislang präziseste öffentlich verfügbare Beleg. Gemessen worden sei mit einem </w:t>
      </w:r>
      <w:r>
        <w:rPr>
          <w:rFonts w:ascii="Arial" w:hAnsi="Arial"/>
          <w:b w:val="0"/>
          <w:i/>
          <w:sz w:val="19"/>
        </w:rPr>
        <w:t>Automationsindex</w:t>
      </w:r>
      <w:r>
        <w:rPr>
          <w:rFonts w:ascii="Arial" w:hAnsi="Arial"/>
          <w:b w:val="0"/>
          <w:i w:val="0"/>
          <w:sz w:val="19"/>
        </w:rPr>
        <w:t xml:space="preserve">: Aus den Arbeitsaufzeichnungen einer wöchentlichen Zufallsstichprobe von 20 % der Beschäftigten der am Modellbau beteiligten Abteilungen seien für den Juli 2026 rund 15.000 einzelne Arbeitsaufgaben erhoben und zu einem eingefrorenen Baum aus 542 Knoten, davon 378 Endknoten, verdichtet worden; jeder Knoten sei anschließend auf der von </w:t>
      </w:r>
      <w:r>
        <w:rPr>
          <w:rFonts w:ascii="Arial" w:hAnsi="Arial"/>
          <w:b w:val="0"/>
          <w:i/>
          <w:sz w:val="19"/>
        </w:rPr>
        <w:t>Epoch AI</w:t>
      </w:r>
      <w:r>
        <w:rPr>
          <w:rFonts w:ascii="Arial" w:hAnsi="Arial"/>
          <w:b w:val="0"/>
          <w:i w:val="0"/>
          <w:sz w:val="19"/>
        </w:rPr>
        <w:t xml:space="preserve"> entwickelten Skala der Automatisierungsgrade AL0 bis AL5 eingestuft worden, die von „keine KI-Beteiligung" bis „vollständig autonomer Betrieb ohne Menschen in der Schleife" reicht. Stand August 2026 arbeite das Modell in keinem gemessenen Teilbereich vollständig autonom; es </w:t>
      </w:r>
      <w:r>
        <w:rPr>
          <w:rFonts w:ascii="Arial" w:hAnsi="Arial"/>
          <w:b w:val="0"/>
          <w:i/>
          <w:sz w:val="19"/>
        </w:rPr>
        <w:t>führe</w:t>
      </w:r>
      <w:r>
        <w:rPr>
          <w:rFonts w:ascii="Arial" w:hAnsi="Arial"/>
          <w:b w:val="0"/>
          <w:i w:val="0"/>
          <w:sz w:val="19"/>
        </w:rPr>
        <w:t xml:space="preserve"> 26 % der KI-Forschungs- und Entwicklungsarbeit des Unternehmens, und der Anteil der Arbeit, bei der es mindestens </w:t>
      </w:r>
      <w:r>
        <w:rPr>
          <w:rFonts w:ascii="Arial" w:hAnsi="Arial"/>
          <w:b w:val="0"/>
          <w:i/>
          <w:sz w:val="19"/>
        </w:rPr>
        <w:t>mitarbeite</w:t>
      </w:r>
      <w:r>
        <w:rPr>
          <w:rFonts w:ascii="Arial" w:hAnsi="Arial"/>
          <w:b w:val="0"/>
          <w:i w:val="0"/>
          <w:sz w:val="19"/>
        </w:rPr>
        <w:t>, liege über 90 %. Auf der meistgenutzten internen Plattform seien zu jedem Zeitpunkt rund 30.000 Agenten mit Forschungs- und Entwicklungsarbeit befasst, deren Handlungen sämtlich vor der Ausführung einen Überwachungsdienst durchliefen. Von der Rechenleistung, die in der Woche vom 13. bis 20. Juli 2026 auf KI-Forschung und -Entwicklung entfallen sei, seien rund 6 % auf Sicherheitsarbeit entfallen, bezogen allein auf die KI-getriebene Forschung rund 12 %.</w:t>
      </w:r>
    </w:p>
    <w:p>
      <w:pPr>
        <w:jc w:val="both"/>
      </w:pPr>
      <w:r>
        <w:rPr>
          <w:rFonts w:ascii="Arial" w:hAnsi="Arial"/>
          <w:b w:val="0"/>
          <w:i w:val="0"/>
          <w:sz w:val="19"/>
        </w:rPr>
        <w:t xml:space="preserve">Drei Folgerungen ergeben sich daraus für die Wahl des Anknüpfungspunktes. </w:t>
      </w:r>
      <w:r>
        <w:rPr>
          <w:rFonts w:ascii="Arial" w:hAnsi="Arial"/>
          <w:b w:val="0"/>
          <w:i/>
          <w:sz w:val="19"/>
        </w:rPr>
        <w:t>Erstens</w:t>
      </w:r>
      <w:r>
        <w:rPr>
          <w:rFonts w:ascii="Arial" w:hAnsi="Arial"/>
          <w:b w:val="0"/>
          <w:i w:val="0"/>
          <w:sz w:val="19"/>
        </w:rPr>
        <w:t xml:space="preserve"> beschreibt die Angabe genau den Fall, den eine displacement-basierte Anknüpfung nicht erfassen würde: Ein Viertel der Forschungs- und Entwicklungsarbeit eines Unternehmens wird von einem KI-System geführt, ohne dass dem ein Entlassungsereignis gegenüberstünde. Es gibt keine Massenentlassungsanzeige, keine Meldung an die Börsenaufsicht und folglich auch keinen Eintrag in irgendeinem der in § 1.1 verglichenen Zählwerke. Die Substitution vollzieht sich in der Aufgabenstruktur, nicht an der Beschäftigungsschwelle — und ist damit für jede Bemessungsgrundlage unsichtbar, die auf beobachtete Stellenstreichungen abstellt. </w:t>
      </w:r>
      <w:r>
        <w:rPr>
          <w:rFonts w:ascii="Arial" w:hAnsi="Arial"/>
          <w:b w:val="0"/>
          <w:i/>
          <w:sz w:val="19"/>
        </w:rPr>
        <w:t>Zweitens</w:t>
      </w:r>
      <w:r>
        <w:rPr>
          <w:rFonts w:ascii="Arial" w:hAnsi="Arial"/>
          <w:b w:val="0"/>
          <w:i w:val="0"/>
          <w:sz w:val="19"/>
        </w:rPr>
        <w:t xml:space="preserve"> zeigt die Veröffentlichung, dass die Messung technisch möglich ist, aber in der vorliegenden Form die Merkmale trägt, die ein Besteuerungsverfahren nicht hinnehmen könnte: Sie ist Selbstauskunft, sie beruht auf einer nicht standardisierten Methodik, und das prüfende Modell stammt vom selben Anbieter wie das geprüfte. Das Unternehmen benennt beide Einwände selbst und schlägt Prüfung durch Dritte vor. Für einen Steuertatbestand hieße das, dass der Aufgabenautomatisierungsgrad erst dann Bemessungsgrundlage sein könnte, wenn eine verbindliche Methodik und eine von der Selbstauskunft unabhängige Feststellung vorlägen — beides liegt nicht vor. </w:t>
      </w:r>
      <w:r>
        <w:rPr>
          <w:rFonts w:ascii="Arial" w:hAnsi="Arial"/>
          <w:b w:val="0"/>
          <w:i/>
          <w:sz w:val="19"/>
        </w:rPr>
        <w:t>Drittens</w:t>
      </w:r>
      <w:r>
        <w:rPr>
          <w:rFonts w:ascii="Arial" w:hAnsi="Arial"/>
          <w:b w:val="0"/>
          <w:i w:val="0"/>
          <w:sz w:val="19"/>
        </w:rPr>
        <w:t xml:space="preserve"> stützt die dritte Messgröße die bereits in § 3.3 getroffene Unterscheidung: Rechenleistung ist von allen genannten Anknüpfungspunkten der am besten nachprüfbare, weil sie technisch gezählt wird; sie misst aber einen </w:t>
      </w:r>
      <w:r>
        <w:rPr>
          <w:rFonts w:ascii="Arial" w:hAnsi="Arial"/>
          <w:b w:val="0"/>
          <w:i/>
          <w:sz w:val="19"/>
        </w:rPr>
        <w:t>Einsatzfaktor</w:t>
      </w:r>
      <w:r>
        <w:rPr>
          <w:rFonts w:ascii="Arial" w:hAnsi="Arial"/>
          <w:b w:val="0"/>
          <w:i w:val="0"/>
          <w:sz w:val="19"/>
        </w:rPr>
        <w:t xml:space="preserve"> und nicht die Verdrängung. Ein an ihr anknüpfender Tatbestand wäre erhebbar, träfe jedoch Kapazitätsaufbau und Sicherheitsforschung in gleicher Weise wie den Ersatz menschlicher Arbeit.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jc w:val="both"/>
      </w:pPr>
      <w:r>
        <w:rPr>
          <w:rFonts w:ascii="Arial" w:hAnsi="Arial"/>
          <w:b/>
          <w:i w:val="0"/>
          <w:sz w:val="19"/>
        </w:rPr>
        <w:t>Nachtrag (18. September 2026) — die Erfassungsquote ist nur dort gemessen, wo eine Meldepflicht besteht:</w:t>
      </w:r>
      <w:r>
        <w:rPr>
          <w:rFonts w:ascii="Arial" w:hAnsi="Arial"/>
          <w:b w:val="0"/>
          <w:i w:val="0"/>
          <w:sz w:val="19"/>
        </w:rPr>
        <w:t xml:space="preserve"> Der Trackerabgleich vom 18. September 2026 (§ 1.1) fügt der Beweisführung ihre fünfte Stufe hinzu, und zwar an der für ein Besteuerungsverfahren entscheidenden Stelle. Erstmals beziffert eines der Register seine eigene Vollständigkeit: Von den 57 Meldungen an die US-Börsenaufsicht, die im Zwölfmonatszeitraum bis zum 30. Juni 2026 den Posten </w:t>
      </w:r>
      <w:r>
        <w:rPr>
          <w:rFonts w:ascii="Arial" w:hAnsi="Arial"/>
          <w:b w:val="0"/>
          <w:i/>
          <w:sz w:val="19"/>
        </w:rPr>
        <w:t>Item 2.05</w:t>
      </w:r>
      <w:r>
        <w:rPr>
          <w:rFonts w:ascii="Arial" w:hAnsi="Arial"/>
          <w:b w:val="0"/>
          <w:i w:val="0"/>
          <w:sz w:val="19"/>
        </w:rPr>
        <w:t xml:space="preserve"> führten und eine absolute Beschäftigtenzahl nannten, erscheinen 55 im Bestand — 96 % bei einem Konfidenzintervall von 88 % bis 99 % —, und alle 36 daraufhin geprüften Zahlenangaben stimmen wörtlich mit der zitierten Quelle überein. Das ist ein sehr gutes Ergebnis, und es ist zugleich das Gegenteil einer Entwarnung. Denn gemessen worden ist die Quote ausschließlich auf demjenigen Ausschnitt, in dem eine gesetzliche Meldepflicht mit standardisiertem Formular und maschinenlesbarem Meldungskopf besteht. Der Betreiber sagt selbst, die Messung treffe keine Aussage über private Arbeitgeber, über Streichungen außerhalb der Vereinigten Staaten und über die beiden anderen Zuflusswege des Registers. Damit ist die Vollständigkeit genau dort bekannt und hoch, wo ohnehin eine Mitwirkungspflicht besteht, und genau dort unbekannt, wo der deutsche Gesetzgeber einen solchen Tatbestand erheben müsste — ein Befund, der die am Vortag dokumentierte deutsche Quellenlage nicht wiederholt, sondern erklärt. Hinzu tritt die nun bezifferte Gegenrichtung: Die Differenz zu Ankündigungserhebungen bestehe wesentlich aus Trennungen ohne benannten Arbeitgeber — Aufhebungsangebote, aufgeschobene Kündigungen, Fluktuation und Reduktionen im öffentlichen Dienst —, die für 2025 allein rund 250.000 bis 300.000 Stellen ausgemacht hätten. Beides zusammen ergibt für die Ausgestaltung eine klare Richtung: Eine Bemessungsgrundlage ist nur so belastbar wie die Mitwirkungspflicht, die sie trägt. Die Wertschöpfung im Sinne von Umsatz minus Vorleistungen (§ 5.1) bringt diese Pflicht mit; die Verdrängung bringt sie nicht mit und könnte sie, wie der in § 9.1 nachgetragene Fall der unternehmensinternen Aufgabenautomatisierung zeigt, auch durch eine Meldepflicht nicht vollständig herstellen.</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jc w:val="both"/>
      </w:pPr>
      <w:r>
        <w:rPr>
          <w:rFonts w:ascii="Arial" w:hAnsi="Arial"/>
          <w:b/>
          <w:i w:val="0"/>
          <w:sz w:val="19"/>
        </w:rPr>
        <w:t>Nachtrag (September 2026) — die Umsetzungshürde ist instrumentenabhängig, und die Inferenzschicht wird teilbar.</w:t>
      </w:r>
      <w:r>
        <w:rPr>
          <w:rFonts w:ascii="Arial" w:hAnsi="Arial"/>
          <w:b w:val="0"/>
          <w:i w:val="0"/>
          <w:sz w:val="19"/>
        </w:rPr>
        <w:t xml:space="preserve"> Zwei Beobachtungen aus dem laufenden Jahr präzisieren die Arbitragefrage in entgegengesetzte Richtungen.</w:t>
      </w:r>
    </w:p>
    <w:p>
      <w:pPr>
        <w:jc w:val="both"/>
      </w:pPr>
      <w:r>
        <w:rPr>
          <w:rFonts w:ascii="Arial" w:hAnsi="Arial"/>
          <w:b w:val="0"/>
          <w:i/>
          <w:sz w:val="19"/>
        </w:rPr>
        <w:t>Zur Umsetzbarkeit:</w:t>
      </w:r>
      <w:r>
        <w:rPr>
          <w:rFonts w:ascii="Arial" w:hAnsi="Arial"/>
          <w:b w:val="0"/>
          <w:i w:val="0"/>
          <w:sz w:val="19"/>
        </w:rPr>
        <w:t xml:space="preserve"> Die in § 5.1 referierten US-Vorschläge werden von ihren Autoren selbst nach dem erforderlichen Rechtsetzungsaufwand geordnet, und diese Rangfolge ist auf die deutsche Debatte gedanklich übertragbar, auch wenn die Rechtsgrundlagen andere sind. Änderungen an Sätzen und Struktur </w:t>
      </w:r>
      <w:r>
        <w:rPr>
          <w:rFonts w:ascii="Arial" w:hAnsi="Arial"/>
          <w:b w:val="0"/>
          <w:i/>
          <w:sz w:val="19"/>
        </w:rPr>
        <w:t>bestehender</w:t>
      </w:r>
      <w:r>
        <w:rPr>
          <w:rFonts w:ascii="Arial" w:hAnsi="Arial"/>
          <w:b w:val="0"/>
          <w:i w:val="0"/>
          <w:sz w:val="19"/>
        </w:rPr>
        <w:t xml:space="preserve"> Steuern — also etwa der Wechsel von der Lohnsumme auf eine andere Bemessungsgrundlage — verlangten lediglich ein einfaches Gesetz und keine neue Erhebungsinfrastruktur. Eine bundesstaatliche Mehrwertsteuer verlangte in den Vereinigten Staaten dagegen einen vollständig neuen Erhebungsapparat, eine Bundesvermögensteuer darüber hinaus eine Verfassungsänderung, weil sie höchstrichterlich als verfassungswidrig eingestuft worden ist. Für die deutsche Lage kehrt sich das erste Verhältnis um: Eine Umsatzsteuer besteht bereits, so dass der in den Vereinigten Staaten teuerste Baustein hier der wohlfeilste wäre — während die verfassungsrechtlichen Fragen einer Wertschöpfungsabgabe in § 4.3 gesondert behandelt sind. Die Autoren benennen zugleich die Gegenseite ihres eigenen Vorschlags: Soweit Kapital mobil sei, könnten höhere Unternehmens- oder Kapitalbelastungen Verlagerungen in andere Jurisdiktionen auslösen und die Wettbewerbsfähigkeit als Standort für international nachgefragte Fachkräfte beeinträchtigen; diese Abwägung sei in ihrer Arbeit nicht quantifiziert und künftiger Forschung vorbehalten. Damit bestätigt die US-Diskussion die oben formulierte Einschätzung aus unabhängiger Quelle, ohne sie aufzulösen.</w:t>
      </w:r>
    </w:p>
    <w:p>
      <w:pPr>
        <w:jc w:val="both"/>
      </w:pPr>
      <w:r>
        <w:rPr>
          <w:rFonts w:ascii="Arial" w:hAnsi="Arial"/>
          <w:b w:val="0"/>
          <w:i/>
          <w:sz w:val="19"/>
        </w:rPr>
        <w:t>Zur Verlagerbarkeit:</w:t>
      </w:r>
      <w:r>
        <w:rPr>
          <w:rFonts w:ascii="Arial" w:hAnsi="Arial"/>
          <w:b w:val="0"/>
          <w:i w:val="0"/>
          <w:sz w:val="19"/>
        </w:rPr>
        <w:t xml:space="preserve"> Die Rechenschicht selbst wird kleinteiliger und damit beweglicher. Nach Recherchen von </w:t>
      </w:r>
      <w:r>
        <w:rPr>
          <w:rFonts w:ascii="Arial" w:hAnsi="Arial"/>
          <w:b w:val="0"/>
          <w:i/>
          <w:sz w:val="19"/>
        </w:rPr>
        <w:t>CNBC</w:t>
      </w:r>
      <w:r>
        <w:rPr>
          <w:rFonts w:ascii="Arial" w:hAnsi="Arial"/>
          <w:b w:val="0"/>
          <w:i w:val="0"/>
          <w:sz w:val="19"/>
        </w:rPr>
        <w:t xml:space="preserve"> vom 18. September 2026, die von </w:t>
      </w:r>
      <w:r>
        <w:rPr>
          <w:rFonts w:ascii="Arial" w:hAnsi="Arial"/>
          <w:b w:val="0"/>
          <w:i/>
          <w:sz w:val="19"/>
        </w:rPr>
        <w:t>Quartz</w:t>
      </w:r>
      <w:r>
        <w:rPr>
          <w:rFonts w:ascii="Arial" w:hAnsi="Arial"/>
          <w:b w:val="0"/>
          <w:i w:val="0"/>
          <w:sz w:val="19"/>
        </w:rPr>
        <w:t xml:space="preserve"> am selben Tag aufgenommen worden sind, suchen zwei führende Anbieter von Basismodellen —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 neben ihren Vorhaben im Gigawattmaßstab inzwischen gezielt Rechenzentrumsverträge im Bereich von 20 bis 30 Megawatt; </w:t>
      </w:r>
      <w:r>
        <w:rPr>
          <w:rFonts w:ascii="Arial" w:hAnsi="Arial"/>
          <w:b w:val="0"/>
          <w:i/>
          <w:sz w:val="19"/>
        </w:rPr>
        <w:t>Anthropic</w:t>
      </w:r>
      <w:r>
        <w:rPr>
          <w:rFonts w:ascii="Arial" w:hAnsi="Arial"/>
          <w:b w:val="0"/>
          <w:i w:val="0"/>
          <w:sz w:val="19"/>
        </w:rPr>
        <w:t xml:space="preserve"> sondiert solche Abschlüsse den Berichten zufolge im Vereinigten Königreich und in den nordischen Ländern, </w:t>
      </w:r>
      <w:r>
        <w:rPr>
          <w:rFonts w:ascii="Arial" w:hAnsi="Arial"/>
          <w:b w:val="0"/>
          <w:i/>
          <w:sz w:val="19"/>
        </w:rPr>
        <w:t>OpenAI</w:t>
      </w:r>
      <w:r>
        <w:rPr>
          <w:rFonts w:ascii="Arial" w:hAnsi="Arial"/>
          <w:b w:val="0"/>
          <w:i w:val="0"/>
          <w:sz w:val="19"/>
        </w:rPr>
        <w:t xml:space="preserve"> ebenfalls in Nordeuropa. Der technische Grund ist berichtenswert, weil er die steuerliche Anknüpfung unmittelbar betrifft: Das </w:t>
      </w:r>
      <w:r>
        <w:rPr>
          <w:rFonts w:ascii="Arial" w:hAnsi="Arial"/>
          <w:b w:val="0"/>
          <w:i/>
          <w:sz w:val="19"/>
        </w:rPr>
        <w:t>Training</w:t>
      </w:r>
      <w:r>
        <w:rPr>
          <w:rFonts w:ascii="Arial" w:hAnsi="Arial"/>
          <w:b w:val="0"/>
          <w:i w:val="0"/>
          <w:sz w:val="19"/>
        </w:rPr>
        <w:t xml:space="preserve"> eines Modells verlangt eine enge Kopplung sehr vieler Prozessoren an einem Ort, die </w:t>
      </w:r>
      <w:r>
        <w:rPr>
          <w:rFonts w:ascii="Arial" w:hAnsi="Arial"/>
          <w:b w:val="0"/>
          <w:i/>
          <w:sz w:val="19"/>
        </w:rPr>
        <w:t>Inferenz</w:t>
      </w:r>
      <w:r>
        <w:rPr>
          <w:rFonts w:ascii="Arial" w:hAnsi="Arial"/>
          <w:b w:val="0"/>
          <w:i w:val="0"/>
          <w:sz w:val="19"/>
        </w:rPr>
        <w:t xml:space="preserve"> — der Betrieb des fertigen Modells für Endnutzer — lässt sich dagegen ohne Leistungsverlust auf viele kleine, räumlich getrennte Rechnerverbünde verteilen. Zum Vergleich: Dieselben Anbieter haben zuvor Verträge im Gigawattbereich geschlossen, darunter ein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und Ausbauzusagen von </w:t>
      </w:r>
      <w:r>
        <w:rPr>
          <w:rFonts w:ascii="Arial" w:hAnsi="Arial"/>
          <w:b w:val="0"/>
          <w:i/>
          <w:sz w:val="19"/>
        </w:rPr>
        <w:t>OpenAI</w:t>
      </w:r>
      <w:r>
        <w:rPr>
          <w:rFonts w:ascii="Arial" w:hAnsi="Arial"/>
          <w:b w:val="0"/>
          <w:i w:val="0"/>
          <w:sz w:val="19"/>
        </w:rPr>
        <w:t xml:space="preserve"> über zusätzliche 3 Gigawatt in Georgia und 8 Gigawatt in Ohio. Die Größenordnung zwischen beiden Vertragsarten unterscheidet sich damit um den Faktor zwanzig bis vierhundert. Für die Arbitragefrage folgt daraus eine Präzisierung in beide Richtungen. </w:t>
      </w:r>
      <w:r>
        <w:rPr>
          <w:rFonts w:ascii="Arial" w:hAnsi="Arial"/>
          <w:b w:val="0"/>
          <w:i/>
          <w:sz w:val="19"/>
        </w:rPr>
        <w:t>Einerseits</w:t>
      </w:r>
      <w:r>
        <w:rPr>
          <w:rFonts w:ascii="Arial" w:hAnsi="Arial"/>
          <w:b w:val="0"/>
          <w:i w:val="0"/>
          <w:sz w:val="19"/>
        </w:rPr>
        <w:t xml:space="preserve"> verschärft die Teilbarkeit das Problem: Ein Steuertatbestand, der an Rechenzentrumsstandorte, installierte Rechenleistung oder Energieverbrauch anknüpft (→ § 9.2), trifft auf eine Schicht, die sich künftig nicht mehr nur zwischen Staaten, sondern in kleinen Einheiten </w:t>
      </w:r>
      <w:r>
        <w:rPr>
          <w:rFonts w:ascii="Arial" w:hAnsi="Arial"/>
          <w:b w:val="0"/>
          <w:i/>
          <w:sz w:val="19"/>
        </w:rPr>
        <w:t>innerhalb</w:t>
      </w:r>
      <w:r>
        <w:rPr>
          <w:rFonts w:ascii="Arial" w:hAnsi="Arial"/>
          <w:b w:val="0"/>
          <w:i w:val="0"/>
          <w:sz w:val="19"/>
        </w:rPr>
        <w:t xml:space="preserve"> von Regionen verschieben lässt; die Erhebungsschwellen solcher Abgaben würden dadurch umgehbar, ohne dass ein Anbieter ein Land verlassen müsste. </w:t>
      </w:r>
      <w:r>
        <w:rPr>
          <w:rFonts w:ascii="Arial" w:hAnsi="Arial"/>
          <w:b w:val="0"/>
          <w:i/>
          <w:sz w:val="19"/>
        </w:rPr>
        <w:t>Andererseits</w:t>
      </w:r>
      <w:r>
        <w:rPr>
          <w:rFonts w:ascii="Arial" w:hAnsi="Arial"/>
          <w:b w:val="0"/>
          <w:i w:val="0"/>
          <w:sz w:val="19"/>
        </w:rPr>
        <w:t xml:space="preserve"> verbessert sie die europäische Ausgangslage in einem Punkt, der für die in § 8.2 entwickelte Rohstoff-Analogie zählt: Wenn die wertschöpfungsnahe Betriebsschicht in Einheiten nachgefragt wird, die europäische Netz- und Flächenverhältnisse tatsächlich hergeben, verliert der in § 8.2 dokumentierte Kapazitätsrückstand gegenüber den Vereinigten Staaten für die </w:t>
      </w:r>
      <w:r>
        <w:rPr>
          <w:rFonts w:ascii="Arial" w:hAnsi="Arial"/>
          <w:b w:val="0"/>
          <w:i/>
          <w:sz w:val="19"/>
        </w:rPr>
        <w:t>Anwendungs</w:t>
      </w:r>
      <w:r>
        <w:rPr>
          <w:rFonts w:ascii="Arial" w:hAnsi="Arial"/>
          <w:b w:val="0"/>
          <w:i w:val="0"/>
          <w:sz w:val="19"/>
        </w:rPr>
        <w:t xml:space="preserve">-Ebene an Bindungskraft — der Rückstand bleibt beim Training bestehen, nicht notwendig beim Betrieb. Beide Folgerungen stützen dieselbe Zugriffslogik, die in § 8.3 begründet wird: Die Anknüpfung an die </w:t>
      </w:r>
      <w:r>
        <w:rPr>
          <w:rFonts w:ascii="Arial" w:hAnsi="Arial"/>
          <w:b w:val="0"/>
          <w:i/>
          <w:sz w:val="19"/>
        </w:rPr>
        <w:t>Wertschöpfung</w:t>
      </w:r>
      <w:r>
        <w:rPr>
          <w:rFonts w:ascii="Arial" w:hAnsi="Arial"/>
          <w:b w:val="0"/>
          <w:i w:val="0"/>
          <w:sz w:val="19"/>
        </w:rPr>
        <w:t xml:space="preserve"> aus dem Einsatz eines Systems ist gegenüber der Anknüpfung an Bestände, Standorte oder Anlagen die robustere Konstruktion, weil sie von der physischen Teilbarkeit der Rechenschicht unabhängig ist. Die genannten Vertragssondierungen sind Presseberichte unter Berufung auf ungenannte Quellen und werden deshalb im Konjunktiv referiert; eine Bestätigung durch die beteiligten Unternehmen liegt zum Stichtag nicht vor. Hinzu kommt eine Einschränkung der Belegkette selbst: Ein Direktabruf der Originalfassungen ist an Zugriffssperren der Anbieter gescheitert, so dass die Angaben nur über übereinstimmende Inhaltszusammenfassungen mehrerer Fundstellen gesichert sind (Prüfvermerk in § 11.5). Die hier gezogene Folgerung ist deshalb bewusst qualitativ gehalten — sie stützt sich darauf, </w:t>
      </w:r>
      <w:r>
        <w:rPr>
          <w:rFonts w:ascii="Arial" w:hAnsi="Arial"/>
          <w:b w:val="0"/>
          <w:i/>
          <w:sz w:val="19"/>
        </w:rPr>
        <w:t>dass</w:t>
      </w:r>
      <w:r>
        <w:rPr>
          <w:rFonts w:ascii="Arial" w:hAnsi="Arial"/>
          <w:b w:val="0"/>
          <w:i w:val="0"/>
          <w:sz w:val="19"/>
        </w:rPr>
        <w:t xml:space="preserve"> die Betriebsschicht in kleinen Einheiten nachgefragt wird, nicht auf die genaue Megawattzahl.</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jc w:val="both"/>
      </w:pPr>
      <w:r>
        <w:rPr>
          <w:rFonts w:ascii="Arial" w:hAnsi="Arial"/>
          <w:b w:val="0"/>
          <w:i w:val="0"/>
          <w:sz w:val="19"/>
        </w:rPr>
        <w:t xml:space="preserve">Rashidi, M., Ugolini, C., &amp; Fiorentini, G. (11. September 2026). </w:t>
      </w:r>
      <w:r>
        <w:rPr>
          <w:rFonts w:ascii="Arial" w:hAnsi="Arial"/>
          <w:b w:val="0"/>
          <w:i/>
          <w:sz w:val="19"/>
        </w:rPr>
        <w:t>Complements or Substitutes? Technology Adoption and the Demand for Clinical Care: Evidence from Automated Insulin Delivery.</w:t>
      </w:r>
      <w:r>
        <w:rPr>
          <w:rFonts w:ascii="Arial" w:hAnsi="Arial"/>
          <w:b w:val="0"/>
          <w:i w:val="0"/>
          <w:sz w:val="19"/>
        </w:rPr>
        <w:t xml:space="preserve"> arXiv-Preprint 2609.12976 [econ.GN]. Quasi-experimentelle Untersuchung der Einführung automatisierter Insulinabgabe (</w:t>
      </w:r>
      <w:r>
        <w:rPr>
          <w:rFonts w:ascii="Arial" w:hAnsi="Arial"/>
          <w:b w:val="0"/>
          <w:i/>
          <w:sz w:val="19"/>
        </w:rPr>
        <w:t>automated insulin delivery</w:t>
      </w:r>
      <w:r>
        <w:rPr>
          <w:rFonts w:ascii="Arial" w:hAnsi="Arial"/>
          <w:b w:val="0"/>
          <w:i w:val="0"/>
          <w:sz w:val="19"/>
        </w:rPr>
        <w:t xml:space="preserve">, AID) bei 1.608 Erwachsenen mit Typ-1-Diabetes in vier Spezialambulanzen des italienischen Nationalen Gesundheitsdienstes; 283 Personen übernahmen ein solches System, 181 davon konnten mit vergleichbaren Kontrollpersonen zusammengeführt werden. Methodik: </w:t>
      </w:r>
      <w:r>
        <w:rPr>
          <w:rFonts w:ascii="Arial" w:hAnsi="Arial"/>
          <w:b w:val="0"/>
          <w:i/>
          <w:sz w:val="19"/>
        </w:rPr>
        <w:t>risk-set coarsened exact matching</w:t>
      </w:r>
      <w:r>
        <w:rPr>
          <w:rFonts w:ascii="Arial" w:hAnsi="Arial"/>
          <w:b w:val="0"/>
          <w:i w:val="0"/>
          <w:sz w:val="19"/>
        </w:rPr>
        <w:t xml:space="preserve"> verbunden mit einem gestaffelten Ereignisstudiendesign (</w:t>
      </w:r>
      <w:r>
        <w:rPr>
          <w:rFonts w:ascii="Arial" w:hAnsi="Arial"/>
          <w:b w:val="0"/>
          <w:i/>
          <w:sz w:val="19"/>
        </w:rPr>
        <w:t>staggered event-study design</w:t>
      </w:r>
      <w:r>
        <w:rPr>
          <w:rFonts w:ascii="Arial" w:hAnsi="Arial"/>
          <w:b w:val="0"/>
          <w:i w:val="0"/>
          <w:sz w:val="19"/>
        </w:rPr>
        <w:t>) und einer Korrektur für unterschiedliche Vorverläufe durch Fortschreibung der unbehandelten Verlaufskurve in Ereigniszeit. Zentrale Ergebnisse im Wortlaut der Zusammenfassung: „The estimated effect on the probability of a diabetologist visit is 16.3 percentage points one semester after adoption and 39.3 percentage points four semesters after adoption, relative to a 55.2% visit probability in the semester before adoption"; HbA1c-Testung und ein breiterer Prozessindex zeigen dasselbe Vorzeichen bei geringerer Präzision. Eigene Einschränkung der Autoren: „The visit estimates remain sensitive to the trend-extrapolation assumption and should therefore be interpreted conditionally on that restriction." Einordnung durch die Autoren in den aufgabenbasierten Rahmen: Automatisierung ersetze die Routineentscheidung über die Dosierung und ergänze zugleich die klinische Arbeit in deutenden, anpassenden und überwachenden Aufgaben — patientennahe Automatisierung könne die Inanspruchnahme daher eher umorganisieren als verringern. Aufgenommen in § 7.1 als empirische Gegenprobe zur dort beschriebenen Gleichzeitigkeit von Substitution und Ergänzung, mit Querverweisen auf § 3.1 (task-based framework), § 7.3 und § 9.1. Belastbarkeit: Preprint ohne Begutachtung; Beobachtungsstudie mit ausdrücklich benannter Abhängigkeit von der Fortschreibungsannahme; Übertragbarkeit auf deutsche Versorgungssettings nicht geprüft. https://arxiv.org/abs/2609.12976</w:t>
      </w:r>
    </w:p>
    <w:p>
      <w:pPr>
        <w:jc w:val="both"/>
      </w:pPr>
      <w:r>
        <w:rPr>
          <w:rFonts w:ascii="Arial" w:hAnsi="Arial"/>
          <w:b w:val="0"/>
          <w:i w:val="0"/>
          <w:sz w:val="19"/>
        </w:rPr>
        <w:t xml:space="preserve">Moon, D., Hwang, Y., Hwang, J., &amp; Jeong, D. (15. September 2026). </w:t>
      </w:r>
      <w:r>
        <w:rPr>
          <w:rFonts w:ascii="Arial" w:hAnsi="Arial"/>
          <w:b w:val="0"/>
          <w:i/>
          <w:sz w:val="19"/>
        </w:rPr>
        <w:t>Mapping AI Economic Complexity.</w:t>
      </w:r>
      <w:r>
        <w:rPr>
          <w:rFonts w:ascii="Arial" w:hAnsi="Arial"/>
          <w:b w:val="0"/>
          <w:i w:val="0"/>
          <w:sz w:val="19"/>
        </w:rPr>
        <w:t xml:space="preserve"> arXiv-Preprint 2609.17200 [physics.soc-ph; econ.GN]. Übertragung des Ansatzes der ökonomischen Komplexität auf 103 als KI-ermöglichend eingestufte Warenpositionen (</w:t>
      </w:r>
      <w:r>
        <w:rPr>
          <w:rFonts w:ascii="Arial" w:hAnsi="Arial"/>
          <w:b w:val="0"/>
          <w:i/>
          <w:sz w:val="19"/>
        </w:rPr>
        <w:t>AI-enabling goods</w:t>
      </w:r>
      <w:r>
        <w:rPr>
          <w:rFonts w:ascii="Arial" w:hAnsi="Arial"/>
          <w:b w:val="0"/>
          <w:i w:val="0"/>
          <w:sz w:val="19"/>
        </w:rPr>
        <w:t>) im gesamten Produktraum, ausgewertet auf BACI-Handelsdaten der Jahre 2007 bis 2023 für 162 auswertbare Volkswirtschaften. Kennzahlen: AECI (komplexitätsgewichtete Spezialisierung), AIAP (produktnahe Anschlussmöglichkeiten) und AECP (mittlere komplexitätsgewichtete Verwandtschaft der verbleibenden Kandidaten). Befunde für 2023: Weltexport der Warengruppe nominal 2,82 Bio. US-Dollar gegenüber 1,52 Bio. US-Dollar 2007; Anteil der fünf größten Exporteure 55,2 %; mittlerer Produktkomplexitätsindex der Warengruppe 0,837 gegenüber rund null im Gesamtwarenraum, 58,3 % der Positionen im obersten Komplexitätsquartil. AECI-Rangfolge 2023 (Tabelle 1): Japan 3,996 (64 spezialisierte Positionen, mittlere normierte Komplexität 0,691, 39 verbleibende Kandidaten, AECP 1,516), China 3,666 (66; 0,623; 37; 4,144), Deutschland 3,535 (61; 0,654; 42; 3,382), Vereinigte Staaten 2,991 (53; 0,656; 50; 1,918), Taiwan 2,977 (52; 0,666; 51; 0,836); als Vergleichsgrößen Südkorea 2,241 und Italien 1,643. Bei AECP führt China vor Italien und Deutschland. Eigene Einschränkung der Autoren im Wortlaut: „The results and public dashboard provide a preliminary complement to publication and patent indicators, not a comprehensive measure of national AI performance or a validated forecast of diversification"; die Zusammenhänge zwischen anfänglichem Rohpotenzial und späterer Veränderung von AECI und Spezialisierungszahl sind auf dem 5-Prozent-Niveau nicht signifikant. Aufgenommen in § 8.2 als zehnte Fortschreibung (handelsbasierte Vermessung der KI-Zulieferfähigkeit) mit Querverweis auf § 8.5 (Veredelungsstrategie). Belastbarkeit: Preprint ohne Begutachtung; Handelsdaten messen Warenströme der gelisteten Kategorien, nicht deren ausschließliche KI-Verwendung. https://arxiv.org/abs/2609.17200</w:t>
      </w:r>
    </w:p>
    <w:p>
      <w:pPr>
        <w:jc w:val="both"/>
      </w:pPr>
      <w:r>
        <w:rPr>
          <w:rFonts w:ascii="Arial" w:hAnsi="Arial"/>
          <w:b w:val="0"/>
          <w:i w:val="0"/>
          <w:sz w:val="19"/>
        </w:rPr>
        <w:t xml:space="preserve">Price, C. C., &amp; Wenger, J. B. (August 2026). </w:t>
      </w:r>
      <w:r>
        <w:rPr>
          <w:rFonts w:ascii="Arial" w:hAnsi="Arial"/>
          <w:b w:val="0"/>
          <w:i/>
          <w:sz w:val="19"/>
        </w:rPr>
        <w:t>Tax Policy Options to Promote Employment and Mitigate Federal Revenue Impacts in the Age of AI.</w:t>
      </w:r>
      <w:r>
        <w:rPr>
          <w:rFonts w:ascii="Arial" w:hAnsi="Arial"/>
          <w:b w:val="0"/>
          <w:i w:val="0"/>
          <w:sz w:val="19"/>
        </w:rPr>
        <w:t xml:space="preserve"> RAND Corporation, Expert Insights / Perspective PE-A4392-3, Santa Monica, CA. Volltext beschafft und ausgewertet (Verfahrensregel Cluster A, `Suchthemen.md`). Ausgangsbefund: Rund zwei Drittel — an anderer Stelle der Arbeit mit 65 Prozent beziffert — des US-Bundesaufkommens stammen aus dem Faktor Arbeit (Lohnsummensteuer und Bundeseinkommensteuer), der Rest aus Konsum und Kapital; Teile des Steuerkodex verschärfen das KI-bedingte Risiko zusätzlich, weil sie Beschäftigung belasten und Kapitaleinkommen begünstigen. Die Autoren entwickeln einen Sechs-Kategorien-Rahmen zur Einordnung der Vorschriften und leiten daraus sechs Gestaltungsoptionen ab, jeweils mit eigenen Zielkonflikten bei Aufkommen, Wachstum und Umsetzbarkeit — </w:t>
      </w:r>
      <w:r>
        <w:rPr>
          <w:rFonts w:ascii="Arial" w:hAnsi="Arial"/>
          <w:b w:val="0"/>
          <w:i/>
          <w:sz w:val="19"/>
        </w:rPr>
        <w:t>zur Erhöhung der Arbeitsnachfrage:</w:t>
      </w:r>
      <w:r>
        <w:rPr>
          <w:rFonts w:ascii="Arial" w:hAnsi="Arial"/>
          <w:b w:val="0"/>
          <w:i w:val="0"/>
          <w:sz w:val="19"/>
        </w:rPr>
        <w:t xml:space="preserve"> (i) Ersetzung der Arbeitgeber-Lohnsummensteuer durch Unternehmensteuern (nach Fußnote der Autoren müsste der effektive Körperschaftsteuersatz dafür etwa verdoppelt werden, also ungefähr auf den Nominalsatz von 21 Prozent steigen, und die Mittel müssten weiterhin den bislang lohnsummenfinanzierten Programmen </w:t>
      </w:r>
      <w:r>
        <w:rPr>
          <w:rFonts w:ascii="Arial" w:hAnsi="Arial"/>
          <w:b w:val="0"/>
          <w:i/>
          <w:sz w:val="19"/>
        </w:rPr>
        <w:t>Medicare</w:t>
      </w:r>
      <w:r>
        <w:rPr>
          <w:rFonts w:ascii="Arial" w:hAnsi="Arial"/>
          <w:b w:val="0"/>
          <w:i w:val="0"/>
          <w:sz w:val="19"/>
        </w:rPr>
        <w:t xml:space="preserve"> und </w:t>
      </w:r>
      <w:r>
        <w:rPr>
          <w:rFonts w:ascii="Arial" w:hAnsi="Arial"/>
          <w:b w:val="0"/>
          <w:i/>
          <w:sz w:val="19"/>
        </w:rPr>
        <w:t>Social Security</w:t>
      </w:r>
      <w:r>
        <w:rPr>
          <w:rFonts w:ascii="Arial" w:hAnsi="Arial"/>
          <w:b w:val="0"/>
          <w:i w:val="0"/>
          <w:sz w:val="19"/>
        </w:rPr>
        <w:t xml:space="preserve"> zweckgebunden zufließen), (ii) progressive Körperschaftsteuer auf den Gewinn je Beschäftigten; </w:t>
      </w:r>
      <w:r>
        <w:rPr>
          <w:rFonts w:ascii="Arial" w:hAnsi="Arial"/>
          <w:b w:val="0"/>
          <w:i/>
          <w:sz w:val="19"/>
        </w:rPr>
        <w:t>zum Ersatz entfallenden Arbeitsaufkommens:</w:t>
      </w:r>
      <w:r>
        <w:rPr>
          <w:rFonts w:ascii="Arial" w:hAnsi="Arial"/>
          <w:b w:val="0"/>
          <w:i w:val="0"/>
          <w:sz w:val="19"/>
        </w:rPr>
        <w:t xml:space="preserve"> (iii) Besteuerung langfristiger Veräußerungsgewinne zum Einkommensteuertarif statt zum Höchstsatz von 20 Prozent gegenüber 37 Prozent auf Arbeitseinkommen, geschätztes Mehraufkommen 100 Milliarden US-Dollar jährlich oder mehr, (iv) Einführung einer bundesstaatlichen Mehrwertsteuer — die Vereinigten Staaten sind nach Angabe der Autoren der einzige OECD-Staat ohne eine solche und damit ohne das KI-robusteste Aufkommensinstrument; bei Ausgestaltung nach dem Muster anderer Industriestaaten könnten knapp 20 Prozent des Bundesaufkommens erzielt werden, (v) Bundesvermögensteuer — als Vergleichsgröße nennen die Autoren 721 Milliarden US-Dollar Grund- und Vermögensteueraufkommen der Bundesstaaten und Kommunen 2024, rund 30 Prozent des Aufkommens der Bundeseinkommensteuer, (vi) Abschaffung oder Begrenzung der Wertaufstockung im Erbfall (</w:t>
      </w:r>
      <w:r>
        <w:rPr>
          <w:rFonts w:ascii="Arial" w:hAnsi="Arial"/>
          <w:b w:val="0"/>
          <w:i/>
          <w:sz w:val="19"/>
        </w:rPr>
        <w:t>step-up in basis</w:t>
      </w:r>
      <w:r>
        <w:rPr>
          <w:rFonts w:ascii="Arial" w:hAnsi="Arial"/>
          <w:b w:val="0"/>
          <w:i w:val="0"/>
          <w:sz w:val="19"/>
        </w:rPr>
        <w:t>), geschätzt zweistelliger Milliardenbetrag. Von den Autoren selbst benannte Einschränkungen: Eine Bundesvermögensteuer ist höchstrichterlich als verfassungswidrig eingestuft und erforderte eine Verfassungsänderung; Mehrwertsteuer und Vermögensteuer erforderten eine neue Erhebungsinfrastruktur, während Satz- und Strukturänderungen bestehender Steuern im ordentlichen Gesetzgebungsverfahren möglich wären; bei mobilem Kapital könnten höhere Unternehmens- oder Kapitalbelastungen Verlagerungen in andere Jurisdiktionen und Nachteile im Wettbewerb um international nachgefragte Fachkräfte auslösen — diese Abwägung sei nicht quantifiziert und künftiger Forschung vorbehalten. Zugrunde gelegte Verdrängungsschätzung (von den Autoren aus Acemoglu 2024 und einer Arbeit des Internationalen Währungsfonds — International Monetary Fund, IWF — von 2024 übernommen, nicht eigenständig erhoben): rund 10 bis 15 Prozent der Arbeitsstunden über einen Zeitraum von zehn bis fünfzehn Jahren, mit überproportionaler Betroffenheit gut bezahlter Bürotätigkeiten in der näheren Frist. Aufnahme in § 3.1 (Fortschreibung des Acemoglu-Manera-Restrepo-Befunds auf Instrumentenebene), § 5.1 (Gewinnprogression je Beschäftigten als spiegelbildliche Konstruktion zur Wertschöpfungsabgabe) und § 9.3 (Umsetzbarkeitsrangfolge und Kapitalmobilität). https://www.rand.org/pubs/perspectives/PEA4392-3.html</w:t>
      </w:r>
    </w:p>
    <w:p>
      <w:pPr>
        <w:jc w:val="both"/>
      </w:pPr>
      <w:r>
        <w:rPr>
          <w:rFonts w:ascii="Arial" w:hAnsi="Arial"/>
          <w:b w:val="0"/>
          <w:i w:val="0"/>
          <w:sz w:val="19"/>
        </w:rPr>
        <w:t xml:space="preserve">Price, C. C., &amp; Suresh, A. (25. August 2026). </w:t>
      </w:r>
      <w:r>
        <w:rPr>
          <w:rFonts w:ascii="Arial" w:hAnsi="Arial"/>
          <w:b w:val="0"/>
          <w:i/>
          <w:sz w:val="19"/>
        </w:rPr>
        <w:t>Federal Revenue When AI Replaces Labor: An Examination of Economic Scenarios with Highly Capable Artificial Intelligence.</w:t>
      </w:r>
      <w:r>
        <w:rPr>
          <w:rFonts w:ascii="Arial" w:hAnsi="Arial"/>
          <w:b w:val="0"/>
          <w:i w:val="0"/>
          <w:sz w:val="19"/>
        </w:rPr>
        <w:t xml:space="preserve"> RAND Corporation, Research Report RR-A4980-1, Santa Monica, CA. Vorfassung: dies. (November 2025), </w:t>
      </w:r>
      <w:r>
        <w:rPr>
          <w:rFonts w:ascii="Arial" w:hAnsi="Arial"/>
          <w:b w:val="0"/>
          <w:i/>
          <w:sz w:val="19"/>
        </w:rPr>
        <w:t>Federal Revenue When AI Replaces Labor</w:t>
      </w:r>
      <w:r>
        <w:rPr>
          <w:rFonts w:ascii="Arial" w:hAnsi="Arial"/>
          <w:b w:val="0"/>
          <w:i w:val="0"/>
          <w:sz w:val="19"/>
        </w:rPr>
        <w:t>, RAND Working Paper WR-A4443-1 (Volltext beschafft und ausgewertet; ausdrücklich als nicht begutachtete Vorabveröffentlichung gekennzeichnet). Methodik: Szenarienrahmen entlang zweier Achsen — ob verdrängte Beschäftigte wieder Arbeit finden und ob Künstliche Intelligenz monopolistisch oder zu Selbstkosten bepreist wird —, simuliert für einen hypothetischen Fall vollständiger Verdrängung und für ein Übergangsszenario mit 10 Prozent verdrängter Erwerbsbevölkerung. Kernbefunde als Modellergebnisse unter definierten Annahmen, nicht als Prognosen: 2024 stammten 84 Prozent des US-Bundesaufkommens aus Einkommen- oder Lohnsummensteuer, beide am Arbeitseinkommen erhoben; wegen der Einkommenskonzentration in gut bezahlten Bürotätigkeiten träfe deren Ersetzung das Aufkommen überproportional; selbst bei Wiederbeschäftigung zu vergleichbaren Bezügen entspräche der fiskalische Schock dem einer Rezession; Mehreinnahmen aus KI-bedingt höheren Unternehmensgewinnen glichen die Ausfälle nicht aus, weil der Körperschaftsteuersatz dafür etwa verdoppelt werden müsste; seien hochleistungsfähige Systeme breit zu Inferenzkosten verfügbar, könnten margenlose KI-Leistungen bestehende Anbieter unterbieten, so dass die resultierende Deflation auch das Körperschaftsteueraufkommen mindert. Empfehlungen der Autoren (im Konjunktiv referiert nach § 4.2 Claude.md): Verringerung der Abhängigkeit des Aufkommens vom Arbeitseinkommen durch Verlagerung auf Unternehmen- und Verbrauchsteuern, Schließung von Gestaltungswegen wie der Verlagerung geistigen Eigentums in ausländische Tochtergesellschaften, Stabilisierung der Nominalnachfrage im Deflationsfall sowie laufende Beobachtung einschlägiger Konjunkturindikatoren. Aufnahme in § 3.1 als fiskalische Gegenprobe zum Acemoglu-Manera-Restrepo-Befund, mit Rückwirkung auf § 8.3 (Zugriffslogik und Bemessungsgrundlage) und § 9.2 (Messbarkeit). https://www.rand.org/pubs/research_reports/RRA4980-1.html | https://www.rand.org/content/dam/rand/pubs/working_papers/WRA4400/WRA4443-1/RAND_WRA4443-1.pdf</w:t>
      </w:r>
    </w:p>
    <w:p>
      <w:pPr>
        <w:jc w:val="both"/>
      </w:pPr>
      <w:r>
        <w:rPr>
          <w:rFonts w:ascii="Arial" w:hAnsi="Arial"/>
          <w:b w:val="0"/>
          <w:i w:val="0"/>
          <w:sz w:val="19"/>
        </w:rPr>
        <w:t xml:space="preserve">Nakatani, R., &amp; Miyamoto, H. (19. März 2026; eingestellt 20. April 2026). </w:t>
      </w:r>
      <w:r>
        <w:rPr>
          <w:rFonts w:ascii="Arial" w:hAnsi="Arial"/>
          <w:b w:val="0"/>
          <w:i/>
          <w:sz w:val="19"/>
        </w:rPr>
        <w:t>Optimal Taxation in the Automation Era.</w:t>
      </w:r>
      <w:r>
        <w:rPr>
          <w:rFonts w:ascii="Arial" w:hAnsi="Arial"/>
          <w:b w:val="0"/>
          <w:i w:val="0"/>
          <w:sz w:val="19"/>
        </w:rPr>
        <w:t xml:space="preserve"> MPRA Paper No. 128480, Munich Personal RePEc Archive. Institutionelle Zuordnung laut Titelblatt: Internationaler Währungsfonds (Nakatani) und Hitotsubashi-Universität (Miyamoto); die Arbeitspapierreihe bindet den Fonds nicht. Allgemeines Gleichgewichtsmodell, auf die Vereinigten Staaten kalibriert; bestimmt simultan die wohlfahrtsmaximierenden Sätze von Kapitaleinkommensteuer, Lohnsteuer auf ungelernte Arbeit, Steuer auf Automatisierungskapital (Robotersteuer) und Konsumsteuer. Kernergebnis laut Zusammenfassung: Nach einem Produktivitätsschub des automatisierungsbezogenen Kapitals sind die wohlfahrtsmaximierenden Sätze der Kapitaleinkommensteuer und der Robotersteuer null, weil die langfristigen Investitionsverzerrungen den Umverteilungsnutzen überwiegen; im Grundszenario maximieren Senkungen der Lohnsteuer auf ungelernte Arbeit und vor allem der Konsumsteuer die Wohlfahrt, bei hoher Substituierbarkeit zwischen ungelernter Arbeit und Automatisierungskapital steigt hingegen der optimale Konsumsteuersatz, und das Mehraufkommen wird an die verdrängten ungelernten Beschäftigten umverteilt. Fortschreibung der in § 3.3 geführten Arbeit Nakatani (2024); eingearbeitet in § 3.3 und § 3.5. </w:t>
      </w:r>
      <w:r>
        <w:rPr>
          <w:rFonts w:ascii="Arial" w:hAnsi="Arial"/>
          <w:b w:val="0"/>
          <w:i/>
          <w:sz w:val="19"/>
        </w:rPr>
        <w:t>Prüfvermerk:</w:t>
      </w:r>
      <w:r>
        <w:rPr>
          <w:rFonts w:ascii="Arial" w:hAnsi="Arial"/>
          <w:b w:val="0"/>
          <w:i w:val="0"/>
          <w:sz w:val="19"/>
        </w:rPr>
        <w:t xml:space="preserve"> Bibliografische Angaben und Zusammenfassung sind von der Ablageseite wörtlich ausgelesen, die Titelseite des Volltextes maschinell verifiziert; eine maschinelle Textextraktion des Volltextkörpers ist an der Schrifteinbettung gescheitert, weshalb über die Zusammenfassung hinausgehende Einzelwerte, Elastizitäten und Kalibrierungsparameter nicht zitiert werden. Modellergebnis unter definierten Annahmen, keine politische Empfehlung, nicht auf deutsche Verhältnisse kalibriert. https://mpra.ub.uni-muenchen.de/128480/ | Volltext: https://mpra.ub.uni-muenchen.de/128480/1/MPRA_paper_128480.pdf</w:t>
      </w:r>
    </w:p>
    <w:p>
      <w:pPr>
        <w:jc w:val="both"/>
      </w:pPr>
      <w:r>
        <w:rPr>
          <w:rFonts w:ascii="Arial" w:hAnsi="Arial"/>
          <w:b w:val="0"/>
          <w:i w:val="0"/>
          <w:sz w:val="19"/>
        </w:rPr>
        <w:t xml:space="preserve">Misch, F., Park, B., Pizzinelli, C., &amp; Sher, G. (April 2025). </w:t>
      </w:r>
      <w:r>
        <w:rPr>
          <w:rFonts w:ascii="Arial" w:hAnsi="Arial"/>
          <w:b w:val="0"/>
          <w:i/>
          <w:sz w:val="19"/>
        </w:rPr>
        <w:t>Artificial Intelligence and Productivity in Europe.</w:t>
      </w:r>
      <w:r>
        <w:rPr>
          <w:rFonts w:ascii="Arial" w:hAnsi="Arial"/>
          <w:b w:val="0"/>
          <w:i w:val="0"/>
          <w:sz w:val="19"/>
        </w:rPr>
        <w:t xml:space="preserve"> IMF Working Paper WP/25/67, Internationaler Währungsfonds, Washington, D.C. Simulation der mittelfristigen Wirkung der KI-Einführung auf die totale Faktorproduktivität für 31 europäische Länder nach dem Ansatz von Acemoglu (2024), unter Berücksichtigung der heterogenen regulatorischen Beschränkungen nach Aufgaben, Berufen und Sektoren. Kernergebnis: Die mittelfristigen Produktivitätsgewinne für Europa insgesamt dürften mit rund 1 Prozent kumuliert über fünf Jahre bescheiden ausfallen. Herangezogen in § 8.2 als veröffentlichter Beleg für den von der Agenturberichterstattung aus dem Dubliner Hintergrundpapier referierten Produktivitätswert. Arbeitspapierreihe; bindet den Fonds nicht. </w:t>
      </w:r>
      <w:r>
        <w:rPr>
          <w:rFonts w:ascii="Arial" w:hAnsi="Arial"/>
          <w:b w:val="0"/>
          <w:i/>
          <w:sz w:val="19"/>
        </w:rPr>
        <w:t>Prüfvermerk nach § 2.4.4 `Validierung.md`:</w:t>
      </w:r>
      <w:r>
        <w:rPr>
          <w:rFonts w:ascii="Arial" w:hAnsi="Arial"/>
          <w:b w:val="0"/>
          <w:i w:val="0"/>
          <w:sz w:val="19"/>
        </w:rPr>
        <w:t xml:space="preserve"> Die Nachweisseite auf imf.org antwortet beim Direktabruf mit HTTP 403 (Zugriffssperre, kein toter Link — derselbe Befund wie bei der IMF-Nachweisseite in § 11.3); die frei ausgelieferte PDF-Fassung ist erreichbar und hier als zweite Adresse geführt. https://www.imf.org/en/publications/wp/issues/2025/04/04/ai-and-productivity-in-europe-565924 | Volltext: https://www.imf.org/-/media/files/publications/wp/2025/english/wpiea2025067-print-pdf.pdf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jc w:val="both"/>
      </w:pPr>
      <w:r>
        <w:rPr>
          <w:rFonts w:ascii="Arial" w:hAnsi="Arial"/>
          <w:b w:val="0"/>
          <w:i w:val="0"/>
          <w:sz w:val="19"/>
        </w:rPr>
        <w:t xml:space="preserve">Anthropic. (17. September 2026). </w:t>
      </w:r>
      <w:r>
        <w:rPr>
          <w:rFonts w:ascii="Arial" w:hAnsi="Arial"/>
          <w:b w:val="0"/>
          <w:i/>
          <w:sz w:val="19"/>
        </w:rPr>
        <w:t>Measurements for Understanding the Pace of AI Development Inside Frontier Labs.</w:t>
      </w:r>
      <w:r>
        <w:rPr>
          <w:rFonts w:ascii="Arial" w:hAnsi="Arial"/>
          <w:b w:val="0"/>
          <w:i w:val="0"/>
          <w:sz w:val="19"/>
        </w:rPr>
        <w:t xml:space="preserve"> Anthropic Institute / anthropic.com. Selbstauskunft eines Anbieters von Basismodellen mit drei prototypischen Messgrößen zum eigenen Entwicklungsprozess. (1) </w:t>
      </w:r>
      <w:r>
        <w:rPr>
          <w:rFonts w:ascii="Arial" w:hAnsi="Arial"/>
          <w:b w:val="0"/>
          <w:i/>
          <w:sz w:val="19"/>
        </w:rPr>
        <w:t>Anthropic R&amp;D Automation Index</w:t>
      </w:r>
      <w:r>
        <w:rPr>
          <w:rFonts w:ascii="Arial" w:hAnsi="Arial"/>
          <w:b w:val="0"/>
          <w:i w:val="0"/>
          <w:sz w:val="19"/>
        </w:rPr>
        <w:t xml:space="preserve">: Aus wöchentlichen Zufallsstichproben von 20 % der Beschäftigten der am Modellbau beteiligten Abteilungen wurden für Juli 2026 rund 15.000 einzelne Arbeitsaufgaben erhoben und zu einem eingefrorenen Baum aus 542 Knoten (davon 378 Endknoten, Beispiele: „eval platform defect diagnosis and fixes", „RL sandbox egress and network policy", „serving incident postmortems") verdichtet; Einstufung auf der von </w:t>
      </w:r>
      <w:r>
        <w:rPr>
          <w:rFonts w:ascii="Arial" w:hAnsi="Arial"/>
          <w:b w:val="0"/>
          <w:i/>
          <w:sz w:val="19"/>
        </w:rPr>
        <w:t>Epoch AI</w:t>
      </w:r>
      <w:r>
        <w:rPr>
          <w:rFonts w:ascii="Arial" w:hAnsi="Arial"/>
          <w:b w:val="0"/>
          <w:i w:val="0"/>
          <w:sz w:val="19"/>
        </w:rPr>
        <w:t xml:space="preserve"> entwickelten Skala der Automatisierungsgrade AL0 bis AL5. Stand August 2026: kein gemessener Teilbereich vollständig autonom (AL5); das Modell „führt" (AL4) 26 % der KI-Forschungs- und Entwicklungsarbeit; der Anteil der Arbeit auf oder oberhalb von „KI arbeitet mit" (AL3) liegt über 90 %. (2) Überwachung von Agenten: rund 30.000 Agenten mit Forschungs- und Entwicklungsarbeit zu jedem Zeitpunkt auf der meistgenutzten internen Plattform (Stand August 2026); 100 % ihrer Handlungen durchlaufen vor der Ausführung einen Echtzeit-Überwachungsdienst, 100 % werden zusätzlich nachgelagert erfasst. (3) Verteilung der Rechenleistung, Momentaufnahme 13. bis 20. Juli 2026: rund 6 % der auf KI-Forschung und -Entwicklung entfallenden Rechenleistung gingen an Sicherheitsarbeit, bezogen allein auf die KI-getriebene Forschung rund 12 %. Vom Anbieter selbst benannte Einwände: fehlende einheitliche Methodik für den Vergleich zwischen Laboren sowie die Verwendung eigener Modelle als Prüfinstanz für eigene Systeme; vorgeschlagen wird Prüfung durch Dritte. Aufgenommen in § 9.1 als Beleg für Aufgabenautomatisierung ohne Entlassungsereignis, mit Querverweisen auf § 1.1, § 3.3 und § 9.2. Belastbarkeit: Unternehmensveröffentlichung, keine unabhängige Verifikation; Kennzahlen ausdrücklich als Prototypen gekennzeichnet; durchgängig im Konjunktiv referiert. https://www.anthropic.com/institute/measuring-pace-of-ai-development</w:t>
      </w:r>
    </w:p>
    <w:p>
      <w:pPr>
        <w:jc w:val="both"/>
      </w:pPr>
      <w:r>
        <w:rPr>
          <w:rFonts w:ascii="Arial" w:hAnsi="Arial"/>
          <w:b w:val="0"/>
          <w:i w:val="0"/>
          <w:sz w:val="19"/>
        </w:rPr>
        <w:t xml:space="preserve">Internationaler Währungsfonds (Barhoumi, K., de Carvalho, F., Gorbanyov, M., Kido, Y., Koll, D., Nguyen, A. D. M., Ostojic, D., Shang, B., Tamirisa, N. [Leitung], Toms, S. &amp; Zhao, Y., unter der Leitung von Dabla-Norris, E.). (April 2026). </w:t>
      </w:r>
      <w:r>
        <w:rPr>
          <w:rFonts w:ascii="Arial" w:hAnsi="Arial"/>
          <w:b w:val="0"/>
          <w:i/>
          <w:sz w:val="19"/>
        </w:rPr>
        <w:t>Global Economic and Financial Implications of Artificial Intelligence: Lessons from a Scenario-Planning Exercise.</w:t>
      </w:r>
      <w:r>
        <w:rPr>
          <w:rFonts w:ascii="Arial" w:hAnsi="Arial"/>
          <w:b w:val="0"/>
          <w:i w:val="0"/>
          <w:sz w:val="19"/>
        </w:rPr>
        <w:t xml:space="preserve"> IMF Note 2026/002, International Monetary Fund, Washington, DC. ISBN 979-8-2290-4297-0 (webPDF). Ergebnisbericht eines Fachgesprächs vom 10./11. Dezember 2025, ausgerichtet gemeinsam mit der </w:t>
      </w:r>
      <w:r>
        <w:rPr>
          <w:rFonts w:ascii="Arial" w:hAnsi="Arial"/>
          <w:b w:val="0"/>
          <w:i/>
          <w:sz w:val="19"/>
        </w:rPr>
        <w:t>Economics of Transformative AI Initiative</w:t>
      </w:r>
      <w:r>
        <w:rPr>
          <w:rFonts w:ascii="Arial" w:hAnsi="Arial"/>
          <w:b w:val="0"/>
          <w:i w:val="0"/>
          <w:sz w:val="19"/>
        </w:rPr>
        <w:t xml:space="preserve"> (EconTAI, University of Virginia, Anton Korinek) unter der Chatham-House-Regel; Tag 1 mit Fachvorträgen, Tag 2 mit einer nichtöffentlichen Szenario-Planungsübung zu zwei Diffusionspfaden (Basispfad und „runaway diffusion") über einen Fünfjahreshorizont. Fiskalische Kernaussagen: Erosion der arbeitsbezogenen Steuerbasis auch bei steigenden Löhnen der verbleibenden Beschäftigten; nur teilweiser Ausgleich über höhere Unternehmensteuern wegen Kapitalmobilität, Marktkonzentration und Steuerwettbewerb; ausdrückliche Empfehlung, pauschale Robotersteuern („blunt robot taxes") zu vermeiden, die Systeme stattdessen auf die Erfassung ökonomischer Renten auszurichten, die Kapitaleinkommensbesteuerung auf Ebene der natürlichen Personen mit Sicherungen gegen Basiserosion zu stärken und die Steuerverwaltung KI-gestützt zu ertüchtigen; Wirksamkeitsverlust beschäftigungsgebundener Sozialversicherung und Entkopplung der Sicherung vom Erwerbsstatus, in zugespitzten Fällen bis hin zu Programmen nach Art eines bedingungslosen Grundeinkommens; ausdrückliche Asymmetrie zulasten von Ländern, die KI-Dienste konsumieren statt produzieren. Einschränkung: keine eigenen Punktschätzungen; die Ansichten werden ausdrücklich den Verfasserinnen und Verfassern und nicht dem Fonds zugerechnet. </w:t>
      </w:r>
      <w:r>
        <w:rPr>
          <w:rFonts w:ascii="Arial" w:hAnsi="Arial"/>
          <w:b/>
          <w:i w:val="0"/>
          <w:sz w:val="19"/>
        </w:rPr>
        <w:t>Prüfvermerk nach § 2.4.4 `Validierung.md`:</w:t>
      </w:r>
      <w:r>
        <w:rPr>
          <w:rFonts w:ascii="Arial" w:hAnsi="Arial"/>
          <w:b w:val="0"/>
          <w:i w:val="0"/>
          <w:sz w:val="19"/>
        </w:rPr>
        <w:t xml:space="preserve"> Der Direktabruf der Nachweisseite in der IMF-eLibrary ist mit HTTP-Statuscode 403 abgewiesen worden (Zugriffssperre, kein toter Link); der Volltext ist über die frei ausgelieferte PDF-Fassung auf imf.org vollständig beschafft und über alle 30 Seiten ausgewertet worden, sämtliche hier referierten Aussagen und wörtlichen Wendungen stammen aus dieser Fassung. Aufnahme in § 3.3 mit Querverweisen auf § 3.4, § 5.1, § 5.3, § 8.2 und § 9.3. https://www.elibrary.imf.org/view/journals/068/2026/002/article-A001-en.xml — Volltext: https://www.imf.org/-/media/files/publications/imf-notes/2026/english/insea2026002.pdf</w:t>
      </w:r>
    </w:p>
    <w:p>
      <w:pPr>
        <w:jc w:val="both"/>
      </w:pPr>
      <w:r>
        <w:rPr>
          <w:rFonts w:ascii="Arial" w:hAnsi="Arial"/>
          <w:b w:val="0"/>
          <w:i w:val="0"/>
          <w:sz w:val="19"/>
        </w:rPr>
        <w:t xml:space="preserve">Bundeskanzleramt / acatech – Deutsche Akademie der Technikwissenschaften. (16. September 2026). </w:t>
      </w:r>
      <w:r>
        <w:rPr>
          <w:rFonts w:ascii="Arial" w:hAnsi="Arial"/>
          <w:b w:val="0"/>
          <w:i/>
          <w:sz w:val="19"/>
        </w:rPr>
        <w:t>Sitzung des Strategiekreises für Technologie und Innovation</w:t>
      </w:r>
      <w:r>
        <w:rPr>
          <w:rFonts w:ascii="Arial" w:hAnsi="Arial"/>
          <w:b w:val="0"/>
          <w:i w:val="0"/>
          <w:sz w:val="19"/>
        </w:rPr>
        <w:t xml:space="preserve"> (amtliche Meldung) sowie </w:t>
      </w:r>
      <w:r>
        <w:rPr>
          <w:rFonts w:ascii="Arial" w:hAnsi="Arial"/>
          <w:b w:val="0"/>
          <w:i/>
          <w:sz w:val="19"/>
        </w:rPr>
        <w:t>Strategiekreis für Technologie und Innovation des Bundeskanzlers: Industrielle KI bietet eine große Chance für Deutschland</w:t>
      </w:r>
      <w:r>
        <w:rPr>
          <w:rFonts w:ascii="Arial" w:hAnsi="Arial"/>
          <w:b w:val="0"/>
          <w:i w:val="0"/>
          <w:sz w:val="19"/>
        </w:rPr>
        <w:t xml:space="preserve"> (Bericht der begleitenden Akademie). Dritte Sitzung des Gremiums im Bundeskanzleramt mit den Ressorts BMWE, BMFTR, BMDS, BMF und BMVg sowie acht Sachverständigen aus Wirtschaft und Wissenschaft; Schwerpunkte Stärkung des nationalen KI-Ökosystems und Innovationspotenziale im Verteidigungsbereich. Empfehlungen: industrielle Künstliche Intelligenz als besondere Chance, Deutschland als KI-Nation zu etablieren; Verzahnung der </w:t>
      </w:r>
      <w:r>
        <w:rPr>
          <w:rFonts w:ascii="Arial" w:hAnsi="Arial"/>
          <w:b w:val="0"/>
          <w:i/>
          <w:sz w:val="19"/>
        </w:rPr>
        <w:t>Hightech Agenda Deutschland</w:t>
      </w:r>
      <w:r>
        <w:rPr>
          <w:rFonts w:ascii="Arial" w:hAnsi="Arial"/>
          <w:b w:val="0"/>
          <w:i w:val="0"/>
          <w:sz w:val="19"/>
        </w:rPr>
        <w:t xml:space="preserve"> mit europäischen IPCEI-Vorhaben; Einsatz einer KI-Taskforce der Bundesregierung; ferner Robotik der nächsten Generation und Schutz geistigen Eigentums. Quellenlage: Die amtliche Meldung enthält nur die Terminankündigung mit den beiden Themenschwerpunkten; die inhaltlichen Empfehlungen sind dem Bericht der begleitenden Akademie — also eines Beteiligten — entnommen und entsprechend gekennzeichnet. Keine Zahlenangaben zu Investitionsvolumina oder Förderhöhen. Aufnahme als </w:t>
      </w:r>
      <w:r>
        <w:rPr>
          <w:rFonts w:ascii="Arial" w:hAnsi="Arial"/>
          <w:b w:val="0"/>
          <w:i/>
          <w:sz w:val="19"/>
        </w:rPr>
        <w:t>Elfte Fortschreibung</w:t>
      </w:r>
      <w:r>
        <w:rPr>
          <w:rFonts w:ascii="Arial" w:hAnsi="Arial"/>
          <w:b w:val="0"/>
          <w:i w:val="0"/>
          <w:sz w:val="19"/>
        </w:rPr>
        <w:t xml:space="preserve"> in § 8.2. https://www.bundeskanzler.de/bk-de/aktuelles/sitzung-des-strategiekreises-fuer-technologie-und-innovation-2452272 — https://www.acatech.de/allgemein/strategiekreis-industrielle-ki/</w:t>
      </w:r>
    </w:p>
    <w:p>
      <w:pPr>
        <w:jc w:val="both"/>
      </w:pPr>
      <w:r>
        <w:rPr>
          <w:rFonts w:ascii="Arial" w:hAnsi="Arial"/>
          <w:b w:val="0"/>
          <w:i w:val="0"/>
          <w:sz w:val="19"/>
        </w:rPr>
        <w:t xml:space="preserve">Rat der Europäischen Union / Irische Ratspräsidentschaft. (18./19. September 2026). </w:t>
      </w:r>
      <w:r>
        <w:rPr>
          <w:rFonts w:ascii="Arial" w:hAnsi="Arial"/>
          <w:b w:val="0"/>
          <w:i/>
          <w:sz w:val="19"/>
        </w:rPr>
        <w:t>Informal meeting of Economic and Financial Affairs ministers (ECOFIN), Dublin.</w:t>
      </w:r>
      <w:r>
        <w:rPr>
          <w:rFonts w:ascii="Arial" w:hAnsi="Arial"/>
          <w:b w:val="0"/>
          <w:i w:val="0"/>
          <w:sz w:val="19"/>
        </w:rPr>
        <w:t xml:space="preserve"> Amtliche Veranstaltungsseite der Präsidentschaft; belegt Datum, Ort und die Sitzungsstruktur des informellen Rates, darunter die zweite Arbeitssitzung der Finanzministerinnen und -minister am 19. September 2026 unter dem Titel </w:t>
      </w:r>
      <w:r>
        <w:rPr>
          <w:rFonts w:ascii="Arial" w:hAnsi="Arial"/>
          <w:b w:val="0"/>
          <w:i/>
          <w:sz w:val="19"/>
        </w:rPr>
        <w:t>Preparing the Economy for the Future — The Impact of Artificial Intelligence</w:t>
      </w:r>
      <w:r>
        <w:rPr>
          <w:rFonts w:ascii="Arial" w:hAnsi="Arial"/>
          <w:b w:val="0"/>
          <w:i w:val="0"/>
          <w:sz w:val="19"/>
        </w:rPr>
        <w:t>. Inhaltliche Angaben zur Sitzung enthält die Seite nicht; das vom Internationalen Währungsfonds vorgelegte Hintergrundpapier ist nicht veröffentlicht und war nicht zu beschaffen (</w:t>
      </w:r>
      <w:r>
        <w:rPr>
          <w:rFonts w:ascii="Arial" w:hAnsi="Arial"/>
          <w:b w:val="0"/>
          <w:i/>
          <w:sz w:val="19"/>
        </w:rPr>
        <w:t>Prüfvermerk</w:t>
      </w:r>
      <w:r>
        <w:rPr>
          <w:rFonts w:ascii="Arial" w:hAnsi="Arial"/>
          <w:b w:val="0"/>
          <w:i w:val="0"/>
          <w:sz w:val="19"/>
        </w:rPr>
        <w:t xml:space="preserve"> nach § 2.4.4 `Validierung.md`). Inhaltliche Wiedergabe deshalb über die Agenturberichterstattung (§ 11.5); eingearbeitet als </w:t>
      </w:r>
      <w:r>
        <w:rPr>
          <w:rFonts w:ascii="Arial" w:hAnsi="Arial"/>
          <w:b w:val="0"/>
          <w:i/>
          <w:sz w:val="19"/>
        </w:rPr>
        <w:t>Zwölfte Fortschreibung</w:t>
      </w:r>
      <w:r>
        <w:rPr>
          <w:rFonts w:ascii="Arial" w:hAnsi="Arial"/>
          <w:b w:val="0"/>
          <w:i w:val="0"/>
          <w:sz w:val="19"/>
        </w:rPr>
        <w:t xml:space="preserve"> in § 8.2. https://irish-presidency.consilium.europa.eu/en/events/informal-meeting-of-economic-and-financial-affairs-ministers-ecofin/</w:t>
      </w:r>
    </w:p>
    <w:p>
      <w:pPr>
        <w:jc w:val="both"/>
      </w:pPr>
      <w:r>
        <w:rPr>
          <w:rFonts w:ascii="Arial" w:hAnsi="Arial"/>
          <w:b w:val="0"/>
          <w:i w:val="0"/>
          <w:sz w:val="19"/>
        </w:rPr>
        <w:t xml:space="preserve">International Federation of Robotics (IFR) / Bieller, S. (21. September 2026; Berichtsveröffentlichung angekündigt für den 24. September 2026). </w:t>
      </w:r>
      <w:r>
        <w:rPr>
          <w:rFonts w:ascii="Arial" w:hAnsi="Arial"/>
          <w:b w:val="0"/>
          <w:i/>
          <w:sz w:val="19"/>
        </w:rPr>
        <w:t>World Robotics 2026 — Zählung humanoider Roboter (Vorabbericht).</w:t>
      </w:r>
      <w:r>
        <w:rPr>
          <w:rFonts w:ascii="Arial" w:hAnsi="Arial"/>
          <w:b w:val="0"/>
          <w:i w:val="0"/>
          <w:sz w:val="19"/>
        </w:rPr>
        <w:t xml:space="preserve"> Frankfurt am Main: International Federation of Robotics. Erste eigene Zählung humanoider Roboter der Branchenstatistik: rund 7.000 im Jahr 2025 weltweit verkaufte Einheiten für industrielle und professionelle Dienstleistungen, gegenüber 542.000 im Jahr 2024 installierten Industrierobotern und 199.000 verkauften Servicerobotern. Definitorisches Aufnahmekriterium: menschenähnliches Erscheinungsbild und autonomer Betrieb in einer für Menschen gestalteten Umgebung; Beine sind nicht erforderlich. Ausgenommen sind Verbraucher- und Militärgeräte, Medizinrobotik wird gesondert geführt. Einordnung der Generalsekretärin: „a fraction" des Gesamtbestands; viele der 2025 ausgelieferten Einheiten hätten keine produktive Arbeit verrichtet, sondern seien von Forschungseinrichtungen oder Unternehmen zur Entwicklung von KI-Modellen beschafft worden. </w:t>
      </w:r>
      <w:r>
        <w:rPr>
          <w:rFonts w:ascii="Arial" w:hAnsi="Arial"/>
          <w:b w:val="0"/>
          <w:i/>
          <w:sz w:val="19"/>
        </w:rPr>
        <w:t>Prüfvermerk:</w:t>
      </w:r>
      <w:r>
        <w:rPr>
          <w:rFonts w:ascii="Arial" w:hAnsi="Arial"/>
          <w:b w:val="0"/>
          <w:i w:val="0"/>
          <w:sz w:val="19"/>
        </w:rPr>
        <w:t xml:space="preserve"> Die Kernzahlen sind zum Abrufzeitpunkt nur über die Agenturberichterstattung zugänglich (§ 11.5); der vollständige Bericht </w:t>
      </w:r>
      <w:r>
        <w:rPr>
          <w:rFonts w:ascii="Arial" w:hAnsi="Arial"/>
          <w:b w:val="0"/>
          <w:i/>
          <w:sz w:val="19"/>
        </w:rPr>
        <w:t>World Robotics 2026</w:t>
      </w:r>
      <w:r>
        <w:rPr>
          <w:rFonts w:ascii="Arial" w:hAnsi="Arial"/>
          <w:b w:val="0"/>
          <w:i w:val="0"/>
          <w:sz w:val="19"/>
        </w:rPr>
        <w:t xml:space="preserve"> war am 21. September 2026 noch nicht erschienen und ist für einen Folgelauf vorgemerkt. Eingearbeitet in § 2.2. https://ifr.org/worldrobotics/</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18. September 2026</w:t>
      </w:r>
      <w:r>
        <w:rPr>
          <w:rFonts w:ascii="Arial" w:hAnsi="Arial"/>
          <w:b w:val="0"/>
          <w:i w:val="0"/>
          <w:sz w:val="19"/>
        </w:rPr>
        <w:t xml:space="preserve"> (siebter Direktabruf; dritter Stillstandstag in Folge): sämtliche Kennzahlen unverändert — 383 Ereignisse, 210.741 Betroffene, 188 KI-attribuierte Ereignisse mit 173.465 Betroffenen, 25 Betriebsschließungen, KI-Anteil an den Ereignissen weiterhin 49 %, größtes Einzelereignis des Jahres unverändert </w:t>
      </w:r>
      <w:r>
        <w:rPr>
          <w:rFonts w:ascii="Arial" w:hAnsi="Arial"/>
          <w:b w:val="0"/>
          <w:i/>
          <w:sz w:val="19"/>
        </w:rPr>
        <w:t>Oracle</w:t>
      </w:r>
      <w:r>
        <w:rPr>
          <w:rFonts w:ascii="Arial" w:hAnsi="Arial"/>
          <w:b w:val="0"/>
          <w:i w:val="0"/>
          <w:sz w:val="19"/>
        </w:rPr>
        <w:t xml:space="preserve"> mit 30.000 Stellen (31. März 2026), Mittelwert je Ereignis 772. Die ausgewiesene Tagesrate sinkt von 811 auf 807 Stellen und beruht abermals ausschließlich auf der Nennerverlängerung (210.741 / 261 = 807,4),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achtzehn auf neunzehn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19. September 2026</w:t>
      </w:r>
      <w:r>
        <w:rPr>
          <w:rFonts w:ascii="Arial" w:hAnsi="Arial"/>
          <w:b w:val="0"/>
          <w:i w:val="0"/>
          <w:sz w:val="19"/>
        </w:rPr>
        <w:t xml:space="preserve"> (achter Direktabruf; damit sechster aufeinanderfolgender Vierundzwanzig-Stunden-Zeitraum ohne Zugang): abermals sämtliche Bestände unverändert — 383 Ereignisse, 210.741 Betroffene, ausgewiesene KI-Attributionsquote 49 % der Ereignisse; die angezeigte Tagesrate sinkt von 807 auf 804, was wiederum ausschließlich auf der Nennerverlängerung beruht (210.741 / 262 = 804,4) und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auf zwanzig Tage aus. Bei diesem Abruf ist die Zähldefinition ausdrücklich ausgelesen worden: erfasst werde jede Unternehmensankündigung als ein Ereignis, sektorübergreifend („tech, startups, and beyond") und weltweit, gespeist aus geprüften Nachrichtenquellen, Unternehmensmitteilungen und Einreichungen bei der US-Börsenaufsicht; die KI-Zuschreibung erfolge, sobald ein Unternehmen Künstliche Intelligenz, Automatisierung oder maschinelles Lernen in seiner Mitteilung ausdrücklich benenne. Das Zählwerk weist dabei selbst auf die Möglichkeit einer Zuschreibung ohne tatsächliche Ursächlichkeit hin (</w:t>
      </w:r>
      <w:r>
        <w:rPr>
          <w:rFonts w:ascii="Arial" w:hAnsi="Arial"/>
          <w:b w:val="0"/>
          <w:i/>
          <w:sz w:val="19"/>
        </w:rPr>
        <w:t>AI washing</w:t>
      </w:r>
      <w:r>
        <w:rPr>
          <w:rFonts w:ascii="Arial" w:hAnsi="Arial"/>
          <w:b w:val="0"/>
          <w:i w:val="0"/>
          <w:sz w:val="19"/>
        </w:rPr>
        <w:t xml:space="preserve">) und hält die 49-Prozent-Quote gleichwohl aufrecht — eine vom Betreiber selbst benannte Einschränkung, die hier vermerkt, aber nicht als Korrektur der Quote weiterverwendet wird. Zuwachs gegenüber dem Vortag: null. </w:t>
      </w:r>
      <w:r>
        <w:rPr>
          <w:rFonts w:ascii="Arial" w:hAnsi="Arial"/>
          <w:b w:val="0"/>
          <w:i/>
          <w:sz w:val="19"/>
        </w:rPr>
        <w:t>Nachtrag Stand 20. September 2026</w:t>
      </w:r>
      <w:r>
        <w:rPr>
          <w:rFonts w:ascii="Arial" w:hAnsi="Arial"/>
          <w:b w:val="0"/>
          <w:i w:val="0"/>
          <w:sz w:val="19"/>
        </w:rPr>
        <w:t xml:space="preserve"> (siebter aufeinanderfolgender Vierundzwanzig-Stunden-Zeitraum ohne Zugang): sämtliche Bestandskennzahlen unverändert — 383 Ereignisse, 210.741 Betroffene, 188 KI-attribuierte Ereignisse mit 173.465 Betroffenen; die angezeigte Tagesrate sinkt allein durch die Verlängerung des Nenners von 804 auf 801 (Rechenprobe: 210.741 / 263 Tage = 801,3, geht auf).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383 Ereignisse, 210.741 Betroffene, 188 KI-attribuierte Ereignisse mit 173.465 Betroffenen; Tagesrate 798 (Rechenprobe: 210.741 / 264 Tage = 798,3, geht auf). Erstmals ausgelesen ist die Monatsgliederung: Januar 29.358 (52 Ereignisse), Februar 22.328 (49), März 82.370 (49), April 20.532 (42), Mai 29.303 (53), Juni 12.994 (55), Juli 10.505 (40), August 3.351 (43). Summenprobe: 29.358 + 22.328 + 82.370 + 20.532 + 29.303 + 12.994 + 10.505 + 3.351 = 210.741 und 52 + 49 + 49 + 42 + 53 + 55 + 40 + 43 = 383 — beide Proben gehen genau auf die ausgewiesenen Jahressummen auf. </w:t>
      </w:r>
      <w:r>
        <w:rPr>
          <w:rFonts w:ascii="Arial" w:hAnsi="Arial"/>
          <w:b/>
          <w:i w:val="0"/>
          <w:sz w:val="19"/>
        </w:rPr>
        <w:t>Befund:</w:t>
      </w:r>
      <w:r>
        <w:rPr>
          <w:rFonts w:ascii="Arial" w:hAnsi="Arial"/>
          <w:b w:val="0"/>
          <w:i w:val="0"/>
          <w:sz w:val="19"/>
        </w:rPr>
        <w:t xml:space="preserve"> Für September 2026 führt das Zählwerk keinen einzigen Eintrag; der Stillstand ist damit als Erfassungslücke identifiziert und nicht als ereignisarmer Zeitraum. Die Seite weist die Lücke nicht aus, sondern führt die Tagesrate mit täglich verlängertem Nenner fort. Vergleichswert 2025: 338 Ereignisse, 205.773 Betroffene, 564 pro Tag. Die Stände vom 12. bis 20.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w:t>
      </w:r>
      <w:r>
        <w:rPr>
          <w:rFonts w:ascii="Arial" w:hAnsi="Arial"/>
          <w:b w:val="0"/>
          <w:i/>
          <w:sz w:val="19"/>
        </w:rPr>
        <w:t>Nachtrag Stand 18. September 2026</w:t>
      </w:r>
      <w:r>
        <w:rPr>
          <w:rFonts w:ascii="Arial" w:hAnsi="Arial"/>
          <w:b w:val="0"/>
          <w:i w:val="0"/>
          <w:sz w:val="19"/>
        </w:rPr>
        <w:t xml:space="preserve"> (sechster Direktabruf): 630.820 belegte Streichungen für 2026 (Vortag 629.819, Zuwachs 1.001), davon 589.570 bereits wirksam und 41.250 mit künftigem Wirksamkeitsdatum; Summenprobe exakt (589.570 + 41.250 = 630.820). Angekündigte Zählstufe 473.699 (Vortag 477.649), beide Stufen zusammen 1.104.519 (Vortag 1.107.468) — die Abwärtsrevision des Vortages setzt sich im belegten Bestand nicht fort, sondern verlagert sich in die angekündigte Stufe. Strenge KI-Zuschreibung 66.861 (Vortag 66.853), angekündigte KI-Zuschreibung unverändert 47.883, weit gefasste Kennzahl 123.459 (Vortag 123.451); 3.127 meldende Unternehmen (Vortag 3.117), 64 Länder im laufenden Jahr, Gesamtbestand 65.661 Einträge aus 39.571 Unternehmen und 80 Ländern seit Januar 2002. Erstmals ausgelesen und für § 9.2 maßgeblich ist die vom Betreiber veröffentlichte </w:t>
      </w:r>
      <w:r>
        <w:rPr>
          <w:rFonts w:ascii="Arial" w:hAnsi="Arial"/>
          <w:b/>
          <w:i w:val="0"/>
          <w:sz w:val="19"/>
        </w:rPr>
        <w:t>gemessene Erfassungsquote</w:t>
      </w:r>
      <w:r>
        <w:rPr>
          <w:rFonts w:ascii="Arial" w:hAnsi="Arial"/>
          <w:b w:val="0"/>
          <w:i w:val="0"/>
          <w:sz w:val="19"/>
        </w:rPr>
        <w:t xml:space="preserve">: Von 57 zwischen dem 1. Juli 2025 und dem 30. Juni 2026 bei der US-Börsenaufsicht eingereichten 8-K-Meldungen, die im strukturierten Meldungskopf den Posten </w:t>
      </w:r>
      <w:r>
        <w:rPr>
          <w:rFonts w:ascii="Arial" w:hAnsi="Arial"/>
          <w:b w:val="0"/>
          <w:i/>
          <w:sz w:val="19"/>
        </w:rPr>
        <w:t>Item 2.05</w:t>
      </w:r>
      <w:r>
        <w:rPr>
          <w:rFonts w:ascii="Arial" w:hAnsi="Arial"/>
          <w:b w:val="0"/>
          <w:i w:val="0"/>
          <w:sz w:val="19"/>
        </w:rPr>
        <w:t xml:space="preserve"> führen und eine absolute Beschäftigtenzahl nennen, erscheinen 55 im Bestand — 96 % bei einem 95-Prozent-Konfidenzintervall von 88 % bis 99 % —, und 36 von 36 geprüften veröffentlichten Zahlen stimmen wörtlich mit der zitierten Quelle überein; die Messung werde wöchentlich gegen dieselbe eingefrorene Meldungsliste wiederholt. Der Betreiber kennzeichnet den Bestand daraufhin ausdrücklich als </w:t>
      </w:r>
      <w:r>
        <w:rPr>
          <w:rFonts w:ascii="Arial" w:hAnsi="Arial"/>
          <w:b w:val="0"/>
          <w:i/>
          <w:sz w:val="19"/>
        </w:rPr>
        <w:t>„a floor and not a census"</w:t>
      </w:r>
      <w:r>
        <w:rPr>
          <w:rFonts w:ascii="Arial" w:hAnsi="Arial"/>
          <w:b w:val="0"/>
          <w:i w:val="0"/>
          <w:sz w:val="19"/>
        </w:rPr>
        <w:t xml:space="preserve"> und hält fest, die Messung decke eine Quellenfamilie über ein Jahr ab und sage nichts über private Arbeitgeber, über Streichungen außerhalb der Vereinigten Staaten und über die Zuflusswege WARN-Meldung und Presseauswertung. Die Abweichung zu Ankündigungserhebungen beziffert er erstmals: Deren Gesamtwert enthalte Trennungen ohne benannten Arbeitgeber (Aufhebungsangebote, aufgeschobene Kündigungen, Fluktuationsprogramme, Reduktionen im US-Bundesdienst), die für 2025 allein rund 250.000 bis 300.000 Stellen ausgemacht hätten. Ferner ausgelesen: Die WARN-Erfassung stützt sich auf 46 US-Bundesstaaten und den District of Columbia; für Arkansas, Wyoming, New Hampshire, Missouri, Hawaii und Oklahoma bestehe kein verwertbares Register. Interne Konsistenzproben nach der Verfahrensregel zu Cluster F: Die Übersichtstabelle derselben Seite weist für 2026 insgesamt 604.622 Betroffene aus gegenüber der Leitkennzahl von 630.820 — eine unerläuterte Differenz von 26.198 gegenüber 24.074 am Vortag; zudem führt dieselbe Übersichtstabelle die weit gefasste KI-Kennzahl in allen Spalten mit denselben Werten wie die strenge, während der Kennzahlenblock derselben Seite 123.459 gegenüber 66.861 ausweist. Beide Abweichungen sind hier vermerkt, aber nicht als Kennzahl in den Fließtext übernommen. </w:t>
      </w:r>
      <w:r>
        <w:rPr>
          <w:rFonts w:ascii="Arial" w:hAnsi="Arial"/>
          <w:b w:val="0"/>
          <w:i/>
          <w:sz w:val="19"/>
        </w:rPr>
        <w:t>Nachtrag Stand 19. September 2026</w:t>
      </w:r>
      <w:r>
        <w:rPr>
          <w:rFonts w:ascii="Arial" w:hAnsi="Arial"/>
          <w:b w:val="0"/>
          <w:i w:val="0"/>
          <w:sz w:val="19"/>
        </w:rPr>
        <w:t xml:space="preserve"> (siebter Direktabruf): belegte Streichungen 2026 633.867, davon 591.040 bereits wirksam und 42.827 künftig wirksam (Summenprobe geht auf); angekündigte Zählstufe 477.766; zusammengefasster Stand 1.111.633 (Summenprobe geht auf). Zuwachs gegenüber dem Vortag: +3.047 belegt, +4.067 angekündigt, zusammen +7.114. Sämtliche drei KI-Kennzahlen bleiben dabei unverändert — strenge Zuschreibung 66.861, angekündigte Zuschreibung 47.883 (Summe 114.744, Summenprobe geht auf), weit gefasste Kennzahl 123.459 —, so dass der gesamte Tageszuwachs ohne KI-Zuschreibung erfolgt ist; dieser Flussbefund ist in § 1.1 und § 9.1 übernommen. Meldende Unternehmen 3.145 (+18). Erstmals ausgelesen: Gebietsabdeckung 64 Länder, 49 US-Bundesstaaten und der District of Columbia; ferner eine Allzeitangabe von 2.026 Unternehmen, die kleiner ist als der Bestand der laufenden Jahresansicht (3.145) — eine nicht erläuterte Unstimmigkeit derselben Seite, hier vermerkt, aber nicht als Kennzahl weiterverwendet. Die gemessene Erfassungsquote ist unverändert (55 von 57 einschlägigen 8-K-Meldungen des Zeitraums 1. Juli 2025 bis 30. Juni 2026, 96 % bei einem 95-%-Vertrauensbereich von 88 bis 99 %). Zähldefinition unverändert und bei diesem Abruf wörtlich bestätigt: „No figure appears unless its source states it." </w:t>
      </w:r>
      <w:r>
        <w:rPr>
          <w:rFonts w:ascii="Arial" w:hAnsi="Arial"/>
          <w:b w:val="0"/>
          <w:i/>
          <w:sz w:val="19"/>
        </w:rPr>
        <w:t>Nachtrag Stand 20. September 2026</w:t>
      </w:r>
      <w:r>
        <w:rPr>
          <w:rFonts w:ascii="Arial" w:hAnsi="Arial"/>
          <w:b w:val="0"/>
          <w:i w:val="0"/>
          <w:sz w:val="19"/>
        </w:rPr>
        <w:t xml:space="preserve"> (achter Direktabruf): 635.574 belegte Streichungen (591.783 bereits wirksam, 43.791 mit künftigem Wirksamkeitsdatum; Summenprobe geht auf), angekündigte Zählstufe 483.866, zusammengefasster Stand 1.119.440 (Summenprobe geht auf); Zuwachs gegenüber dem Vortag 1.707 belegte und 6.100 angekündigte Streichungen, zusammen 7.807 (Rechenprobe gegen die Gesamtstände geht auf). Sämtliche vier KI-Kennzahlen unverändert (66.861 streng, 47.883 angekündigt, 114.744 zusammengefasst, 123.459 weit gefasst); damit zweiter aufeinanderfolgender Tag, an dem der gesamte Zugang ohne KI-Zuschreibung bleibt. 3.152 Unternehmen und 3.409 Einträge in der laufenden Jahresansicht, 65 Länder, 49 US-Bundesstaaten. </w:t>
      </w:r>
      <w:r>
        <w:rPr>
          <w:rFonts w:ascii="Arial" w:hAnsi="Arial"/>
          <w:b/>
          <w:i w:val="0"/>
          <w:sz w:val="19"/>
        </w:rPr>
        <w:t>Berichtigung zum Stand vom 19. September 2026:</w:t>
      </w:r>
      <w:r>
        <w:rPr>
          <w:rFonts w:ascii="Arial" w:hAnsi="Arial"/>
          <w:b w:val="0"/>
          <w:i w:val="0"/>
          <w:sz w:val="19"/>
        </w:rPr>
        <w:t xml:space="preserve"> Die dort vermerkte „Allzeitzahl von 2.026 Unternehmen" ist keine Allzeitgröße, sondern die Jahresansicht („companies in 2026"); die Allzeitangaben lauten 39.591 Unternehmen, 81 Länder und 65.698 Einträge und liegen sämtlich über dem Jahresbestand. Die dort gezogene Folgerung einer Allzeitgröße unterhalb eines Jahresteilbestands ist damit hinfällig; der frühere Eintrag bleibt als zeitlich frühere Referenz unverändert stehen. Fortbestehend ist die Unstimmigkeit zweier Zahlen für dieselbe Jahresgröße 2026 (2.026 in der Jahresansicht gegenüber 3.152 in der laufenden Ansicht), hier vermerkt, aber nicht als Kennzahl weiterverwendet. Erfassungsquote unverändert (55 von 57, 96 %, Vertrauensbereich 88 bis 99 %); neu ausgelesen ist eine Eigenprüfung, nach der 36 von 36 stichprobenhaft geprüften Zahlen wörtlich in der angegebenen Quelle stehen. </w:t>
      </w:r>
      <w:r>
        <w:rPr>
          <w:rFonts w:ascii="Arial" w:hAnsi="Arial"/>
          <w:b/>
          <w:i w:val="0"/>
          <w:sz w:val="19"/>
        </w:rPr>
        <w:t>Stand 21. September 2026, 22:00 UTC (Direktabruf):</w:t>
      </w:r>
      <w:r>
        <w:rPr>
          <w:rFonts w:ascii="Arial" w:hAnsi="Arial"/>
          <w:b w:val="0"/>
          <w:i w:val="0"/>
          <w:sz w:val="19"/>
        </w:rPr>
        <w:t xml:space="preserve"> 629.474 belegte Streichungen 2026 (585.854 wirksam, 43.620 künftig wirksam; Summenprobe geht auf), 483.564 angekündigt, zusammengefasst 1.113.038 (Summenprobe geht auf). Gegenüber dem Vortag ein Rückgang auf allen Zählstufen: −6.100 belegt, −302 angekündigt, −6.402 zusammengefasst (Rechenprobe gegen die Gesamtstände geht auf); ebenso rückläufig die Strukturangaben (3.147 meldende Unternehmen der laufenden Ansicht gegenüber 3.152; Allzeitbestand 39.587 Unternehmen gegenüber 39.591 und 65.691 Einträge gegenüber 65.698). Damit ist die am 18. September 2026 beobachtete Abwärtsrevision kein Einzelfall mehr; die dortige Einschätzung ist überholt. Die vier KI-Kennzahlen bleiben den dritten Tag in Folge unverändert (66.861 / 47.883 / 114.744 / 123.459; Summenprobe geht auf). Erfassungsquote, Eigenprüfung und Gebietsabdeckung unverändert (65 Länder 2026, 81 im Allzeitbestand, 49 US-Bundesstaaten und der District of Columbia); neu ausgelesen ist die namentliche Begründung der sechs fehlenden Bundesstaaten (Arkansas, Wyoming, New Hampshire, Missouri, Hawaii, Oklahoma — kein brauchbares Massenentlassungsregister). Die Stände vom 13. bis 20.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18. September 2026</w:t>
      </w:r>
      <w:r>
        <w:rPr>
          <w:rFonts w:ascii="Arial" w:hAnsi="Arial"/>
          <w:b w:val="0"/>
          <w:i w:val="0"/>
          <w:sz w:val="19"/>
        </w:rPr>
        <w:t xml:space="preserve"> (sechster Direktabruf; damit fünfter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19. September 2026</w:t>
      </w:r>
      <w:r>
        <w:rPr>
          <w:rFonts w:ascii="Arial" w:hAnsi="Arial"/>
          <w:b w:val="0"/>
          <w:i w:val="0"/>
          <w:sz w:val="19"/>
        </w:rPr>
        <w:t xml:space="preserve"> (siebter Direktabruf; damit sechster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val="0"/>
          <w:i/>
          <w:sz w:val="19"/>
        </w:rPr>
        <w:t>Nachtrag Stand 20. September 2026</w:t>
      </w:r>
      <w:r>
        <w:rPr>
          <w:rFonts w:ascii="Arial" w:hAnsi="Arial"/>
          <w:b w:val="0"/>
          <w:i w:val="0"/>
          <w:sz w:val="19"/>
        </w:rPr>
        <w:t xml:space="preserve"> (achter Direktabruf; damit siebter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377.084 KI-attribuierte Streichungen seit Januar 2023, davon 251.128 im Technologiesektor (rund zwei Drittel des kumulierten Bestands), 0,5 % der FRED-Gesamtstreichungen, 57 berichtende Unternehmen. Eigener Vorbehalt der Seite unverändert mitgeführt: Erfasst werde nur die unmittelbar berichtete Verdrängung, viele Unternehmen legten Künstliche Intelligenz als Grund nicht offen, das tatsächliche Ausmaß liege daher wahrscheinlich erheblich höher. Die Stände vom 13. bis 20. September 2026 bleiben als zeitlich frühere Referenzen vollständig erhalten. https://displaceindex.com/trends/ai-layoffs-tracker/</w:t>
      </w:r>
    </w:p>
    <w:p>
      <w:pPr>
        <w:jc w:val="both"/>
      </w:pPr>
      <w:r>
        <w:rPr>
          <w:rFonts w:ascii="Arial" w:hAnsi="Arial"/>
          <w:b w:val="0"/>
          <w:i w:val="0"/>
          <w:sz w:val="19"/>
        </w:rPr>
        <w:t xml:space="preserve">Job Security Meter. (Stand 18. September 2026; erfasste Ankündigungen bis 13. September 2026). </w:t>
      </w:r>
      <w:r>
        <w:rPr>
          <w:rFonts w:ascii="Arial" w:hAnsi="Arial"/>
          <w:b w:val="0"/>
          <w:i/>
          <w:sz w:val="19"/>
        </w:rPr>
        <w:t>2026 Tech Layoffs: 128.500+ Jobs Lost to AI (Live Tracker).</w:t>
      </w:r>
      <w:r>
        <w:rPr>
          <w:rFonts w:ascii="Arial" w:hAnsi="Arial"/>
          <w:b w:val="0"/>
          <w:i w:val="0"/>
          <w:sz w:val="19"/>
        </w:rPr>
        <w:t xml:space="preserve"> Fünftes im Rahmen der Mehr-Tracker-Gegenprobe (`Suchthemen.md`, Cluster F) erschlossenes Zählwerk, erstmals in diesem Lauf abgerufen. Ausgewiesene Stände: mehr als 128.500 gestrichene Stellen im Technologiesektor des Jahres 2026 bei mehr als 281 Unternehmen; Vergleichswert für das Gesamtjahr 2025 rund 122.600; daneben eine sektorübergreifende US-Größe von mehr als 284.000 von Massenentlassungsanzeigen (WARN notices) erfassten Beschäftigten im Jahr 2026. Zähldefinition, soweit der Seite entnehmbar: Zählung nach Ankündigungsdatum, Schwerpunkt US-Technologiesektor bei vereinzelten internationalen Fällen, Quellen sind die Stellenabbau-Erhebung eines Personalberatungsunternehmens, Massenentlassungsanzeigen, Unternehmensangaben und Sekundärberichterstattung; eine eigene Methodendokumentation ist nicht hinterlegt. </w:t>
      </w:r>
      <w:r>
        <w:rPr>
          <w:rFonts w:ascii="Arial" w:hAnsi="Arial"/>
          <w:b/>
          <w:i w:val="0"/>
          <w:sz w:val="19"/>
        </w:rPr>
        <w:t>Prüfvermerk:</w:t>
      </w:r>
      <w:r>
        <w:rPr>
          <w:rFonts w:ascii="Arial" w:hAnsi="Arial"/>
          <w:b w:val="0"/>
          <w:i w:val="0"/>
          <w:sz w:val="19"/>
        </w:rPr>
        <w:t xml:space="preserve"> Die Überschrift schreibt die 128.500 Stellen ausdrücklich Künstlicher Intelligenz zu, die zugrunde liegende Grundgesamtheit ist jedoch eine Branchensumme des Technologiesektors; die KI-Zuschreibung ist Deutung des Gesamtbefundes und nicht Aufnahmekriterium des Einzelfalls. Die Zahl ist deshalb hier dokumentiert, aber nicht als Verdrängungsgröße weiterverwendet. Aufnahme in § 1.1 als dritte Zwischenstufe der Spreizung (66.861 streng / rund 128.500 Branchensumme / 173.465 bei Selbstbenennung; Verhältnis rund 1 : 1,9 : 2,6) mit Rückwirkung auf § 9.1 und § 9.2. </w:t>
      </w:r>
      <w:r>
        <w:rPr>
          <w:rFonts w:ascii="Arial" w:hAnsi="Arial"/>
          <w:b/>
          <w:i w:val="0"/>
          <w:sz w:val="19"/>
        </w:rPr>
        <w:t>Stand 21. September 2026 (Direktabruf):</w:t>
      </w:r>
      <w:r>
        <w:rPr>
          <w:rFonts w:ascii="Arial" w:hAnsi="Arial"/>
          <w:b w:val="0"/>
          <w:i w:val="0"/>
          <w:sz w:val="19"/>
        </w:rPr>
        <w:t xml:space="preserve"> unverändert auf dem Seitenstand vom 18. September 2026 mit Erfassung bis zum 13. September 2026; in acht Tagen keine Aktualisierung. Damit beruhen zwei der drei zur Spreizung herangezogenen Jahresgrößen auf Erfassungsständen, die mehrere Wochen zurückliegen. https://jobsecuritymeter.com/layoffs</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val="0"/>
          <w:i w:val="0"/>
          <w:sz w:val="19"/>
        </w:rPr>
        <w:t xml:space="preserve">Irving, D. (Redaktion) / Price, C. C. (17. September 2026). </w:t>
      </w:r>
      <w:r>
        <w:rPr>
          <w:rFonts w:ascii="Arial" w:hAnsi="Arial"/>
          <w:b w:val="0"/>
          <w:i/>
          <w:sz w:val="19"/>
        </w:rPr>
        <w:t>Preserving Jobs and Tax Revenue in the Age of AI: Q&amp;A with Carter Price.</w:t>
      </w:r>
      <w:r>
        <w:rPr>
          <w:rFonts w:ascii="Arial" w:hAnsi="Arial"/>
          <w:b w:val="0"/>
          <w:i w:val="0"/>
          <w:sz w:val="19"/>
        </w:rPr>
        <w:t xml:space="preserve"> RAND Corporation, Commentary, Santa Monica, CA. Interviewfassung zu den in § 11.1 nachgewiesenen RAND-Arbeiten; hier als journalistische Aufbereitung geführt, die inhaltlichen Aussagen sind gegen die Primärquellen (Price &amp; Wenger, August 2026; Price &amp; Suresh, 25. August 2026) geprüft. Über die Primärquellen hinausgehende Angaben dieses Interviews: Grundlage der Vorschriftenanalyse ist das im Rahmen der </w:t>
      </w:r>
      <w:r>
        <w:rPr>
          <w:rFonts w:ascii="Arial" w:hAnsi="Arial"/>
          <w:b w:val="0"/>
          <w:i/>
          <w:sz w:val="19"/>
        </w:rPr>
        <w:t>RAND Von Furstenberg Family Budget Model Initiative</w:t>
      </w:r>
      <w:r>
        <w:rPr>
          <w:rFonts w:ascii="Arial" w:hAnsi="Arial"/>
          <w:b w:val="0"/>
          <w:i w:val="0"/>
          <w:sz w:val="19"/>
        </w:rPr>
        <w:t xml:space="preserve"> entwickelte </w:t>
      </w:r>
      <w:r>
        <w:rPr>
          <w:rFonts w:ascii="Arial" w:hAnsi="Arial"/>
          <w:b w:val="0"/>
          <w:i/>
          <w:sz w:val="19"/>
        </w:rPr>
        <w:t>Tax Code Analysis Tool</w:t>
      </w:r>
      <w:r>
        <w:rPr>
          <w:rFonts w:ascii="Arial" w:hAnsi="Arial"/>
          <w:b w:val="0"/>
          <w:i w:val="0"/>
          <w:sz w:val="19"/>
        </w:rPr>
        <w:t xml:space="preserve">, mit dem der US-Bundessteuerkodex im Umfang von rund 7.000 Seiten vollständig auf beschäftigungsrelevante Einzelvorschriften durchgesehen worden sei; als beschäftigungsfeindlich benannt werden namentlich der Arbeitgeberanteil der Lohnsummensteuer und die vorgezogene Abschreibung langlebiger Wirtschaftsgüter, die den Erwerb eines Robotiksystems nach Formulierung des Interviewten zu einer „direkten Subvention" für die Verdrängung menschlicher Arbeit mache; ferner das Zahlenbeispiel zur Gewinnprogression je Beschäftigten (eine Million US-Dollar Gewinn bei hundert Beschäftigten ergibt 10.000 US-Dollar je Beschäftigten; nach Abbau auf zehn Beschäftigte 100.000 US-Dollar je Beschäftigten und damit eine höhere Tarifstufe bei unverändertem Gewinn) sowie die Feststellung, dass eine Änderung des </w:t>
      </w:r>
      <w:r>
        <w:rPr>
          <w:rFonts w:ascii="Arial" w:hAnsi="Arial"/>
          <w:b w:val="0"/>
          <w:i/>
          <w:sz w:val="19"/>
        </w:rPr>
        <w:t>Internal Revenue Code</w:t>
      </w:r>
      <w:r>
        <w:rPr>
          <w:rFonts w:ascii="Arial" w:hAnsi="Arial"/>
          <w:b w:val="0"/>
          <w:i w:val="0"/>
          <w:sz w:val="19"/>
        </w:rPr>
        <w:t xml:space="preserve"> lediglich ein Bundesgesetz erfordere, eine Mehrwertsteuer dagegen eine neue Erhebungsinfrastruktur und eine Bundesvermögensteuer zusätzlich eine Verfassungsänderung. Aufnahme in § 3.1, § 5.1 und § 9.3. https://www.rand.org/pubs/commentary/2026/09/preserving-jobs-and-tax-revenue-in-the-age-of-ai-qa.html</w:t>
      </w:r>
    </w:p>
    <w:p>
      <w:pPr>
        <w:jc w:val="both"/>
      </w:pPr>
      <w:r>
        <w:rPr>
          <w:rFonts w:ascii="Arial" w:hAnsi="Arial"/>
          <w:b w:val="0"/>
          <w:i w:val="0"/>
          <w:sz w:val="19"/>
        </w:rPr>
        <w:t xml:space="preserve">CNBC / Quartz / Invezz. (18. September 2026). </w:t>
      </w:r>
      <w:r>
        <w:rPr>
          <w:rFonts w:ascii="Arial" w:hAnsi="Arial"/>
          <w:b w:val="0"/>
          <w:i/>
          <w:sz w:val="19"/>
        </w:rPr>
        <w:t>Anthropic and OpenAI hunt for smaller data center deals, sources tell CNBC, in race to deploy AI capacity</w:t>
      </w:r>
      <w:r>
        <w:rPr>
          <w:rFonts w:ascii="Arial" w:hAnsi="Arial"/>
          <w:b w:val="0"/>
          <w:i w:val="0"/>
          <w:sz w:val="19"/>
        </w:rPr>
        <w:t xml:space="preserve"> (CNBC) bzw. </w:t>
      </w:r>
      <w:r>
        <w:rPr>
          <w:rFonts w:ascii="Arial" w:hAnsi="Arial"/>
          <w:b w:val="0"/>
          <w:i/>
          <w:sz w:val="19"/>
        </w:rPr>
        <w:t>Anthropic and OpenAI seek smaller data center deals in Europe</w:t>
      </w:r>
      <w:r>
        <w:rPr>
          <w:rFonts w:ascii="Arial" w:hAnsi="Arial"/>
          <w:b w:val="0"/>
          <w:i w:val="0"/>
          <w:sz w:val="19"/>
        </w:rPr>
        <w:t xml:space="preserve"> (Quartz). Recherche unter Berufung auf ungenannte Quellen; im Fließtext deshalb im Konjunktiv referiert, eine Bestätigung durch die beteiligten Unternehmen liegt zum Stichtag nicht vor. Kernaussagen: Beide Anbieter von Basismodellen suchten neben ihren Vorhaben im Gigawattmaßstab gezielt Rechenzentrumsverträge im Bereich von 20 bis 30 Megawatt; </w:t>
      </w:r>
      <w:r>
        <w:rPr>
          <w:rFonts w:ascii="Arial" w:hAnsi="Arial"/>
          <w:b w:val="0"/>
          <w:i/>
          <w:sz w:val="19"/>
        </w:rPr>
        <w:t>Anthropic</w:t>
      </w:r>
      <w:r>
        <w:rPr>
          <w:rFonts w:ascii="Arial" w:hAnsi="Arial"/>
          <w:b w:val="0"/>
          <w:i w:val="0"/>
          <w:sz w:val="19"/>
        </w:rPr>
        <w:t xml:space="preserve"> sondiere solche Abschlüsse im Vereinigten Königreich und in den nordischen Ländern, </w:t>
      </w:r>
      <w:r>
        <w:rPr>
          <w:rFonts w:ascii="Arial" w:hAnsi="Arial"/>
          <w:b w:val="0"/>
          <w:i/>
          <w:sz w:val="19"/>
        </w:rPr>
        <w:t>OpenAI</w:t>
      </w:r>
      <w:r>
        <w:rPr>
          <w:rFonts w:ascii="Arial" w:hAnsi="Arial"/>
          <w:b w:val="0"/>
          <w:i w:val="0"/>
          <w:sz w:val="19"/>
        </w:rPr>
        <w:t xml:space="preserve"> gleichfalls in Nordeuropa. Technische Begründung: Das Training eines Modells verlange eine enge Kopplung sehr vieler Prozessoren an einem Ort, die Inferenz — der Betrieb des fertigen Modells für Endnutzer — lasse sich dagegen auf mehrere kleinere, räumlich getrennte Rechnerverbünde verteilen; die kleineren Abschlüsse sollten Inferenzkapazität schneller verfügbar machen, als der Aufbau der Großvorhaben es erlaube. Als Vergleichsgrößen genannt: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(Volumen rund 45 Milliarden US-Dollar) sowie Ausbauzusagen von </w:t>
      </w:r>
      <w:r>
        <w:rPr>
          <w:rFonts w:ascii="Arial" w:hAnsi="Arial"/>
          <w:b w:val="0"/>
          <w:i/>
          <w:sz w:val="19"/>
        </w:rPr>
        <w:t>OpenAI</w:t>
      </w:r>
      <w:r>
        <w:rPr>
          <w:rFonts w:ascii="Arial" w:hAnsi="Arial"/>
          <w:b w:val="0"/>
          <w:i w:val="0"/>
          <w:sz w:val="19"/>
        </w:rPr>
        <w:t xml:space="preserve"> über zusätzliche 3 Gigawatt in Georgia und 8 Gigawatt in Ohio nach Überschreiten der ursprünglichen 10-Gigawatt-Zusage des </w:t>
      </w:r>
      <w:r>
        <w:rPr>
          <w:rFonts w:ascii="Arial" w:hAnsi="Arial"/>
          <w:b w:val="0"/>
          <w:i/>
          <w:sz w:val="19"/>
        </w:rPr>
        <w:t>Stargate</w:t>
      </w:r>
      <w:r>
        <w:rPr>
          <w:rFonts w:ascii="Arial" w:hAnsi="Arial"/>
          <w:b w:val="0"/>
          <w:i w:val="0"/>
          <w:sz w:val="19"/>
        </w:rPr>
        <w:t xml:space="preserve">-Vorhabens im April 2026. Aufnahme in § 9.3 als Präzisierung der Arbitrage- und Anknüpfungsfrage (Teilbarkeit der Inferenzschicht), mit Rückwirkung auf § 8.2 (Kapazitätsrückstand nur noch für die Trainings-, nicht für die Betriebsebene) und § 8.3 (Vorrang der wertschöpfungsbezogenen vor der bestands- oder standortbezogenen Zugriffslogik). </w:t>
      </w:r>
      <w:r>
        <w:rPr>
          <w:rFonts w:ascii="Arial" w:hAnsi="Arial"/>
          <w:b/>
          <w:i w:val="0"/>
          <w:sz w:val="19"/>
        </w:rPr>
        <w:t>Prüfvermerk nach § 2.4.4 `Validierung.md`:</w:t>
      </w:r>
      <w:r>
        <w:rPr>
          <w:rFonts w:ascii="Arial" w:hAnsi="Arial"/>
          <w:b w:val="0"/>
          <w:i w:val="0"/>
          <w:sz w:val="19"/>
        </w:rPr>
        <w:t xml:space="preserve"> Ein Direktabruf der drei genannten Fassungen ist am 19. September 2026 an einer Zugriffssperre der jeweiligen Anbieter gescheitert (HTTP-Statuscode 403, kein 404 — die Adressen bestehen, die Auslieferung an automatisierte Abrufe wird verweigert). Die oben referierten Angaben beruhen deshalb </w:t>
      </w:r>
      <w:r>
        <w:rPr>
          <w:rFonts w:ascii="Arial" w:hAnsi="Arial"/>
          <w:b w:val="0"/>
          <w:i/>
          <w:sz w:val="19"/>
        </w:rPr>
        <w:t>nicht</w:t>
      </w:r>
      <w:r>
        <w:rPr>
          <w:rFonts w:ascii="Arial" w:hAnsi="Arial"/>
          <w:b w:val="0"/>
          <w:i w:val="0"/>
          <w:sz w:val="19"/>
        </w:rPr>
        <w:t xml:space="preserve"> auf einer Volltextlesung, sondern auf den übereinstimmenden Inhaltszusammenfassungen dreier unabhängig voneinander erreichter Fundstellen zu denselben Kennzahlen (20 bis 30 Megawatt, Vereinigtes Königreich und Nordeuropa, Trainings-gegen-Inferenz-Begründung, </w:t>
      </w:r>
      <w:r>
        <w:rPr>
          <w:rFonts w:ascii="Arial" w:hAnsi="Arial"/>
          <w:b w:val="0"/>
          <w:i/>
          <w:sz w:val="19"/>
        </w:rPr>
        <w:t>Nscale</w:t>
      </w:r>
      <w:r>
        <w:rPr>
          <w:rFonts w:ascii="Arial" w:hAnsi="Arial"/>
          <w:b w:val="0"/>
          <w:i w:val="0"/>
          <w:sz w:val="19"/>
        </w:rPr>
        <w:t xml:space="preserve"> 460 Megawatt, </w:t>
      </w:r>
      <w:r>
        <w:rPr>
          <w:rFonts w:ascii="Arial" w:hAnsi="Arial"/>
          <w:b w:val="0"/>
          <w:i/>
          <w:sz w:val="19"/>
        </w:rPr>
        <w:t>OpenAI</w:t>
      </w:r>
      <w:r>
        <w:rPr>
          <w:rFonts w:ascii="Arial" w:hAnsi="Arial"/>
          <w:b w:val="0"/>
          <w:i w:val="0"/>
          <w:sz w:val="19"/>
        </w:rPr>
        <w:t xml:space="preserve"> 3 und 8 Gigawatt). Der Befund ist damit belastbar genug für die in § 9.3 gezogene </w:t>
      </w:r>
      <w:r>
        <w:rPr>
          <w:rFonts w:ascii="Arial" w:hAnsi="Arial"/>
          <w:b w:val="0"/>
          <w:i/>
          <w:sz w:val="19"/>
        </w:rPr>
        <w:t>qualitative</w:t>
      </w:r>
      <w:r>
        <w:rPr>
          <w:rFonts w:ascii="Arial" w:hAnsi="Arial"/>
          <w:b w:val="0"/>
          <w:i w:val="0"/>
          <w:sz w:val="19"/>
        </w:rPr>
        <w:t xml:space="preserve"> Folgerung zur Teilbarkeit der Inferenzschicht, aber nicht für eine Weiterverwendung der Megawattzahlen als eigenständige Kennzahl; eine Volltextprüfung ist für einen Folgelauf vorgemerkt. https://www.cnbc.com/2026/09/18/anthropic-openai-small-ai-data-center-deals.html | https://qz.com/anthropic-openai-smaller-data-center-deals-uk-nordics-091826 | https://invezz.com/en-ae/news/2026/09/18/anthropic-openai-quietly-chase-smaller-ai-data-centre-deals-report/</w:t>
      </w:r>
    </w:p>
    <w:p>
      <w:pPr>
        <w:jc w:val="both"/>
      </w:pPr>
      <w:r>
        <w:rPr>
          <w:rFonts w:ascii="Arial" w:hAnsi="Arial"/>
          <w:b w:val="0"/>
          <w:i w:val="0"/>
          <w:sz w:val="19"/>
        </w:rPr>
        <w:t xml:space="preserve">Reuters. (19./20. September 2026). </w:t>
      </w:r>
      <w:r>
        <w:rPr>
          <w:rFonts w:ascii="Arial" w:hAnsi="Arial"/>
          <w:b w:val="0"/>
          <w:i/>
          <w:sz w:val="19"/>
        </w:rPr>
        <w:t>IMF tells EU ministers AI could boost growth but increase economic strains.</w:t>
      </w:r>
      <w:r>
        <w:rPr>
          <w:rFonts w:ascii="Arial" w:hAnsi="Arial"/>
          <w:b w:val="0"/>
          <w:i w:val="0"/>
          <w:sz w:val="19"/>
        </w:rPr>
        <w:t xml:space="preserve"> Agenturbericht über das nicht veröffentlichte Hintergrundpapier des Internationalen Währungsfonds für den informellen Rat der Wirtschafts- und Finanzminister der Europäischen Union in Dublin (18./19. September 2026). Referierte Kernaussagen: Anhebung der europäischen Produktivität um rund ein Prozent über fünf Jahre bei gleichzeitigem Risiko wachsender Ungleichheit, belasteter Stromnetze und zunehmender Abhängigkeit von ausländischer Technologie, sofern die wirtschaftliche Integration nicht vertieft werde; ungleiche Verteilung von Nutzen und Kosten über Länder, Regionen und Beschäftigte; rund 60 Prozent der Beschäftigten in den fortgeschrittenen europäischen Volkswirtschaften in Berufen mit hoher KI-Exposition; rund drei Prozent des europäischen Stromverbrauchs bereits durch Rechenzentren, mit besonderer Belastung von Frankfurt, London, Amsterdam, Paris und Dublin; Empfehlung der Binnenmarkt-Vollendung, grenzüberschreitender Netzinfrastruktur und tieferer Integration des Energiemarktes; Warnung vor einer weiteren strategischen Abhängigkeit, weil die Vereinigten Staaten und die Volksrepublik China die Modellentwicklung beherrschten. </w:t>
      </w:r>
      <w:r>
        <w:rPr>
          <w:rFonts w:ascii="Arial" w:hAnsi="Arial"/>
          <w:b w:val="0"/>
          <w:i/>
          <w:sz w:val="19"/>
        </w:rPr>
        <w:t>Prüfvermerk nach § 2.4.4 `Validierung.md`:</w:t>
      </w:r>
      <w:r>
        <w:rPr>
          <w:rFonts w:ascii="Arial" w:hAnsi="Arial"/>
          <w:b w:val="0"/>
          <w:i w:val="0"/>
          <w:sz w:val="19"/>
        </w:rPr>
        <w:t xml:space="preserve"> Die Agenturmeldung ist hier ausnahmsweise inhaltstragend, weil das Hintergrundpapier selbst nicht veröffentlicht ist; die Veranstaltungsseite der irischen Ratspräsidentschaft belegt nur Datum, Ort und Sitzungstitel (§ 11.3). Der Produktivitätswert ist gegen IMF Working Paper WP/25/67 abgeglichen (§ 11.1). Der Erstabdruck von reuters.com war nicht abrufbar; als gleichlautende Übernahmen der Agenturmeldung herangezogen: Business Recorder (20. September 2026) und Free Malaysia Today (19. September 2026). Eingearbeitet als </w:t>
      </w:r>
      <w:r>
        <w:rPr>
          <w:rFonts w:ascii="Arial" w:hAnsi="Arial"/>
          <w:b w:val="0"/>
          <w:i/>
          <w:sz w:val="19"/>
        </w:rPr>
        <w:t>Zwölfte Fortschreibung</w:t>
      </w:r>
      <w:r>
        <w:rPr>
          <w:rFonts w:ascii="Arial" w:hAnsi="Arial"/>
          <w:b w:val="0"/>
          <w:i w:val="0"/>
          <w:sz w:val="19"/>
        </w:rPr>
        <w:t xml:space="preserve"> in § 8.2. https://www.brecorder.com/news/40440341/imf-tells-eu-ministers-ai-could-boost-growth-but-increase-economic-strains | https://www.freemalaysiatoday.com/category/business/2026/09/19/imf-tells-eu-ministers-ai-could-boost-growth-but-increase-economic-strains</w:t>
      </w:r>
    </w:p>
    <w:p>
      <w:pPr>
        <w:jc w:val="both"/>
      </w:pPr>
      <w:r>
        <w:rPr>
          <w:rFonts w:ascii="Arial" w:hAnsi="Arial"/>
          <w:b w:val="0"/>
          <w:i w:val="0"/>
          <w:sz w:val="19"/>
        </w:rPr>
        <w:t xml:space="preserve">Reuters / Sterling, T. (21. September 2026, Amsterdam). </w:t>
      </w:r>
      <w:r>
        <w:rPr>
          <w:rFonts w:ascii="Arial" w:hAnsi="Arial"/>
          <w:b w:val="0"/>
          <w:i/>
          <w:sz w:val="19"/>
        </w:rPr>
        <w:t>Humanoid robot sales tally hit 7,000 globally last year.</w:t>
      </w:r>
      <w:r>
        <w:rPr>
          <w:rFonts w:ascii="Arial" w:hAnsi="Arial"/>
          <w:b w:val="0"/>
          <w:i w:val="0"/>
          <w:sz w:val="19"/>
        </w:rPr>
        <w:t xml:space="preserve"> Agenturbericht mit den Vorabzahlen der </w:t>
      </w:r>
      <w:r>
        <w:rPr>
          <w:rFonts w:ascii="Arial" w:hAnsi="Arial"/>
          <w:b w:val="0"/>
          <w:i/>
          <w:sz w:val="19"/>
        </w:rPr>
        <w:t>International Federation of Robotics</w:t>
      </w:r>
      <w:r>
        <w:rPr>
          <w:rFonts w:ascii="Arial" w:hAnsi="Arial"/>
          <w:b w:val="0"/>
          <w:i w:val="0"/>
          <w:sz w:val="19"/>
        </w:rPr>
        <w:t xml:space="preserve"> zum Bericht </w:t>
      </w:r>
      <w:r>
        <w:rPr>
          <w:rFonts w:ascii="Arial" w:hAnsi="Arial"/>
          <w:b w:val="0"/>
          <w:i/>
          <w:sz w:val="19"/>
        </w:rPr>
        <w:t>World Robotics 2026</w:t>
      </w:r>
      <w:r>
        <w:rPr>
          <w:rFonts w:ascii="Arial" w:hAnsi="Arial"/>
          <w:b w:val="0"/>
          <w:i w:val="0"/>
          <w:sz w:val="19"/>
        </w:rPr>
        <w:t xml:space="preserve"> (Veröffentlichung angekündigt für den 24. September 2026): rund 7.000 im Jahr 2025 weltweit verkaufte humanoide Roboter für industrielle und professionelle Dienstleistungen; Vergleichsgrößen für 2024: 542.000 installierte Industrieroboter und 199.000 verkaufte Serviceroboter. Aufnahmekriterium der IFR: menschenähnliches Erscheinungsbild und autonomer Betrieb in einer für Menschen gestalteten Umgebung, Beine nicht erforderlich; ausgenommen Verbraucher- und Militärgeräte, Medizinrobotik gesondert geführt. Susanne Bieller (Generalsekretärin der IFR) ordnet die Größe als „a fraction" des Gesamtbestands ein; viele der 2025 ausgelieferten Einheiten hätten keine produktive Arbeit verrichtet, sondern seien von Forschungseinrichtungen oder Unternehmen zur Entwicklung von KI-Modellen beschafft worden. Ferner referiert: Prognose von Bank of America Global Research über 90.000 ausgelieferte humanoide Roboter im Jahr 2026 und 1,2 Millionen bis 2030 — als Prognose gekennzeichnet und nicht mit der Erhebung vermengt. </w:t>
      </w:r>
      <w:r>
        <w:rPr>
          <w:rFonts w:ascii="Arial" w:hAnsi="Arial"/>
          <w:b w:val="0"/>
          <w:i/>
          <w:sz w:val="19"/>
        </w:rPr>
        <w:t>Prüfvermerk:</w:t>
      </w:r>
      <w:r>
        <w:rPr>
          <w:rFonts w:ascii="Arial" w:hAnsi="Arial"/>
          <w:b w:val="0"/>
          <w:i w:val="0"/>
          <w:sz w:val="19"/>
        </w:rPr>
        <w:t xml:space="preserve"> Der Erstabdruck von reuters.com war nicht abrufbar; herangezogen ist eine gleichlautende Übernahme der Agenturmeldung mit Nennung von Agentur, Autor und Ort. Eingearbeitet in § 2.2. https://www.933thedrive.com/2026/09/21/humanoid-robot-sales-tally-hit-7000-globally-last-year/</w:t>
      </w:r>
    </w:p>
    <w:p>
      <w:pPr>
        <w:jc w:val="both"/>
      </w:pPr>
      <w:r>
        <w:rPr>
          <w:rFonts w:ascii="Arial" w:hAnsi="Arial"/>
          <w:b/>
          <w:i w:val="0"/>
          <w:sz w:val="19"/>
        </w:rPr>
        <w:t>Hinweis zur Aktualität:</w:t>
      </w:r>
      <w:r>
        <w:rPr>
          <w:rFonts w:ascii="Arial" w:hAnsi="Arial"/>
          <w:b w:val="0"/>
          <w:i w:val="0"/>
          <w:sz w:val="19"/>
        </w:rPr>
        <w:t xml:space="preserve"> Dieses Arbeitspapier gibt den Stand Ende September 2026 (Schnitt am 21. September 2026 — Lauf 001 vom 21. September 2026, Version 101.0)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Mit dem Lauf vom 19. September 2026 sind hinzugekommen: (c) die vorschriftengenaue Fortschreibung des Acemoglu-Manera-Restrepo-Befunds durch die </w:t>
      </w:r>
      <w:r>
        <w:rPr>
          <w:rFonts w:ascii="Arial" w:hAnsi="Arial"/>
          <w:b w:val="0"/>
          <w:i/>
          <w:sz w:val="19"/>
        </w:rPr>
        <w:t>RAND Corporation</w:t>
      </w:r>
      <w:r>
        <w:rPr>
          <w:rFonts w:ascii="Arial" w:hAnsi="Arial"/>
          <w:b w:val="0"/>
          <w:i w:val="0"/>
          <w:sz w:val="19"/>
        </w:rPr>
        <w:t xml:space="preserve"> — Durchsicht des gesamten US-Bundessteuerkodex mit Benennung von Arbeitgeber-Lohnsummensteuer und vorgezogener Abschreibung als beschäftigungsfeindlichen Vorschriften, verbunden mit einer Szenarienrechnung zur Aufkommenswirkung (§ 3.1, § 5.1, § 9.3, zwei Neueinträge in § 11.1 und einer in § 11.5); und (d) der Befund, dass die Betriebsschicht der Basismodelle (Inferenz) in kleinen, räumlich verteilbaren Einheiten nachgefragt wird und damit sowohl die Umgehbarkeit standortbezogener Steuertatbestände als auch die europäische Anschlussfähigkeit der Anwendungsebene berührt (§ 9.3, Neueintrag in § 11.5). Mit dem Lauf vom 20. September 2026 sind hinzugekommen: (e) die erste zusammenhängende Positionsbestimmung des </w:t>
      </w:r>
      <w:r>
        <w:rPr>
          <w:rFonts w:ascii="Arial" w:hAnsi="Arial"/>
          <w:b w:val="0"/>
          <w:i/>
          <w:sz w:val="19"/>
        </w:rPr>
        <w:t>Internationalen Währungsfonds</w:t>
      </w:r>
      <w:r>
        <w:rPr>
          <w:rFonts w:ascii="Arial" w:hAnsi="Arial"/>
          <w:b w:val="0"/>
          <w:i w:val="0"/>
          <w:sz w:val="19"/>
        </w:rPr>
        <w:t xml:space="preserve"> zur Steuerfrage — Erosion der arbeitsbezogenen Steuerbasis, nur teilweiser Ausgleich über die Unternehmensteuer, ausdrückliche Abratung von pauschalen Robotersteuern zugunsten einer Ausrichtung auf ökonomische Renten und die persönliche Kapitaleinkommensbesteuerung sowie die Asymmetrie zulasten KI-konsumierender Länder (§ 3.3 mit Querverweisen auf § 3.4, § 5.1, § 5.3, § 8.2 und § 9.3, Neueintrag in § 11.3); (f) die dritte Sitzung des </w:t>
      </w:r>
      <w:r>
        <w:rPr>
          <w:rFonts w:ascii="Arial" w:hAnsi="Arial"/>
          <w:b w:val="0"/>
          <w:i/>
          <w:sz w:val="19"/>
        </w:rPr>
        <w:t>Strategiekreises für Technologie und Innovation des Bundeskanzlers</w:t>
      </w:r>
      <w:r>
        <w:rPr>
          <w:rFonts w:ascii="Arial" w:hAnsi="Arial"/>
          <w:b w:val="0"/>
          <w:i w:val="0"/>
          <w:sz w:val="19"/>
        </w:rPr>
        <w:t xml:space="preserve"> vom 16. September 2026, die der Veredelungsspur der Deutschland-These eine Regierungsentsprechung gibt, die Finanzierungs- und Teilhabefrage aber erneut ausspart (</w:t>
      </w:r>
      <w:r>
        <w:rPr>
          <w:rFonts w:ascii="Arial" w:hAnsi="Arial"/>
          <w:b w:val="0"/>
          <w:i/>
          <w:sz w:val="19"/>
        </w:rPr>
        <w:t>Elfte Fortschreibung</w:t>
      </w:r>
      <w:r>
        <w:rPr>
          <w:rFonts w:ascii="Arial" w:hAnsi="Arial"/>
          <w:b w:val="0"/>
          <w:i w:val="0"/>
          <w:sz w:val="19"/>
        </w:rPr>
        <w:t xml:space="preserve"> in § 8.2, Neueintrag in § 11.3); und (g) die Erschließung eines fünften Layoff-Zählwerks, dessen KI-Überschrift eine Branchensumme trägt, womit die Spreizung derselben Größe eine dritte Zwischenstufe erhält (rund 1 : 1,9 : 2,6), samt Berichtigung einer im Vorlauf fehlgedeuteten Allzeitangabe (§ 1.1, Neueintrag und drei Fortschreibungen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101.0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