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104.0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sz w:val="19"/>
        </w:rPr>
        <w:t>Nachtrag (Trackerstände 14. September 2026):</w:t>
      </w:r>
      <w:r>
        <w:rPr>
          <w:rFonts w:ascii="Arial" w:hAnsi="Arial"/>
          <w:b w:val="0"/>
          <w:i w:val="0"/>
          <w:sz w:val="19"/>
        </w:rPr>
        <w:t xml:space="preserve"> Der Abgleich ist am Folgetag nach derselben Verfahrensregel wiederholt worden. Alle drei Zählwerke stehen still: </w:t>
      </w:r>
      <w:r>
        <w:rPr>
          <w:rFonts w:ascii="Arial" w:hAnsi="Arial"/>
          <w:b w:val="0"/>
          <w:i/>
          <w:sz w:val="19"/>
        </w:rPr>
        <w:t>SkillSyncer</w:t>
      </w:r>
      <w:r>
        <w:rPr>
          <w:rFonts w:ascii="Arial" w:hAnsi="Arial"/>
          <w:b w:val="0"/>
          <w:i w:val="0"/>
          <w:sz w:val="19"/>
        </w:rPr>
        <w:t xml:space="preserve"> weist unverändert 365 Ereignisse mit 209.032 Betroffenen aus (davon 183 KI-attribuierte Ereignisse mit 172.044 Betroffenen sowie 20 Betriebsschließungen); jüngstes gelistetes Einzelereignis bleibt </w:t>
      </w:r>
      <w:r>
        <w:rPr>
          <w:rFonts w:ascii="Arial" w:hAnsi="Arial"/>
          <w:b w:val="0"/>
          <w:i/>
          <w:sz w:val="19"/>
        </w:rPr>
        <w:t>Apple</w:t>
      </w:r>
      <w:r>
        <w:rPr>
          <w:rFonts w:ascii="Arial" w:hAnsi="Arial"/>
          <w:b w:val="0"/>
          <w:i w:val="0"/>
          <w:sz w:val="19"/>
        </w:rPr>
        <w:t xml:space="preserve"> vom 21. August 2026, die Erfassungslücke ist damit auf vierundzwanzig Tage angewachsen. Der abermalige Rückgang der ausgewiesenen Tagesrate von 817 auf 813 Stellen ist wiederum ein reiner Nennereffekt und keine Sachverhaltsänderung (209.032 geteilt durch 256 Tage ergibt 816,5, geteilt durch 257 Tage 813,4). </w:t>
      </w:r>
      <w:r>
        <w:rPr>
          <w:rFonts w:ascii="Arial" w:hAnsi="Arial"/>
          <w:b w:val="0"/>
          <w:i/>
          <w:sz w:val="19"/>
        </w:rPr>
        <w:t>DisplaceIndex</w:t>
      </w:r>
      <w:r>
        <w:rPr>
          <w:rFonts w:ascii="Arial" w:hAnsi="Arial"/>
          <w:b w:val="0"/>
          <w:i w:val="0"/>
          <w:sz w:val="19"/>
        </w:rPr>
        <w:t xml:space="preserve"> weist unverändert 377.084 KI-attribuierte Streichungen seit Januar 2023 aus, davon 251.128 im Technologiesektor. </w:t>
      </w:r>
      <w:r>
        <w:rPr>
          <w:rFonts w:ascii="Arial" w:hAnsi="Arial"/>
          <w:b w:val="0"/>
          <w:i/>
          <w:sz w:val="19"/>
        </w:rPr>
        <w:t>AskTheRecruiter</w:t>
      </w:r>
      <w:r>
        <w:rPr>
          <w:rFonts w:ascii="Arial" w:hAnsi="Arial"/>
          <w:b w:val="0"/>
          <w:i w:val="0"/>
          <w:sz w:val="19"/>
        </w:rPr>
        <w:t xml:space="preserve"> nennt unverändert 635.481 belegte Streichungen für 2026, verschiebt jedoch die interne Aufteilung durch bloßen Zeitablauf: Wirksam geworden sind nun 595.842 statt 595.343 Streichungen, mit künftigem Wirksamkeitsdatum verbleiben 39.639 statt 40.138 — 499 Streichungen sind ohne jedes neue Ereignis von der einen in die andere Spalte gewandert (die Summe bleibt exakt: 595.842 + 39.639 = 635.481). Zwei Angaben dieses Trackers sind beim Abruf am 14. September 2026 neu erfasst worden. Erstens führt er neben der strengen KI-Quote von 66.853 Streichungen, bei denen der Arbeitgeber Künstliche Intelligenz selbst als Grund benannt hat, eine </w:t>
      </w:r>
      <w:r>
        <w:rPr>
          <w:rFonts w:ascii="Arial" w:hAnsi="Arial"/>
          <w:b w:val="0"/>
          <w:i/>
          <w:sz w:val="19"/>
        </w:rPr>
        <w:t>zweite, weiter gefasste</w:t>
      </w:r>
      <w:r>
        <w:rPr>
          <w:rFonts w:ascii="Arial" w:hAnsi="Arial"/>
          <w:b w:val="0"/>
          <w:i w:val="0"/>
          <w:sz w:val="19"/>
        </w:rPr>
        <w:t xml:space="preserve"> Kennzahl von 122.186 Streichungen („AI-linked, broad"), die nach eigener Beschreibung auch die journalistische Rahmung — im Wortlaut des Trackers </w:t>
      </w:r>
      <w:r>
        <w:rPr>
          <w:rFonts w:ascii="Arial" w:hAnsi="Arial"/>
          <w:b w:val="0"/>
          <w:i/>
          <w:sz w:val="19"/>
        </w:rPr>
        <w:t>„press framing like ‚amid AI push'"</w:t>
      </w:r>
      <w:r>
        <w:rPr>
          <w:rFonts w:ascii="Arial" w:hAnsi="Arial"/>
          <w:b w:val="0"/>
          <w:i w:val="0"/>
          <w:sz w:val="19"/>
        </w:rPr>
        <w:t xml:space="preserve"> — einbezieht und die </w:t>
      </w:r>
      <w:r>
        <w:rPr>
          <w:rFonts w:ascii="Arial" w:hAnsi="Arial"/>
          <w:b w:val="0"/>
          <w:i/>
          <w:sz w:val="19"/>
        </w:rPr>
        <w:t>„never sums"</w:t>
      </w:r>
      <w:r>
        <w:rPr>
          <w:rFonts w:ascii="Arial" w:hAnsi="Arial"/>
          <w:b w:val="0"/>
          <w:i w:val="0"/>
          <w:sz w:val="19"/>
        </w:rPr>
        <w:t xml:space="preserve"> mit der strengen Zahl; beide Werte stammen aus derselben Datenbasis am selben Tag und unterscheiden sich allein durch die Zuschreibungsregel um den Faktor 1,8. Zweitens weist der Tracker erstmals eine eigene Vollständigkeitsprüfung aus: Von 57 einschlägigen SEC-Meldungen des Zeitraums Juli 2025 bis Juni 2026 habe er 55 erfasst, mithin 96 % (95-%-Konfidenzintervall 88 % bis 99 %); die Prüfung erstrecke sich ausdrücklich nur auf diese eine Quellenfamilie und decke weder private Arbeitgeber noch Streichungen außerhalb der Vereinigten Staaten noch die Melde- und Pressewege ab. Die Folgerung für die Bemessungsgrundlage wird in § 9.2 gezogen.</w:t>
      </w:r>
    </w:p>
    <w:p>
      <w:pPr>
        <w:jc w:val="both"/>
      </w:pPr>
      <w:r>
        <w:rPr>
          <w:rFonts w:ascii="Arial" w:hAnsi="Arial"/>
          <w:b w:val="0"/>
          <w:i/>
          <w:sz w:val="19"/>
        </w:rPr>
        <w:t>Nachtrag (Trackerstände 15. September 2026) — zwei der drei Zählwerke bewegen sich wieder:</w:t>
      </w:r>
      <w:r>
        <w:rPr>
          <w:rFonts w:ascii="Arial" w:hAnsi="Arial"/>
          <w:b w:val="0"/>
          <w:i w:val="0"/>
          <w:sz w:val="19"/>
        </w:rPr>
        <w:t xml:space="preserve"> Der für den Fall neuer Ereignisse vorgesehene Anlass ist am 15. September 2026 eingetreten. </w:t>
      </w:r>
      <w:r>
        <w:rPr>
          <w:rFonts w:ascii="Arial" w:hAnsi="Arial"/>
          <w:b w:val="0"/>
          <w:i/>
          <w:sz w:val="19"/>
        </w:rPr>
        <w:t>SkillSyncer</w:t>
      </w:r>
      <w:r>
        <w:rPr>
          <w:rFonts w:ascii="Arial" w:hAnsi="Arial"/>
          <w:b w:val="0"/>
          <w:i w:val="0"/>
          <w:sz w:val="19"/>
        </w:rPr>
        <w:t xml:space="preserve"> weist nun 383 Ereignisse mit 210.741 Betroffenen aus (zuvor 365 und 209.032), davon 188 KI-attribuierte Ereignisse mit 173.465 Betroffenen (zuvor 183 und 172.044) sowie 25 Betriebsschließungen (zuvor 20); jüngstes gelistetes Einzelereignis ist jetzt </w:t>
      </w:r>
      <w:r>
        <w:rPr>
          <w:rFonts w:ascii="Arial" w:hAnsi="Arial"/>
          <w:b w:val="0"/>
          <w:i/>
          <w:sz w:val="19"/>
        </w:rPr>
        <w:t>Zomato</w:t>
      </w:r>
      <w:r>
        <w:rPr>
          <w:rFonts w:ascii="Arial" w:hAnsi="Arial"/>
          <w:b w:val="0"/>
          <w:i w:val="0"/>
          <w:sz w:val="19"/>
        </w:rPr>
        <w:t xml:space="preserve"> vom 30. August 2026 mit 250 Beschäftigten, womit sich die Erfassungslücke von vierundzwanzig auf sechzehn Tage verkürzt. Der Wiederanstieg der ausgewiesenen Tagesrate von 813 auf 817 Stellen ist nachgerechnet und beruht diesmal tatsächlich auf neuen Ereignissen und nicht auf dem Nenner (210.741 geteilt durch 258 Tage ergibt 816,8). </w:t>
      </w:r>
      <w:r>
        <w:rPr>
          <w:rFonts w:ascii="Arial" w:hAnsi="Arial"/>
          <w:b w:val="0"/>
          <w:i/>
          <w:sz w:val="19"/>
        </w:rPr>
        <w:t>AskTheRecruiter</w:t>
      </w:r>
      <w:r>
        <w:rPr>
          <w:rFonts w:ascii="Arial" w:hAnsi="Arial"/>
          <w:b w:val="0"/>
          <w:i w:val="0"/>
          <w:sz w:val="19"/>
        </w:rPr>
        <w:t xml:space="preserve"> nennt 638.694 belegte Streichungen für 2026 gegenüber 635.481 am Vortag, davon 598.943 bereits wirksam und 39.751 mit künftigem Wirksamkeitsdatum (Summenprobe exakt: 598.943 + 39.751 = 638.694); die weit gefasste KI-Kennzahl steigt von 122.186 auf 123.223, die strenge bleibt bei 66.853 unverändert; die Zahl der meldenden Unternehmen steigt von 3.076 auf 3.088 bei unverändert 64 erfassten Ländern und erstmals ausgewiesenen 48 US-Bundesstaaten; das jüngste aufgenommene Ereignis trägt den 15. September 2026, die trackereigene Vollständigkeitsprüfung bleibt bei 55 von 57 SEC-Meldungen. </w:t>
      </w:r>
      <w:r>
        <w:rPr>
          <w:rFonts w:ascii="Arial" w:hAnsi="Arial"/>
          <w:b w:val="0"/>
          <w:i/>
          <w:sz w:val="19"/>
        </w:rPr>
        <w:t>DisplaceIndex</w:t>
      </w:r>
      <w:r>
        <w:rPr>
          <w:rFonts w:ascii="Arial" w:hAnsi="Arial"/>
          <w:b w:val="0"/>
          <w:i w:val="0"/>
          <w:sz w:val="19"/>
        </w:rPr>
        <w:t xml:space="preserve"> steht weiterhin still: unverändert 377.084 KI-attribuierte Streichungen seit Januar 2023, davon 251.128 im Technologiesektor, unverändert 0,5 % der Gesamtstreichungen der </w:t>
      </w:r>
      <w:r>
        <w:rPr>
          <w:rFonts w:ascii="Arial" w:hAnsi="Arial"/>
          <w:b w:val="0"/>
          <w:i/>
          <w:sz w:val="19"/>
        </w:rPr>
        <w:t>FRED</w:t>
      </w:r>
      <w:r>
        <w:rPr>
          <w:rFonts w:ascii="Arial" w:hAnsi="Arial"/>
          <w:b w:val="0"/>
          <w:i w:val="0"/>
          <w:sz w:val="19"/>
        </w:rPr>
        <w:t xml:space="preserve">-Reihe, unverändert 57 berichtende Unternehmen, jüngster Einzelfall unverändert </w:t>
      </w:r>
      <w:r>
        <w:rPr>
          <w:rFonts w:ascii="Arial" w:hAnsi="Arial"/>
          <w:b w:val="0"/>
          <w:i/>
          <w:sz w:val="19"/>
        </w:rPr>
        <w:t>Uber</w:t>
      </w:r>
      <w:r>
        <w:rPr>
          <w:rFonts w:ascii="Arial" w:hAnsi="Arial"/>
          <w:b w:val="0"/>
          <w:i w:val="0"/>
          <w:sz w:val="19"/>
        </w:rPr>
        <w:t xml:space="preserve"> (September 2026, 3.300 Stellen, ausdrücklich mit der Umstellung auf autonome Fahrzeuge begründet).</w:t>
      </w:r>
    </w:p>
    <w:p>
      <w:pPr>
        <w:jc w:val="both"/>
      </w:pPr>
      <w:r>
        <w:rPr>
          <w:rFonts w:ascii="Arial" w:hAnsi="Arial"/>
          <w:b w:val="0"/>
          <w:i w:val="0"/>
          <w:sz w:val="19"/>
        </w:rPr>
        <w:t xml:space="preserve">Der eigentliche Zugewinn dieses Abgleichs liegt nicht in den Beständen, sondern im </w:t>
      </w:r>
      <w:r>
        <w:rPr>
          <w:rFonts w:ascii="Arial" w:hAnsi="Arial"/>
          <w:b/>
          <w:i w:val="0"/>
          <w:sz w:val="19"/>
        </w:rPr>
        <w:t>Zuwachs</w:t>
      </w:r>
      <w:r>
        <w:rPr>
          <w:rFonts w:ascii="Arial" w:hAnsi="Arial"/>
          <w:b w:val="0"/>
          <w:i w:val="0"/>
          <w:sz w:val="19"/>
        </w:rPr>
        <w:t xml:space="preserve">. Erstmals lassen sich nicht nur Stände, sondern die Bewegungen desselben Beobachtungszeitraums vergleichen — und sie fallen ebenso unvereinbar aus wie die Bestände: Für dieselben vierundzwanzig Stunden nimmt </w:t>
      </w:r>
      <w:r>
        <w:rPr>
          <w:rFonts w:ascii="Arial" w:hAnsi="Arial"/>
          <w:b w:val="0"/>
          <w:i/>
          <w:sz w:val="19"/>
        </w:rPr>
        <w:t>SkillSyncer</w:t>
      </w:r>
      <w:r>
        <w:rPr>
          <w:rFonts w:ascii="Arial" w:hAnsi="Arial"/>
          <w:b w:val="0"/>
          <w:i w:val="0"/>
          <w:sz w:val="19"/>
        </w:rPr>
        <w:t xml:space="preserve"> 1.709 Betroffene neu auf und schreibt davon 1.421 der Künstlichen Intelligenz zu (83 %); </w:t>
      </w:r>
      <w:r>
        <w:rPr>
          <w:rFonts w:ascii="Arial" w:hAnsi="Arial"/>
          <w:b w:val="0"/>
          <w:i/>
          <w:sz w:val="19"/>
        </w:rPr>
        <w:t>AskTheRecruiter</w:t>
      </w:r>
      <w:r>
        <w:rPr>
          <w:rFonts w:ascii="Arial" w:hAnsi="Arial"/>
          <w:b w:val="0"/>
          <w:i w:val="0"/>
          <w:sz w:val="19"/>
        </w:rPr>
        <w:t xml:space="preserve"> nimmt 3.213 Streichungen neu auf und erhöht davon die weit gefasste KI-Kennzahl um 1.037 (32 %), die strenge um null; </w:t>
      </w:r>
      <w:r>
        <w:rPr>
          <w:rFonts w:ascii="Arial" w:hAnsi="Arial"/>
          <w:b w:val="0"/>
          <w:i/>
          <w:sz w:val="19"/>
        </w:rPr>
        <w:t>DisplaceIndex</w:t>
      </w:r>
      <w:r>
        <w:rPr>
          <w:rFonts w:ascii="Arial" w:hAnsi="Arial"/>
          <w:b w:val="0"/>
          <w:i w:val="0"/>
          <w:sz w:val="19"/>
        </w:rPr>
        <w:t xml:space="preserve"> nimmt gar nichts auf (0 %). Die Attributionsquoten des Zuwachses — 83 %, 32 % und 0 % — bilden die am 13. September 2026 dokumentierte Spreizung der Bestandsquoten (82 %, 10,5 % und 0,5 %, letztere auf eine andere Grundgesamtheit bezogen) nahezu unverändert ab. Damit ist die naheliegende Entlastungserklärung entkräftet, die Divergenz sei ein Rückstandsartefakt, das sich beim Nachtragen der Ereignisse auflösen würde: Sie reproduziert sich im laufenden Zufluss. Die Folgerung für die Bemessungsgrundlage wird in § 9.2 gezogen.</w:t>
      </w:r>
    </w:p>
    <w:p>
      <w:pPr>
        <w:jc w:val="both"/>
      </w:pPr>
      <w:r>
        <w:rPr>
          <w:rFonts w:ascii="Arial" w:hAnsi="Arial"/>
          <w:b w:val="0"/>
          <w:i/>
          <w:sz w:val="19"/>
        </w:rPr>
        <w:t>Nachtrag (Trackerstände 16. September 2026) — die Zuschreibungsquote desselben Zählwerks kippt binnen eines Tages:</w:t>
      </w:r>
      <w:r>
        <w:rPr>
          <w:rFonts w:ascii="Arial" w:hAnsi="Arial"/>
          <w:b w:val="0"/>
          <w:i w:val="0"/>
          <w:sz w:val="19"/>
        </w:rPr>
        <w:t xml:space="preserve"> Der Abgleich ist am Folgetag nach derselben Verfahrensregel wiederholt worden, und er kehrt das Bild des Vortages um. Bewegt hat sich diesmal allein </w:t>
      </w:r>
      <w:r>
        <w:rPr>
          <w:rFonts w:ascii="Arial" w:hAnsi="Arial"/>
          <w:b w:val="0"/>
          <w:i/>
          <w:sz w:val="19"/>
        </w:rPr>
        <w:t>AskTheRecruiter</w:t>
      </w:r>
      <w:r>
        <w:rPr>
          <w:rFonts w:ascii="Arial" w:hAnsi="Arial"/>
          <w:b w:val="0"/>
          <w:i w:val="0"/>
          <w:sz w:val="19"/>
        </w:rPr>
        <w:t xml:space="preserve">: 644.023 belegte Streichungen für 2026 gegenüber 638.694 am Vortag, davon 604.619 bereits wirksam (zuvor 598.943) und 39.404 mit künftigem Wirksamkeitsdatum (zuvor 39.751); die Summenprobe geht exakt auf (604.619 + 39.404 = 644.023), und die Gegenläufigkeit der beiden Teilbestände ist plausibel, weil künftig wirksame Einträge mit Erreichen ihres Stichtags in den wirksamen Bestand wechseln. Die Zahl der meldenden Unternehmen steigt von 3.088 auf 3.107 bei unverändert 64 Ländern und 48 US-Bundesstaaten; das jüngste aufgenommene Ereignis trägt den 16. September 2026. Entscheidend ist jedoch, was sich </w:t>
      </w:r>
      <w:r>
        <w:rPr>
          <w:rFonts w:ascii="Arial" w:hAnsi="Arial"/>
          <w:b w:val="0"/>
          <w:i/>
          <w:sz w:val="19"/>
        </w:rPr>
        <w:t>nicht</w:t>
      </w:r>
      <w:r>
        <w:rPr>
          <w:rFonts w:ascii="Arial" w:hAnsi="Arial"/>
          <w:b w:val="0"/>
          <w:i w:val="0"/>
          <w:sz w:val="19"/>
        </w:rPr>
        <w:t xml:space="preserve"> bewegt hat: Sowohl die strenge KI-Kennzahl (66.853) als auch die weit gefasste (123.223) bleiben unverändert. Das Zählwerk nimmt also den größten Tageszuwachs der bisher beobachteten Reihe — 5.329 Streichungen — auf und schreibt davon </w:t>
      </w:r>
      <w:r>
        <w:rPr>
          <w:rFonts w:ascii="Arial" w:hAnsi="Arial"/>
          <w:b/>
          <w:i w:val="0"/>
          <w:sz w:val="19"/>
        </w:rPr>
        <w:t>keine einzige</w:t>
      </w:r>
      <w:r>
        <w:rPr>
          <w:rFonts w:ascii="Arial" w:hAnsi="Arial"/>
          <w:b w:val="0"/>
          <w:i w:val="0"/>
          <w:sz w:val="19"/>
        </w:rPr>
        <w:t xml:space="preserve"> der Künstlichen Intelligenz zu, weder streng noch weit gefasst. </w:t>
      </w:r>
      <w:r>
        <w:rPr>
          <w:rFonts w:ascii="Arial" w:hAnsi="Arial"/>
          <w:b w:val="0"/>
          <w:i/>
          <w:sz w:val="19"/>
        </w:rPr>
        <w:t>SkillSyncer</w:t>
      </w:r>
      <w:r>
        <w:rPr>
          <w:rFonts w:ascii="Arial" w:hAnsi="Arial"/>
          <w:b w:val="0"/>
          <w:i w:val="0"/>
          <w:sz w:val="19"/>
        </w:rPr>
        <w:t xml:space="preserve"> steht demgegenüber vollständig still: unverändert 383 Ereignisse, 210.741 Betroffene, 188 KI-attribuierte Ereignisse mit 173.465 Betroffenen und 25 Betriebsschließungen; jüngstes gelistetes Einzelereignis bleibt </w:t>
      </w:r>
      <w:r>
        <w:rPr>
          <w:rFonts w:ascii="Arial" w:hAnsi="Arial"/>
          <w:b w:val="0"/>
          <w:i/>
          <w:sz w:val="19"/>
        </w:rPr>
        <w:t>Zomato</w:t>
      </w:r>
      <w:r>
        <w:rPr>
          <w:rFonts w:ascii="Arial" w:hAnsi="Arial"/>
          <w:b w:val="0"/>
          <w:i w:val="0"/>
          <w:sz w:val="19"/>
        </w:rPr>
        <w:t xml:space="preserve"> vom 30. August 2026, womit sich die Erfassungslücke von sechzehn auf siebzehn Tage wieder ausweitet. Der Rückgang der ausgewiesenen Tagesrate von 817 auf 814 Stellen ist nachgerechnet und beruht diesmal ausschließlich auf dem Nenner (210.741 geteilt durch 259 Tage ergibt 813,7), bestätigt also den Nullzufluss. </w:t>
      </w:r>
      <w:r>
        <w:rPr>
          <w:rFonts w:ascii="Arial" w:hAnsi="Arial"/>
          <w:b w:val="0"/>
          <w:i/>
          <w:sz w:val="19"/>
        </w:rPr>
        <w:t>DisplaceIndex</w:t>
      </w:r>
      <w:r>
        <w:rPr>
          <w:rFonts w:ascii="Arial" w:hAnsi="Arial"/>
          <w:b w:val="0"/>
          <w:i w:val="0"/>
          <w:sz w:val="19"/>
        </w:rPr>
        <w:t xml:space="preserve"> bleibt auch im dritten aufeinanderfolgenden Vierundzwanzig-Stunden-Zeitraum ohne jede Bewegung (377.084 KI-attribuierte Streichungen seit Januar 2023, davon 251.128 im Technologiesektor, 0,5 % der </w:t>
      </w:r>
      <w:r>
        <w:rPr>
          <w:rFonts w:ascii="Arial" w:hAnsi="Arial"/>
          <w:b w:val="0"/>
          <w:i/>
          <w:sz w:val="19"/>
        </w:rPr>
        <w:t>FRED</w:t>
      </w:r>
      <w:r>
        <w:rPr>
          <w:rFonts w:ascii="Arial" w:hAnsi="Arial"/>
          <w:b w:val="0"/>
          <w:i w:val="0"/>
          <w:sz w:val="19"/>
        </w:rPr>
        <w:t xml:space="preserve">-Gesamtstreichungen, 57 berichtende Unternehmen, jüngster Einzelfall </w:t>
      </w:r>
      <w:r>
        <w:rPr>
          <w:rFonts w:ascii="Arial" w:hAnsi="Arial"/>
          <w:b w:val="0"/>
          <w:i/>
          <w:sz w:val="19"/>
        </w:rPr>
        <w:t>Uber</w:t>
      </w:r>
      <w:r>
        <w:rPr>
          <w:rFonts w:ascii="Arial" w:hAnsi="Arial"/>
          <w:b w:val="0"/>
          <w:i w:val="0"/>
          <w:sz w:val="19"/>
        </w:rPr>
        <w:t xml:space="preserve"> im September 2026 mit 3.300 Stellen).</w:t>
      </w:r>
    </w:p>
    <w:p>
      <w:pPr>
        <w:jc w:val="both"/>
      </w:pPr>
      <w:r>
        <w:rPr>
          <w:rFonts w:ascii="Arial" w:hAnsi="Arial"/>
          <w:b w:val="0"/>
          <w:i w:val="0"/>
          <w:sz w:val="19"/>
        </w:rPr>
        <w:t xml:space="preserve">Der Befund des Vortages erhält damit eine dritte Dimension. Am 13. September 2026 war die Spreizung zwischen den Zählwerken dokumentiert, am 15. September 2026 ihre Reproduktion im laufenden Zufluss — am 16. September 2026 zeigt sich, dass die Zuschreibungsquote auch </w:t>
      </w:r>
      <w:r>
        <w:rPr>
          <w:rFonts w:ascii="Arial" w:hAnsi="Arial"/>
          <w:b w:val="0"/>
          <w:i/>
          <w:sz w:val="19"/>
        </w:rPr>
        <w:t>innerhalb desselben Zählwerks von einem Tag auf den anderen</w:t>
      </w:r>
      <w:r>
        <w:rPr>
          <w:rFonts w:ascii="Arial" w:hAnsi="Arial"/>
          <w:b w:val="0"/>
          <w:i w:val="0"/>
          <w:sz w:val="19"/>
        </w:rPr>
        <w:t xml:space="preserve"> umschlägt: </w:t>
      </w:r>
      <w:r>
        <w:rPr>
          <w:rFonts w:ascii="Arial" w:hAnsi="Arial"/>
          <w:b w:val="0"/>
          <w:i/>
          <w:sz w:val="19"/>
        </w:rPr>
        <w:t>AskTheRecruiter</w:t>
      </w:r>
      <w:r>
        <w:rPr>
          <w:rFonts w:ascii="Arial" w:hAnsi="Arial"/>
          <w:b w:val="0"/>
          <w:i w:val="0"/>
          <w:sz w:val="19"/>
        </w:rPr>
        <w:t xml:space="preserve"> attribuiert im weit gefassten Maß am 15. September 2026 noch 32 % seines Zuflusses der Künstlichen Intelligenz und am 16. September 2026 null Prozent, und dasjenige Zählwerk, das am Vortag die hohe Quote von 83 % beigesteuert hatte, liefert an diesem Tag überhaupt keine Beobachtung. Die Divergenz ist damit weder auf den Vergleich zwischen Registern noch auf den Bestand beschränkt, sondern auch eine Eigenschaft des Erhebungszeitpunkts. Die Folgerung für die Bemessungsgrundlage wird in § 9.2 gezogen.</w:t>
      </w:r>
    </w:p>
    <w:p>
      <w:pPr>
        <w:jc w:val="both"/>
      </w:pPr>
      <w:r>
        <w:rPr>
          <w:rFonts w:ascii="Arial" w:hAnsi="Arial"/>
          <w:b w:val="0"/>
          <w:i/>
          <w:sz w:val="19"/>
        </w:rPr>
        <w:t>Nachtrag (Trackerstände 17. September 2026) — erstmals eine Abwärtsrevision des Bestandes:</w:t>
      </w:r>
      <w:r>
        <w:rPr>
          <w:rFonts w:ascii="Arial" w:hAnsi="Arial"/>
          <w:b w:val="0"/>
          <w:i w:val="0"/>
          <w:sz w:val="19"/>
        </w:rPr>
        <w:t xml:space="preserve"> Der Abgleich ist am Folgetag nach derselben Verfahrensregel wiederholt worden und liefert ein Ereignis, das in den bisherigen Abgleichen nicht vorkam: Ein Zählwerk weist einen </w:t>
      </w:r>
      <w:r>
        <w:rPr>
          <w:rFonts w:ascii="Arial" w:hAnsi="Arial"/>
          <w:b/>
          <w:i w:val="0"/>
          <w:sz w:val="19"/>
        </w:rPr>
        <w:t>niedrigeren</w:t>
      </w:r>
      <w:r>
        <w:rPr>
          <w:rFonts w:ascii="Arial" w:hAnsi="Arial"/>
          <w:b w:val="0"/>
          <w:i w:val="0"/>
          <w:sz w:val="19"/>
        </w:rPr>
        <w:t xml:space="preserve"> Jahresbestand aus als am Vortag. </w:t>
      </w:r>
      <w:r>
        <w:rPr>
          <w:rFonts w:ascii="Arial" w:hAnsi="Arial"/>
          <w:b w:val="0"/>
          <w:i/>
          <w:sz w:val="19"/>
        </w:rPr>
        <w:t>AskTheRecruiter</w:t>
      </w:r>
      <w:r>
        <w:rPr>
          <w:rFonts w:ascii="Arial" w:hAnsi="Arial"/>
          <w:b w:val="0"/>
          <w:i w:val="0"/>
          <w:sz w:val="19"/>
        </w:rPr>
        <w:t xml:space="preserve"> nennt zum 17. September 2026 noch 629.819 belegte Streichungen für das Jahr 2026 gegenüber 644.023 am Vortag, davon 590.566 bereits wirksam (zuvor 604.619) und 39.253 mit künftigem Wirksamkeitsdatum (zuvor 39.404); die Summenprobe geht exakt auf (590.566 + 39.253 = 629.819). Der Bestand ist damit binnen vierundzwanzig Stunden um 14.204 Streichungen oder 2,2 % </w:t>
      </w:r>
      <w:r>
        <w:rPr>
          <w:rFonts w:ascii="Arial" w:hAnsi="Arial"/>
          <w:b w:val="0"/>
          <w:i/>
          <w:sz w:val="19"/>
        </w:rPr>
        <w:t>gesunken</w:t>
      </w:r>
      <w:r>
        <w:rPr>
          <w:rFonts w:ascii="Arial" w:hAnsi="Arial"/>
          <w:b w:val="0"/>
          <w:i w:val="0"/>
          <w:sz w:val="19"/>
        </w:rPr>
        <w:t xml:space="preserve">, während die Zahl der meldenden Unternehmen im selben Zeitraum von 3.107 auf 3.117 </w:t>
      </w:r>
      <w:r>
        <w:rPr>
          <w:rFonts w:ascii="Arial" w:hAnsi="Arial"/>
          <w:b w:val="0"/>
          <w:i/>
          <w:sz w:val="19"/>
        </w:rPr>
        <w:t>gestiegen</w:t>
      </w:r>
      <w:r>
        <w:rPr>
          <w:rFonts w:ascii="Arial" w:hAnsi="Arial"/>
          <w:b w:val="0"/>
          <w:i w:val="0"/>
          <w:sz w:val="19"/>
        </w:rPr>
        <w:t xml:space="preserve"> ist. Die strenge KI-Zuschreibung bleibt unverändert bei 66.853, die weit gefasste Kennzahl steigt von 123.223 auf 123.451; der Anteil der Künstlichen Intelligenz am Jahresbestand wächst an diesem Tag also allein dadurch, dass der Nenner schrumpft. Länderzahl (64) und Bundesstaaten (48) bleiben unverändert, jüngstes aufgenommenes Ereignis ist der 17. September 2026. Die beiden anderen Zählwerke stehen still: </w:t>
      </w:r>
      <w:r>
        <w:rPr>
          <w:rFonts w:ascii="Arial" w:hAnsi="Arial"/>
          <w:b w:val="0"/>
          <w:i/>
          <w:sz w:val="19"/>
        </w:rPr>
        <w:t>SkillSyncer</w:t>
      </w:r>
      <w:r>
        <w:rPr>
          <w:rFonts w:ascii="Arial" w:hAnsi="Arial"/>
          <w:b w:val="0"/>
          <w:i w:val="0"/>
          <w:sz w:val="19"/>
        </w:rPr>
        <w:t xml:space="preserve"> weist unverändert 383 Ereignisse mit 210.741 Betroffenen aus, davon 188 KI-attribuierte Ereignisse (49 % aller Ereignisse) mit 173.465 Betroffenen sowie 25 Betriebsschließungen; die ausgewiesene Tagesrate sinkt allein durch die Verlängerung des Nenners von 814 auf 811 (Rechenprobe: 210.741 / 260 Tage = 810,5), jüngstes gelistetes Einzelereignis bleibt </w:t>
      </w:r>
      <w:r>
        <w:rPr>
          <w:rFonts w:ascii="Arial" w:hAnsi="Arial"/>
          <w:b w:val="0"/>
          <w:i/>
          <w:sz w:val="19"/>
        </w:rPr>
        <w:t>Zomato</w:t>
      </w:r>
      <w:r>
        <w:rPr>
          <w:rFonts w:ascii="Arial" w:hAnsi="Arial"/>
          <w:b w:val="0"/>
          <w:i w:val="0"/>
          <w:sz w:val="19"/>
        </w:rPr>
        <w:t xml:space="preserve"> vom 30. August 2026 und die Erfassungslücke wächst damit auf achtzehn Tage. </w:t>
      </w:r>
      <w:r>
        <w:rPr>
          <w:rFonts w:ascii="Arial" w:hAnsi="Arial"/>
          <w:b w:val="0"/>
          <w:i/>
          <w:sz w:val="19"/>
        </w:rPr>
        <w:t>DisplaceIndex</w:t>
      </w:r>
      <w:r>
        <w:rPr>
          <w:rFonts w:ascii="Arial" w:hAnsi="Arial"/>
          <w:b w:val="0"/>
          <w:i w:val="0"/>
          <w:sz w:val="19"/>
        </w:rPr>
        <w:t xml:space="preserve"> bleibt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vierte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 Das erste liefert seine Kennzahlen weiterhin erst clientseitig nach, das zweite antwortet unverändert mit HTTP 403.</w:t>
      </w:r>
    </w:p>
    <w:p>
      <w:pPr>
        <w:jc w:val="both"/>
      </w:pPr>
      <w:r>
        <w:rPr>
          <w:rFonts w:ascii="Arial" w:hAnsi="Arial"/>
          <w:b w:val="0"/>
          <w:i w:val="0"/>
          <w:sz w:val="19"/>
        </w:rPr>
        <w:t xml:space="preserve">Zwei Strukturmerkmale desselben Zählwerks sind bei diesem Abruf erstmals ausgelesen worden und erklären die Revision. </w:t>
      </w:r>
      <w:r>
        <w:rPr>
          <w:rFonts w:ascii="Arial" w:hAnsi="Arial"/>
          <w:b w:val="0"/>
          <w:i/>
          <w:sz w:val="19"/>
        </w:rPr>
        <w:t>Erstens</w:t>
      </w:r>
      <w:r>
        <w:rPr>
          <w:rFonts w:ascii="Arial" w:hAnsi="Arial"/>
          <w:b w:val="0"/>
          <w:i w:val="0"/>
          <w:sz w:val="19"/>
        </w:rPr>
        <w:t xml:space="preserve"> führt </w:t>
      </w:r>
      <w:r>
        <w:rPr>
          <w:rFonts w:ascii="Arial" w:hAnsi="Arial"/>
          <w:b w:val="0"/>
          <w:i/>
          <w:sz w:val="19"/>
        </w:rPr>
        <w:t>AskTheRecruiter</w:t>
      </w:r>
      <w:r>
        <w:rPr>
          <w:rFonts w:ascii="Arial" w:hAnsi="Arial"/>
          <w:b w:val="0"/>
          <w:i w:val="0"/>
          <w:sz w:val="19"/>
        </w:rPr>
        <w:t xml:space="preserve"> nicht eine, sondern zwei getrennte Zählstufen: 629.819 belegte Streichungen, für die eine amtliche Meldung oder ein namentlich benannter Bericht vorliege, stehen neben 477.649 lediglich </w:t>
      </w:r>
      <w:r>
        <w:rPr>
          <w:rFonts w:ascii="Arial" w:hAnsi="Arial"/>
          <w:b w:val="0"/>
          <w:i/>
          <w:sz w:val="19"/>
        </w:rPr>
        <w:t>angekündigten</w:t>
      </w:r>
      <w:r>
        <w:rPr>
          <w:rFonts w:ascii="Arial" w:hAnsi="Arial"/>
          <w:b w:val="0"/>
          <w:i w:val="0"/>
          <w:sz w:val="19"/>
        </w:rPr>
        <w:t xml:space="preserve"> Streichungen, für die eine solche Unterlage noch fehle — zusammen 1.107.468. Dieselbe Zweiteilung gilt für die KI-Kennzahlen: 66.853 belegte und 47.883 angekündigte, zusammen 114.736 Streichungen, für die der Arbeitgeber die Künstliche Intelligenz ausdrücklich benannt habe, wovon die weit gefasste Kennzahl von 123.451 nach Angabe des Betreibers ausdrücklich getrennt zu halten sei und mit der sie nie summiert werden dürfe. Das Zählwerk beziffert seinen eigenen Anspruch entsprechend als dokumentierte </w:t>
      </w:r>
      <w:r>
        <w:rPr>
          <w:rFonts w:ascii="Arial" w:hAnsi="Arial"/>
          <w:b w:val="0"/>
          <w:i/>
          <w:sz w:val="19"/>
        </w:rPr>
        <w:t>Untergrenze</w:t>
      </w:r>
      <w:r>
        <w:rPr>
          <w:rFonts w:ascii="Arial" w:hAnsi="Arial"/>
          <w:b w:val="0"/>
          <w:i w:val="0"/>
          <w:sz w:val="19"/>
        </w:rPr>
        <w:t xml:space="preserve">, die kleiner ausfalle als Umfragen zu Ankündigungen und dafür belegbar sei. </w:t>
      </w:r>
      <w:r>
        <w:rPr>
          <w:rFonts w:ascii="Arial" w:hAnsi="Arial"/>
          <w:b w:val="0"/>
          <w:i/>
          <w:sz w:val="19"/>
        </w:rPr>
        <w:t>Zweitens</w:t>
      </w:r>
      <w:r>
        <w:rPr>
          <w:rFonts w:ascii="Arial" w:hAnsi="Arial"/>
          <w:b w:val="0"/>
          <w:i w:val="0"/>
          <w:sz w:val="19"/>
        </w:rPr>
        <w:t xml:space="preserve"> veröffentlicht es einen datierten Korrekturenlog, in dem jede Änderung mit Grund, Zeilenkennung und Ankerlink geführt wird; korrigierte Zeilen trügen in der Schnittstelle die Markierung `edited: true`, und ein maschinenlesbarer Statusendpunkt weise Datensatzstand, jüngste Korrekturen, Sammlerzustand und den Bearbeitungsstand jedes Abdeckungsvorhabens aus. Der Log nennt für den 16. und 17. September 2026 unter anderem die Entfernung dreier Zeilen derselben Ankündigung von </w:t>
      </w:r>
      <w:r>
        <w:rPr>
          <w:rFonts w:ascii="Arial" w:hAnsi="Arial"/>
          <w:b w:val="0"/>
          <w:i/>
          <w:sz w:val="19"/>
        </w:rPr>
        <w:t>Jaguar Land Rover</w:t>
      </w:r>
      <w:r>
        <w:rPr>
          <w:rFonts w:ascii="Arial" w:hAnsi="Arial"/>
          <w:b w:val="0"/>
          <w:i w:val="0"/>
          <w:sz w:val="19"/>
        </w:rPr>
        <w:t xml:space="preserve"> über je 4.000 Stellen, die unter vier Schreibweisen des Unternehmensnamens gespeichert worden waren, einer Drittprojektion über 4.500 Stellen zu den Beschäftigungsfolgen einer Medienfusion, einer Dublette derselben Projektion über 2.500 Stellen, eines Eintrags über 4.320, bei dem es sich ausweislich der Prüfung um eine Dollargröße aus einer Ergebnisrechnung und nicht um eine Kopfzahl handelte, sowie zweier Einträge über zusammen 26.000 Stellen aus der Restrukturierungsangabe einer US-Bundesbehörde. Die ausgewiesenen Einzelkorrekturen ergeben in der Summe mehr als die beobachtete Nettoveränderung, weil im selben Zeitraum Zugänge gegengelaufen sind; eine vollständige Überleitung vom Bestand des Vortages auf den heutigen Bestand lässt der Log deshalb nicht zu. Zur Herkunft der Korrekturen macht das Zählwerk selbst eine bemerkenswerte Angabe: Von 200 maschinell erzeugten Logeinträgen nennen 134 eine interne Prüfung oder einen automatisierten Abgleich als Auslöser, vier einen externen Hinweis, und 62 führten überhaupt keine Herkunft.</w:t>
      </w:r>
    </w:p>
    <w:p>
      <w:pPr>
        <w:jc w:val="both"/>
      </w:pPr>
      <w:r>
        <w:rPr>
          <w:rFonts w:ascii="Arial" w:hAnsi="Arial"/>
          <w:b w:val="0"/>
          <w:i/>
          <w:sz w:val="19"/>
        </w:rPr>
        <w:t>Nachtrag (Trackerstände 18. September 2026) — die Abwärtsrevision bleibt ein Einzelfall, und ein Zählwerk beziffert erstmals seine eigene Erfassungsquote:</w:t>
      </w:r>
      <w:r>
        <w:rPr>
          <w:rFonts w:ascii="Arial" w:hAnsi="Arial"/>
          <w:b w:val="0"/>
          <w:i w:val="0"/>
          <w:sz w:val="19"/>
        </w:rPr>
        <w:t xml:space="preserve"> Der Abgleich ist am Folgetag nach derselben Verfahrensregel wiederholt worden. Der am Vortag beobachtete Rückgang des Jahresbestandes setzt sich nicht fort: </w:t>
      </w:r>
      <w:r>
        <w:rPr>
          <w:rFonts w:ascii="Arial" w:hAnsi="Arial"/>
          <w:b w:val="0"/>
          <w:i/>
          <w:sz w:val="19"/>
        </w:rPr>
        <w:t>AskTheRecruiter</w:t>
      </w:r>
      <w:r>
        <w:rPr>
          <w:rFonts w:ascii="Arial" w:hAnsi="Arial"/>
          <w:b w:val="0"/>
          <w:i w:val="0"/>
          <w:sz w:val="19"/>
        </w:rPr>
        <w:t xml:space="preserve"> weist zum 18. September 2026 wieder 630.820 belegte Streichungen für 2026 aus, 1.001 mehr als am Vortag, davon 589.570 bereits wirksam und 41.250 mit künftigem Wirksamkeitsdatum; die Summenprobe geht erneut exakt auf (589.570 + 41.250 = 630.820). Die Revision hat sich binnen eines weiteren Tages in die </w:t>
      </w:r>
      <w:r>
        <w:rPr>
          <w:rFonts w:ascii="Arial" w:hAnsi="Arial"/>
          <w:b w:val="0"/>
          <w:i/>
          <w:sz w:val="19"/>
        </w:rPr>
        <w:t>angekündigte</w:t>
      </w:r>
      <w:r>
        <w:rPr>
          <w:rFonts w:ascii="Arial" w:hAnsi="Arial"/>
          <w:b w:val="0"/>
          <w:i w:val="0"/>
          <w:sz w:val="19"/>
        </w:rPr>
        <w:t xml:space="preserve"> Zählstufe verlagert: Diese sinkt von 477.649 auf 473.699, der zusammengefasste Stand beider Stufen von 1.107.468 auf 1.104.519. Die strenge KI-Zuschreibung steigt um acht auf 66.861, die angekündigte bleibt bei 47.883, die weit gefasste Kennzahl steigt gleichfalls um acht auf 123.459; die Zahl meldender Unternehmen wächst erneut um zehn auf 3.127. Zwei interne Unstimmigkeiten derselben Seite sind dabei bezifferbar: Die Übersichtstabelle nennt für das laufende Jahr 604.622 Betroffene gegenüber der Leitkennzahl von 630.820 — eine unerläuterte Differenz von 26.198, die gegenüber dem Vortag (24.074) gewachsen ist —, und sie führt die weit gefasste KI-Kennzahl in sämtlichen Spalten mit genau denselben Werten wie die strenge, während der Kennzahlenblock derselben Seite 123.459 gegenüber 66.861 ausweist. Beide Beobachtungen sind hier vermerkt, aber nicht als Kennzahl weiterverwendet. Die beiden anderen Zählwerke stehen weiter still: </w:t>
      </w:r>
      <w:r>
        <w:rPr>
          <w:rFonts w:ascii="Arial" w:hAnsi="Arial"/>
          <w:b w:val="0"/>
          <w:i/>
          <w:sz w:val="19"/>
        </w:rPr>
        <w:t>SkillSyncer</w:t>
      </w:r>
      <w:r>
        <w:rPr>
          <w:rFonts w:ascii="Arial" w:hAnsi="Arial"/>
          <w:b w:val="0"/>
          <w:i w:val="0"/>
          <w:sz w:val="19"/>
        </w:rPr>
        <w:t xml:space="preserve"> bleibt bei 383 Ereignissen mit 210.741 Betroffenen, davon 188 KI-attribuierte Ereignisse (49 % aller Ereignisse) mit 173.465 Betroffenen sowie 25 Betriebsschließungen; die ausgewiesene Tagesrate sinkt allein durch die Verlängerung des Nenners von 811 auf 807 (Rechenprobe: 210.741 / 261 Tage = 807,4), jüngstes gelistetes Einzelereignis bleibt </w:t>
      </w:r>
      <w:r>
        <w:rPr>
          <w:rFonts w:ascii="Arial" w:hAnsi="Arial"/>
          <w:b w:val="0"/>
          <w:i/>
          <w:sz w:val="19"/>
        </w:rPr>
        <w:t>Zomato</w:t>
      </w:r>
      <w:r>
        <w:rPr>
          <w:rFonts w:ascii="Arial" w:hAnsi="Arial"/>
          <w:b w:val="0"/>
          <w:i w:val="0"/>
          <w:sz w:val="19"/>
        </w:rPr>
        <w:t xml:space="preserve"> vom 30. August 2026, womit die Erfassungslücke auf neunzehn Tage wächst. </w:t>
      </w:r>
      <w:r>
        <w:rPr>
          <w:rFonts w:ascii="Arial" w:hAnsi="Arial"/>
          <w:b w:val="0"/>
          <w:i/>
          <w:sz w:val="19"/>
        </w:rPr>
        <w:t>DisplaceIndex</w:t>
      </w:r>
      <w:r>
        <w:rPr>
          <w:rFonts w:ascii="Arial" w:hAnsi="Arial"/>
          <w:b w:val="0"/>
          <w:i w:val="0"/>
          <w:sz w:val="19"/>
        </w:rPr>
        <w:t xml:space="preserve"> bleibt unverändert bei 377.084 KI-attribuierten Streichungen seit Januar 2023, davon 251.128 im Technologiesektor, 0,5 % der als Vergleichsgröße herangezogenen Gesamtstreichungen, 57 berichtende Unternehmen und </w:t>
      </w:r>
      <w:r>
        <w:rPr>
          <w:rFonts w:ascii="Arial" w:hAnsi="Arial"/>
          <w:b w:val="0"/>
          <w:i/>
          <w:sz w:val="19"/>
        </w:rPr>
        <w:t>Uber</w:t>
      </w:r>
      <w:r>
        <w:rPr>
          <w:rFonts w:ascii="Arial" w:hAnsi="Arial"/>
          <w:b w:val="0"/>
          <w:i w:val="0"/>
          <w:sz w:val="19"/>
        </w:rPr>
        <w:t xml:space="preserve"> (September 2026) als jüngstem Einzelfall — der fünfte aufeinanderfolgende Vierundzwanzig-Stunden-Zeitraum ohne Zugang. Die beiden bislang nicht erschlossenen Zählwerke </w:t>
      </w:r>
      <w:r>
        <w:rPr>
          <w:rFonts w:ascii="Arial" w:hAnsi="Arial"/>
          <w:b w:val="0"/>
          <w:i/>
          <w:sz w:val="19"/>
        </w:rPr>
        <w:t>layoffs.fyi</w:t>
      </w:r>
      <w:r>
        <w:rPr>
          <w:rFonts w:ascii="Arial" w:hAnsi="Arial"/>
          <w:b w:val="0"/>
          <w:i w:val="0"/>
          <w:sz w:val="19"/>
        </w:rPr>
        <w:t xml:space="preserve"> und </w:t>
      </w:r>
      <w:r>
        <w:rPr>
          <w:rFonts w:ascii="Arial" w:hAnsi="Arial"/>
          <w:b w:val="0"/>
          <w:i/>
          <w:sz w:val="19"/>
        </w:rPr>
        <w:t>TrueUp</w:t>
      </w:r>
      <w:r>
        <w:rPr>
          <w:rFonts w:ascii="Arial" w:hAnsi="Arial"/>
          <w:b w:val="0"/>
          <w:i w:val="0"/>
          <w:sz w:val="19"/>
        </w:rPr>
        <w:t xml:space="preserve"> sind erneut abgefragt worden und bleiben unzugänglich.</w:t>
      </w:r>
    </w:p>
    <w:p>
      <w:pPr>
        <w:jc w:val="both"/>
      </w:pPr>
      <w:r>
        <w:rPr>
          <w:rFonts w:ascii="Arial" w:hAnsi="Arial"/>
          <w:b w:val="0"/>
          <w:i w:val="0"/>
          <w:sz w:val="19"/>
        </w:rPr>
        <w:t xml:space="preserve">Der eigentliche Zugewinn dieses Abgleichs liegt erneut nicht in den Beständen, sondern in einer Angabe, die bei diesem Abruf erstmals ausgelesen worden ist: Dasselbe Zählwerk veröffentlicht eine </w:t>
      </w:r>
      <w:r>
        <w:rPr>
          <w:rFonts w:ascii="Arial" w:hAnsi="Arial"/>
          <w:b/>
          <w:i w:val="0"/>
          <w:sz w:val="19"/>
        </w:rPr>
        <w:t>gemessene Erfassungsquote</w:t>
      </w:r>
      <w:r>
        <w:rPr>
          <w:rFonts w:ascii="Arial" w:hAnsi="Arial"/>
          <w:b w:val="0"/>
          <w:i w:val="0"/>
          <w:sz w:val="19"/>
        </w:rPr>
        <w:t xml:space="preserve">. Es hat nach eigener Darstellung sämtliche zwischen dem 1. Juli 2025 und dem 30. Juni 2026 bei der US-Börsenaufsicht eingereichten 8-K-Meldungen ausgezählt, die im strukturierten Meldungskopf den Posten </w:t>
      </w:r>
      <w:r>
        <w:rPr>
          <w:rFonts w:ascii="Arial" w:hAnsi="Arial"/>
          <w:b w:val="0"/>
          <w:i/>
          <w:sz w:val="19"/>
        </w:rPr>
        <w:t>Item 2.05</w:t>
      </w:r>
      <w:r>
        <w:rPr>
          <w:rFonts w:ascii="Arial" w:hAnsi="Arial"/>
          <w:b w:val="0"/>
          <w:i w:val="0"/>
          <w:sz w:val="19"/>
        </w:rPr>
        <w:t xml:space="preserve"> (Verpflichtungen aus Personalabbau- und Standortschließungsmaßnahmen) führen und zugleich eine absolute Zahl betroffener Beschäftigter nennen, und geprüft, wie viele davon im eigenen Bestand erscheinen: 55 von 57 oder 96 %, bei einem 95-Prozent-Konfidenzintervall von 88 % bis 99 %. Von den veröffentlichten Zahlen stimmten 36 von 36 geprüften Angaben wörtlich mit der zitierten Quelle überein; die Messung werde wöchentlich gegen dieselbe eingefrorene Meldungsliste wiederholt. Der Betreiber zieht daraus selbst den Schluss, der Bestand sei </w:t>
      </w:r>
      <w:r>
        <w:rPr>
          <w:rFonts w:ascii="Arial" w:hAnsi="Arial"/>
          <w:b w:val="0"/>
          <w:i/>
          <w:sz w:val="19"/>
        </w:rPr>
        <w:t>„a floor and not a census"</w:t>
      </w:r>
      <w:r>
        <w:rPr>
          <w:rFonts w:ascii="Arial" w:hAnsi="Arial"/>
          <w:b w:val="0"/>
          <w:i w:val="0"/>
          <w:sz w:val="19"/>
        </w:rPr>
        <w:t xml:space="preserve"> — eine Untergrenze und keine Vollerhebung —, und hält ausdrücklich fest, die Messung decke </w:t>
      </w:r>
      <w:r>
        <w:rPr>
          <w:rFonts w:ascii="Arial" w:hAnsi="Arial"/>
          <w:b w:val="0"/>
          <w:i/>
          <w:sz w:val="19"/>
        </w:rPr>
        <w:t>eine</w:t>
      </w:r>
      <w:r>
        <w:rPr>
          <w:rFonts w:ascii="Arial" w:hAnsi="Arial"/>
          <w:b w:val="0"/>
          <w:i w:val="0"/>
          <w:sz w:val="19"/>
        </w:rPr>
        <w:t xml:space="preserve"> Quellenfamilie über </w:t>
      </w:r>
      <w:r>
        <w:rPr>
          <w:rFonts w:ascii="Arial" w:hAnsi="Arial"/>
          <w:b w:val="0"/>
          <w:i/>
          <w:sz w:val="19"/>
        </w:rPr>
        <w:t>ein</w:t>
      </w:r>
      <w:r>
        <w:rPr>
          <w:rFonts w:ascii="Arial" w:hAnsi="Arial"/>
          <w:b w:val="0"/>
          <w:i w:val="0"/>
          <w:sz w:val="19"/>
        </w:rPr>
        <w:t xml:space="preserve"> Jahr ab und sage nichts über private Arbeitgeber, über Streichungen außerhalb der Vereinigten Staaten und über die beiden anderen Zuflusswege (WARN-Meldungen und Presseauswertung). Zugleich beziffert er die Abweichung gegenüber Ankündigungserhebungen erstmals der Größenordnung nach: Deren Gesamtwert enthalte Trennungen ohne benannten Arbeitgeber — Aufhebungsangebote, aufgeschobene Kündigungen, Fluktuationsprogramme und Reduktionen im US-Bundesdienst —, die für 2025 allein rund 250.000 bis 300.000 Stellen ausgemacht hätten und für die es keine verknüpfbare Unterlage gebe. Welche Folgerungen sich daraus für einen an der Verdrängung anknüpfenden Steuertatbestand ergeben, ist in § 9.2 ausgeführt.</w:t>
      </w:r>
    </w:p>
    <w:p>
      <w:pPr>
        <w:jc w:val="both"/>
      </w:pPr>
      <w:r>
        <w:rPr>
          <w:rFonts w:ascii="Arial" w:hAnsi="Arial"/>
          <w:b w:val="0"/>
          <w:i/>
          <w:sz w:val="19"/>
        </w:rPr>
        <w:t>Nachtrag (Trackerstände 19. September 2026) — der Bestand wächst, die KI-Zuschreibung nicht:</w:t>
      </w:r>
      <w:r>
        <w:rPr>
          <w:rFonts w:ascii="Arial" w:hAnsi="Arial"/>
          <w:b w:val="0"/>
          <w:i w:val="0"/>
          <w:sz w:val="19"/>
        </w:rPr>
        <w:t xml:space="preserve"> Der Abgleich ist am Folgetag erneut nach derselben Verfahrensregel und mit Direktabruf aller drei erschlossenen Zählwerke durchgeführt worden. </w:t>
      </w:r>
      <w:r>
        <w:rPr>
          <w:rFonts w:ascii="Arial" w:hAnsi="Arial"/>
          <w:b w:val="0"/>
          <w:i/>
          <w:sz w:val="19"/>
        </w:rPr>
        <w:t>AskTheRecruiter</w:t>
      </w:r>
      <w:r>
        <w:rPr>
          <w:rFonts w:ascii="Arial" w:hAnsi="Arial"/>
          <w:b w:val="0"/>
          <w:i w:val="0"/>
          <w:sz w:val="19"/>
        </w:rPr>
        <w:t xml:space="preserve"> weist zum 19. September 2026 633.867 belegte Streichungen für 2026 aus, davon 591.040 bereits wirksam und 42.827 mit künftigem Wirksamkeitsdatum (Summenprobe: 591.040 + 42.827 = 633.867, geht auf); die lediglich angekündigte Zählstufe steigt auf 477.766, der zusammengefasste Stand beider Stufen auf 1.111.633 (Summenprobe: 633.867 + 477.766 = 1.111.633, geht auf). Gegenüber dem Vortag entspricht das einem Zuwachs von 3.047 belegten und 4.067 angekündigten Streichungen, zusammen 7.114. Die drei KI-Kennzahlen desselben Zählwerks bleiben dabei sämtlich unverändert: strenge Zuschreibung 66.861, angekündigte Zuschreibung 47.883 (Summenprobe: 66.861 + 47.883 = 114.744, geht auf), weit gefasste Kennzahl 123.459. Der Tageszuwachs von 7.114 Streichungen ist also vollständig ohne jede KI-Zuschreibung erfolgt — ein Befund, der die in § 9.1 behandelte Kausalattributionsfrage erstmals als </w:t>
      </w:r>
      <w:r>
        <w:rPr>
          <w:rFonts w:ascii="Arial" w:hAnsi="Arial"/>
          <w:b w:val="0"/>
          <w:i/>
          <w:sz w:val="19"/>
        </w:rPr>
        <w:t>Flussgröße</w:t>
      </w:r>
      <w:r>
        <w:rPr>
          <w:rFonts w:ascii="Arial" w:hAnsi="Arial"/>
          <w:b w:val="0"/>
          <w:i w:val="0"/>
          <w:sz w:val="19"/>
        </w:rPr>
        <w:t xml:space="preserve"> statt als Bestandsquote sichtbar macht: Nicht die Höhe der kumulierten KI-Quote, sondern die Frage, ob die laufende Zuschreibung mit dem laufenden Zugang Schritt hält, entscheidet darüber, ob ein an der Verdrängung anknüpfender Steuertatbestand seine Bemessungsgrundlage zeitnah erfassen könnte. Die Zahl meldender Unternehmen wächst um achtzehn auf 3.145; erstmals ausgelesen sind die Gebietsangaben (64 Länder, 49 US-Bundesstaaten und der District of Columbia) sowie eine weitere interne Unstimmigkeit derselben Seite, die neben den 3.145 Unternehmen der laufenden Ansicht eine Allzeitzahl von 2.026 Unternehmen führt — eine Allzeitgröße, die kleiner ist als der Teilbestand eines einzelnen Jahres. Sie ist hier vermerkt, aber nicht als Kennzahl weiterverwendet. Die gemessene Erfassungsquote (55 von 57 einschlägigen 8-K-Meldungen, 96 Prozent bei einem 95-Prozent-Vertrauensbereich von 88 bis 99 Prozent) ist unverändert. Die beiden anderen Zählwerke stehen den sechsten Tag in Folge still: </w:t>
      </w:r>
      <w:r>
        <w:rPr>
          <w:rFonts w:ascii="Arial" w:hAnsi="Arial"/>
          <w:b w:val="0"/>
          <w:i/>
          <w:sz w:val="19"/>
        </w:rPr>
        <w:t>SkillSyncer</w:t>
      </w:r>
      <w:r>
        <w:rPr>
          <w:rFonts w:ascii="Arial" w:hAnsi="Arial"/>
          <w:b w:val="0"/>
          <w:i w:val="0"/>
          <w:sz w:val="19"/>
        </w:rPr>
        <w:t xml:space="preserve"> bleibt bei 383 Ereignissen mit 210.741 Betroffenen und einer ausgewiesenen KI-Attributionsquote von 49 Prozent der Ereignisse; die angezeigte Tagesrate sinkt allein durch die Verlängerung des Nenners von 807 auf 804 (Rechenprobe: 210.741 / 262 Tage = 804,4). </w:t>
      </w:r>
      <w:r>
        <w:rPr>
          <w:rFonts w:ascii="Arial" w:hAnsi="Arial"/>
          <w:b w:val="0"/>
          <w:i/>
          <w:sz w:val="19"/>
        </w:rPr>
        <w:t>DisplaceIndex</w:t>
      </w:r>
      <w:r>
        <w:rPr>
          <w:rFonts w:ascii="Arial" w:hAnsi="Arial"/>
          <w:b w:val="0"/>
          <w:i w:val="0"/>
          <w:sz w:val="19"/>
        </w:rPr>
        <w:t xml:space="preserve"> bleibt bei 377.084 KI-attribuierten Streichungen seit Januar 2023 bei 57 berichtenden Unternehmen und 0,5 Prozent der als Vergleichsgröße herangezogenen Gesamtstreichungen. Die Zähldefinitionen sind bei allen drei Abrufen mitgeführt worden und bestätigen die am 13. September 2026 dokumentierte Unvergleichbarkeit: </w:t>
      </w:r>
      <w:r>
        <w:rPr>
          <w:rFonts w:ascii="Arial" w:hAnsi="Arial"/>
          <w:b w:val="0"/>
          <w:i/>
          <w:sz w:val="19"/>
        </w:rPr>
        <w:t>AskTheRecruiter</w:t>
      </w:r>
      <w:r>
        <w:rPr>
          <w:rFonts w:ascii="Arial" w:hAnsi="Arial"/>
          <w:b w:val="0"/>
          <w:i w:val="0"/>
          <w:sz w:val="19"/>
        </w:rPr>
        <w:t xml:space="preserve"> zählt nur, was durch Einreichung bei der US-Börsenaufsicht, WARN-Meldung oder namentlich benannten Bericht belegt ist („No figure appears unless its source states it"); </w:t>
      </w:r>
      <w:r>
        <w:rPr>
          <w:rFonts w:ascii="Arial" w:hAnsi="Arial"/>
          <w:b w:val="0"/>
          <w:i/>
          <w:sz w:val="19"/>
        </w:rPr>
        <w:t>SkillSyncer</w:t>
      </w:r>
      <w:r>
        <w:rPr>
          <w:rFonts w:ascii="Arial" w:hAnsi="Arial"/>
          <w:b w:val="0"/>
          <w:i w:val="0"/>
          <w:sz w:val="19"/>
        </w:rPr>
        <w:t xml:space="preserve"> zählt jede Unternehmensankündigung als ein Ereignis, global und sektorübergreifend, und schreibt Künstliche Intelligenz zu, sobald ein Unternehmen KI, Automatisierung oder maschinelles Lernen selbst benennt — mit ausdrücklichem eigenem Hinweis auf die Möglichkeit einer Zuschreibung ohne tatsächliche Ursächlichkeit; </w:t>
      </w:r>
      <w:r>
        <w:rPr>
          <w:rFonts w:ascii="Arial" w:hAnsi="Arial"/>
          <w:b w:val="0"/>
          <w:i/>
          <w:sz w:val="19"/>
        </w:rPr>
        <w:t>DisplaceIndex</w:t>
      </w:r>
      <w:r>
        <w:rPr>
          <w:rFonts w:ascii="Arial" w:hAnsi="Arial"/>
          <w:b w:val="0"/>
          <w:i w:val="0"/>
          <w:sz w:val="19"/>
        </w:rPr>
        <w:t xml:space="preserve"> verlangt kumulativ ein namentlich benanntes Unternehmen, eine bezifferte Streichungszahl und Künstliche Intelligenz als </w:t>
      </w:r>
      <w:r>
        <w:rPr>
          <w:rFonts w:ascii="Arial" w:hAnsi="Arial"/>
          <w:b w:val="0"/>
          <w:i/>
          <w:sz w:val="19"/>
        </w:rPr>
        <w:t>primäre</w:t>
      </w:r>
      <w:r>
        <w:rPr>
          <w:rFonts w:ascii="Arial" w:hAnsi="Arial"/>
          <w:b w:val="0"/>
          <w:i w:val="0"/>
          <w:sz w:val="19"/>
        </w:rPr>
        <w:t xml:space="preserve"> Ursache und bezieht die Quote auf eine US-Gesamtgröße der Federal Reserve Economic Data. Eine einzelne Trackerzahl bleibt damit ohne die mitgeführte Definition nicht interpretierbar.</w:t>
      </w:r>
    </w:p>
    <w:p>
      <w:pPr>
        <w:jc w:val="both"/>
      </w:pPr>
      <w:r>
        <w:rPr>
          <w:rFonts w:ascii="Arial" w:hAnsi="Arial"/>
          <w:b w:val="0"/>
          <w:i/>
          <w:sz w:val="19"/>
        </w:rPr>
        <w:t>Nachtrag (Trackerstände 20. September 2026) — ein fünftes Zählwerk, eine Berichtigung und der zweite Tag ohne jede KI-Zuschreibung:</w:t>
      </w:r>
      <w:r>
        <w:rPr>
          <w:rFonts w:ascii="Arial" w:hAnsi="Arial"/>
          <w:b w:val="0"/>
          <w:i w:val="0"/>
          <w:sz w:val="19"/>
        </w:rPr>
        <w:t xml:space="preserve"> Der Abgleich ist am Folgetag nach derselben Verfahrensregel und mit Direktabruf aller erschlossenen Zählwerke wiederholt worden. </w:t>
      </w:r>
      <w:r>
        <w:rPr>
          <w:rFonts w:ascii="Arial" w:hAnsi="Arial"/>
          <w:b w:val="0"/>
          <w:i/>
          <w:sz w:val="19"/>
        </w:rPr>
        <w:t>AskTheRecruiter</w:t>
      </w:r>
      <w:r>
        <w:rPr>
          <w:rFonts w:ascii="Arial" w:hAnsi="Arial"/>
          <w:b w:val="0"/>
          <w:i w:val="0"/>
          <w:sz w:val="19"/>
        </w:rPr>
        <w:t xml:space="preserve"> weist zum 20. September 2026 635.574 belegte Streichungen für 2026 aus, davon 591.783 bereits wirksam und 43.791 mit künftigem Wirksamkeitsdatum (Summenprobe: 591.783 + 43.791 = 635.574, geht auf); die lediglich angekündigte Zählstufe steigt auf 483.866, der zusammengefasste Stand beider Stufen auf 1.119.440 (Summenprobe: 635.574 + 483.866 = 1.119.440, geht auf). Gegenüber dem Vortag entspricht das einem Zuwachs von 1.707 belegten und 6.100 angekündigten Streichungen, zusammen 7.807 (Rechenprobe gegen die Gesamtstände: 1.119.440 − 1.111.633 = 7.807, geht auf). Die vier KI-Kennzahlen desselben Zählwerks bleiben dabei sämtlich unverändert: strenge Zuschreibung 66.861, angekündigte Zuschreibung 47.883, zusammengefasst 114.744, weit gefasste Kennzahl 123.459. Damit ist der am Vortag erstmals beobachtete Flussbefund an einem zweiten Tag reproduziert: In achtundvierzig Stunden sind 14.921 Streichungen zugegangen (7.114 am 19. und 7.807 am 20. September 2026), ohne dass eine einzige davon in irgendeiner der vier KI-Kennzahlen erscheint. Für die in § 9.1 behandelte Kausalattributionsfrage verschiebt das den Akzent weiter von der Bestandsquote zur </w:t>
      </w:r>
      <w:r>
        <w:rPr>
          <w:rFonts w:ascii="Arial" w:hAnsi="Arial"/>
          <w:b w:val="0"/>
          <w:i/>
          <w:sz w:val="19"/>
        </w:rPr>
        <w:t>Zuschreibungsgeschwindigkeit</w:t>
      </w:r>
      <w:r>
        <w:rPr>
          <w:rFonts w:ascii="Arial" w:hAnsi="Arial"/>
          <w:b w:val="0"/>
          <w:i w:val="0"/>
          <w:sz w:val="19"/>
        </w:rPr>
        <w:t>: Ein an der Verdrängung anknüpfender Steuertatbestand müsste seine Bemessungsgrundlage im laufenden Zugang erfassen, nicht im Rückblick auf einen kumulierten Bestand. Ob die Ursache ein Zuschreibungsverzug, eine Zuschreibungslücke oder ein tatsächlich KI-freier Zugang ist, bleibt aus den Trackerdaten weiterhin unentscheidbar; die Beobachtung wird fortgeschrieben, bevor daraus eine Aussage abgeleitet wird.</w:t>
      </w:r>
    </w:p>
    <w:p>
      <w:pPr>
        <w:jc w:val="both"/>
      </w:pPr>
      <w:r>
        <w:rPr>
          <w:rFonts w:ascii="Arial" w:hAnsi="Arial"/>
          <w:b/>
          <w:i w:val="0"/>
          <w:sz w:val="19"/>
        </w:rPr>
        <w:t>Berichtigung zum Stand vom 19. September 2026.</w:t>
      </w:r>
      <w:r>
        <w:rPr>
          <w:rFonts w:ascii="Arial" w:hAnsi="Arial"/>
          <w:b w:val="0"/>
          <w:i w:val="0"/>
          <w:sz w:val="19"/>
        </w:rPr>
        <w:t xml:space="preserve"> Der vollständigere Abruf desselben Zählwerks korrigiert eine im Vorlauf vermerkte Beobachtung. Die dort als „Allzeitzahl von 2.026 Unternehmen" bezeichnete Angabe ist keine Allzeitgröße, sondern die Jahresansicht („companies in 2026"); die tatsächlichen Allzeitangaben lauten 39.591 Unternehmen, 81 Länder und 65.698 Einträge und sind sämtlich größer als der Jahresbestand. Die im Vorlauf gezogene Folgerung, das Zählwerk führe eine Allzeitgröße unterhalb eines Jahresteilbestands, ist damit hinfällig und wird hiermit berichtigt; der frühere Stand bleibt als zeitlich frühere Referenz erhalten (§ 11.5). Bestehen bleibt allerdings eine </w:t>
      </w:r>
      <w:r>
        <w:rPr>
          <w:rFonts w:ascii="Arial" w:hAnsi="Arial"/>
          <w:b w:val="0"/>
          <w:i/>
          <w:sz w:val="19"/>
        </w:rPr>
        <w:t>andere</w:t>
      </w:r>
      <w:r>
        <w:rPr>
          <w:rFonts w:ascii="Arial" w:hAnsi="Arial"/>
          <w:b w:val="0"/>
          <w:i w:val="0"/>
          <w:sz w:val="19"/>
        </w:rPr>
        <w:t xml:space="preserve"> Unstimmigkeit derselben Seite, die erst durch die Berichtigung sichtbar wird: Für dieselbe Jahresgröße 2026 führt die Seite nebeneinander 2.026 Unternehmen (Jahresansicht) und 3.152 Unternehmen bei 3.409 Einträgen (laufende Ansicht). Beide Zahlen sind hier vermerkt, keine wird als Kennzahl weiterverwendet. Die gemessene Erfassungsquote ist unverändert (55 von 57 einschlägigen 8-K-Meldungen, 96 Prozent bei einem 95-Prozent-Vertrauensbereich von 88 bis 99 Prozent); neu ausgelesen ist eine Eigenprüfung des Betreibers, nach der 36 von 36 stichprobenhaft geprüften Zahlen wörtlich in der angegebenen Quelle stehen. Die Zahl meldender Unternehmen der laufenden Ansicht wächst um sieben auf 3.152, die Gebietsabdeckung um ein Land auf 65 Länder bei unverändert 49 US-Bundesstaaten. Die beiden bereits erschlossenen anderen Zählwerke stehen weiter still: </w:t>
      </w:r>
      <w:r>
        <w:rPr>
          <w:rFonts w:ascii="Arial" w:hAnsi="Arial"/>
          <w:b w:val="0"/>
          <w:i/>
          <w:sz w:val="19"/>
        </w:rPr>
        <w:t>SkillSyncer</w:t>
      </w:r>
      <w:r>
        <w:rPr>
          <w:rFonts w:ascii="Arial" w:hAnsi="Arial"/>
          <w:b w:val="0"/>
          <w:i w:val="0"/>
          <w:sz w:val="19"/>
        </w:rPr>
        <w:t xml:space="preserve"> bleibt den siebten Tag in Folge bei 383 Ereignissen mit 210.741 Betroffenen und 188 KI-attribuierten Ereignissen mit 173.465 Betroffenen; die angezeigte Tagesrate sinkt allein durch die Verlängerung des Nenners von 804 auf 801 (Rechenprobe: 210.741 / 263 Tage = 801,3). </w:t>
      </w:r>
      <w:r>
        <w:rPr>
          <w:rFonts w:ascii="Arial" w:hAnsi="Arial"/>
          <w:b w:val="0"/>
          <w:i/>
          <w:sz w:val="19"/>
        </w:rPr>
        <w:t>DisplaceIndex</w:t>
      </w:r>
      <w:r>
        <w:rPr>
          <w:rFonts w:ascii="Arial" w:hAnsi="Arial"/>
          <w:b w:val="0"/>
          <w:i w:val="0"/>
          <w:sz w:val="19"/>
        </w:rPr>
        <w:t xml:space="preserve"> bleibt den achten Tag in Folge bei 377.084 KI-attribuierten Streichungen seit Januar 2023, 57 berichtenden Unternehmen und 0,5 Prozent der als Vergleichsgröße herangezogenen Gesamtstreichungen.</w:t>
      </w:r>
    </w:p>
    <w:p>
      <w:pPr>
        <w:jc w:val="both"/>
      </w:pPr>
      <w:r>
        <w:rPr>
          <w:rFonts w:ascii="Arial" w:hAnsi="Arial"/>
          <w:b/>
          <w:i w:val="0"/>
          <w:sz w:val="19"/>
        </w:rPr>
        <w:t>Ein fünftes Zählwerk — und der Definitionsfehler, vor dem die Verfahrensregel warnt.</w:t>
      </w:r>
      <w:r>
        <w:rPr>
          <w:rFonts w:ascii="Arial" w:hAnsi="Arial"/>
          <w:b w:val="0"/>
          <w:i w:val="0"/>
          <w:sz w:val="19"/>
        </w:rPr>
        <w:t xml:space="preserve"> Bei diesem Lauf ist mit dem </w:t>
      </w:r>
      <w:r>
        <w:rPr>
          <w:rFonts w:ascii="Arial" w:hAnsi="Arial"/>
          <w:b w:val="0"/>
          <w:i/>
          <w:sz w:val="19"/>
        </w:rPr>
        <w:t>Job Security Meter</w:t>
      </w:r>
      <w:r>
        <w:rPr>
          <w:rFonts w:ascii="Arial" w:hAnsi="Arial"/>
          <w:b w:val="0"/>
          <w:i w:val="0"/>
          <w:sz w:val="19"/>
        </w:rPr>
        <w:t xml:space="preserve"> ein weiteres, unabhängig geführtes Zählwerk erschlossen worden. Es weist zum Stand 18. September 2026 (Ankündigungen bis zum 13. September 2026) mehr als 128.500 gestrichene Stellen im Technologiesektor des Jahres 2026 bei mehr als 281 Unternehmen aus, stellt dem einen Vergleichswert von rund 122.600 für das gesamte Jahr 2025 gegenüber und führt daneben eine sektorübergreifende US-Größe von mehr als 284.000 von Massenentlassungsanzeigen erfassten Beschäftigten. Gezählt wird nach Ankündigungsdatum, mit Schwerpunkt auf dem US-Technologiesektor und unter Rückgriff auf die Erhebung eines Personalberatungsunternehmens, auf Massenentlassungsanzeigen, Unternehmensangaben und Sekundärberichterstattung; eine eigene Methodendokumentation liegt nicht vor. Entscheidend ist nicht der Stand, sondern das Verhältnis von Überschrift und Zählkriterium: Die Seite schreibt die 128.500 Stellen in der Überschrift ausdrücklich Künstlicher Intelligenz zu, die darunter zusammengestellte Grundgesamtheit ist jedoch eine </w:t>
      </w:r>
      <w:r>
        <w:rPr>
          <w:rFonts w:ascii="Arial" w:hAnsi="Arial"/>
          <w:b w:val="0"/>
          <w:i/>
          <w:sz w:val="19"/>
        </w:rPr>
        <w:t>Branchensumme</w:t>
      </w:r>
      <w:r>
        <w:rPr>
          <w:rFonts w:ascii="Arial" w:hAnsi="Arial"/>
          <w:b w:val="0"/>
          <w:i w:val="0"/>
          <w:sz w:val="19"/>
        </w:rPr>
        <w:t xml:space="preserve"> des Technologiesektors, in der die Zuschreibung als Deutung des Gesamtbefundes und nicht als Aufnahmekriterium des Einzelfalls fungiert. Damit liegt erstmals ein Zählwerk vor, das genau jenen Schritt vollzieht, vor dem die am 13. September 2026 eingeführte Verfahrensregel warnt — die Gleichsetzung einer Sektorgröße mit einer Verdrängungsgröße. Für dieselbe Frage — wie viele Stellenstreichungen des Jahres 2026 sind Künstlicher Intelligenz zuzurechnen — stehen damit drei nicht ineinander überführbare Größen nebeneinander: 66.861 bei strenger Zuschreibung durch den Arbeitgeber (</w:t>
      </w:r>
      <w:r>
        <w:rPr>
          <w:rFonts w:ascii="Arial" w:hAnsi="Arial"/>
          <w:b w:val="0"/>
          <w:i/>
          <w:sz w:val="19"/>
        </w:rPr>
        <w:t>AskTheRecruiter</w:t>
      </w:r>
      <w:r>
        <w:rPr>
          <w:rFonts w:ascii="Arial" w:hAnsi="Arial"/>
          <w:b w:val="0"/>
          <w:i w:val="0"/>
          <w:sz w:val="19"/>
        </w:rPr>
        <w:t>), rund 128.500 als Branchensumme mit KI-Überschrift (</w:t>
      </w:r>
      <w:r>
        <w:rPr>
          <w:rFonts w:ascii="Arial" w:hAnsi="Arial"/>
          <w:b w:val="0"/>
          <w:i/>
          <w:sz w:val="19"/>
        </w:rPr>
        <w:t>Job Security Meter</w:t>
      </w:r>
      <w:r>
        <w:rPr>
          <w:rFonts w:ascii="Arial" w:hAnsi="Arial"/>
          <w:b w:val="0"/>
          <w:i w:val="0"/>
          <w:sz w:val="19"/>
        </w:rPr>
        <w:t>) und 173.465 bei Selbstbenennung von Künstlicher Intelligenz, Automatisierung oder maschinellem Lernen durch das Unternehmen (</w:t>
      </w:r>
      <w:r>
        <w:rPr>
          <w:rFonts w:ascii="Arial" w:hAnsi="Arial"/>
          <w:b w:val="0"/>
          <w:i/>
          <w:sz w:val="19"/>
        </w:rPr>
        <w:t>SkillSyncer</w:t>
      </w:r>
      <w:r>
        <w:rPr>
          <w:rFonts w:ascii="Arial" w:hAnsi="Arial"/>
          <w:b w:val="0"/>
          <w:i w:val="0"/>
          <w:sz w:val="19"/>
        </w:rPr>
        <w:t xml:space="preserve">), mithin ein Verhältnis von rund 1 : 1,9 : 2,6. Der Stand von </w:t>
      </w:r>
      <w:r>
        <w:rPr>
          <w:rFonts w:ascii="Arial" w:hAnsi="Arial"/>
          <w:b w:val="0"/>
          <w:i/>
          <w:sz w:val="19"/>
        </w:rPr>
        <w:t>DisplaceIndex</w:t>
      </w:r>
      <w:r>
        <w:rPr>
          <w:rFonts w:ascii="Arial" w:hAnsi="Arial"/>
          <w:b w:val="0"/>
          <w:i w:val="0"/>
          <w:sz w:val="19"/>
        </w:rPr>
        <w:t xml:space="preserve"> ist in diese Reihe nicht einzuordnen, weil er seit Januar 2023 kumuliert. Die Spreizung ist damit nicht kleiner geworden, sondern hat eine weitere Zwischenstufe erhalten — und sie stützt die in § 9.2 gezogene Folgerung, dass eine Bemessungsgrundlage, die an der Zuschreibung ansetzt, ohne verbindliche Legaldefinition des Zuschreibungsmaßstabs nicht justiziabel wäre.</w:t>
      </w:r>
    </w:p>
    <w:p>
      <w:pPr>
        <w:jc w:val="both"/>
      </w:pPr>
      <w:r>
        <w:rPr>
          <w:rFonts w:ascii="Arial" w:hAnsi="Arial"/>
          <w:b w:val="0"/>
          <w:i/>
          <w:sz w:val="19"/>
        </w:rPr>
        <w:t>Nachtrag (Trackerstände 21. September 2026) — der Bestand schrumpft, und ein Zählwerk hat seit drei Wochen keinen Eintrag mehr:</w:t>
      </w:r>
      <w:r>
        <w:rPr>
          <w:rFonts w:ascii="Arial" w:hAnsi="Arial"/>
          <w:b w:val="0"/>
          <w:i w:val="0"/>
          <w:sz w:val="19"/>
        </w:rPr>
        <w:t xml:space="preserve"> Der Abgleich ist am Folgetag nach derselben Verfahrensregel und mit Direktabruf aller fünf erschlossenen Zählwerke wiederholt worden. Er liefert zwei Befunde, die den bisherigen Beobachtungen widersprechen beziehungsweise sie erklären. </w:t>
      </w:r>
      <w:r>
        <w:rPr>
          <w:rFonts w:ascii="Arial" w:hAnsi="Arial"/>
          <w:b w:val="0"/>
          <w:i/>
          <w:sz w:val="19"/>
        </w:rPr>
        <w:t>Erstens</w:t>
      </w:r>
      <w:r>
        <w:rPr>
          <w:rFonts w:ascii="Arial" w:hAnsi="Arial"/>
          <w:b w:val="0"/>
          <w:i w:val="0"/>
          <w:sz w:val="19"/>
        </w:rPr>
        <w:t xml:space="preserve"> geht der Bestand bei </w:t>
      </w:r>
      <w:r>
        <w:rPr>
          <w:rFonts w:ascii="Arial" w:hAnsi="Arial"/>
          <w:b w:val="0"/>
          <w:i/>
          <w:sz w:val="19"/>
        </w:rPr>
        <w:t>AskTheRecruiter</w:t>
      </w:r>
      <w:r>
        <w:rPr>
          <w:rFonts w:ascii="Arial" w:hAnsi="Arial"/>
          <w:b w:val="0"/>
          <w:i w:val="0"/>
          <w:sz w:val="19"/>
        </w:rPr>
        <w:t xml:space="preserve"> erstmals seit dem 18. September 2026 wieder zurück, und zwar auf allen Zählstufen gleichzeitig: 629.474 belegte Streichungen für 2026 (Vortag 635.574; −6.100), davon 585.854 bereits wirksam und 43.620 mit künftigem Wirksamkeitsdatum (Summenprobe: 585.854 + 43.620 = 629.474, geht auf), 483.564 lediglich angekündigte Streichungen (Vortag 483.866; −302) und ein zusammengefasster Stand von 1.113.038 (Summenprobe: 629.474 + 483.564 = 1.113.038, geht auf; Rechenprobe der Veränderung: −6.100 − 302 = −6.402 = 1.119.440 − 1.113.038, geht auf). Auch die Strukturangaben schrumpfen: 3.147 meldende Unternehmen der laufenden Ansicht (Vortag 3.152), 39.587 Unternehmen im Allzeitbestand (Vortag 39.591) und 65.691 Einträge im Allzeitbestand (Vortag 65.698). Damit ist die am 18. September 2026 erstmals beobachtete Abwärtsrevision kein Einzelfall mehr; die dort vermerkte Einschätzung, sie bleibe ein Einzelfall, ist hiermit überholt. Sie ist auch deutlich größer als die erste: Der Rückgang von 6.402 Streichungen entspricht in der Größenordnung dem Tageszugang der beiden Vortage. Ein belegbasiertes Zählwerk, das Einträge nachträglich zurücknimmt, bestätigt die in § 9.2 geführte Verwaltungsüberlegung von der empirischen Seite — eine an Streichungszahlen anknüpfende Bemessungsgrundlage müsste mit Rückabwicklungen rechnen, also mit demselben Problem, das die Umsatzsteuer über Korrekturmeldungen und die Lohnsteuer über den Lohnsteuerjahresausgleich löst. </w:t>
      </w:r>
      <w:r>
        <w:rPr>
          <w:rFonts w:ascii="Arial" w:hAnsi="Arial"/>
          <w:b w:val="0"/>
          <w:i/>
          <w:sz w:val="19"/>
        </w:rPr>
        <w:t>Zweitens</w:t>
      </w:r>
      <w:r>
        <w:rPr>
          <w:rFonts w:ascii="Arial" w:hAnsi="Arial"/>
          <w:b w:val="0"/>
          <w:i w:val="0"/>
          <w:sz w:val="19"/>
        </w:rPr>
        <w:t xml:space="preserve"> bleiben die vier KI-Kennzahlen desselben Zählwerks den dritten Tag in Folge sämtlich unverändert: strenge Zuschreibung 66.861, angekündigte Zuschreibung 47.883, zusammengefasst 114.744 (Summenprobe: 66.861 + 47.883 = 114.744, geht auf), weit gefasste Kennzahl 123.459. Der Flussbefund gilt damit an drei aufeinanderfolgenden Tagen — allerdings nun in einer Gestalt, die eine Deutung ausschließt, die zuvor noch möglich war: Wo der Bestand insgesamt schrumpft und die Zuschreibung stillsteht, lässt sich der Stillstand nicht mehr als bloßer Zuschreibungsverzug gegenüber einem wachsenden Zugang lesen. Unverändert sind ferner die Erfassungsquote (55 von 57 einschlägigen Meldungen nach Item 2.05 der Form 8-K der US-Börsenaufsicht im Zeitraum 1. Juli 2025 bis 30. Juni 2026, 96 Prozent bei einem 95-Prozent-Vertrauensbereich von 88 bis 99 Prozent), die Eigenprüfung (36 von 36 stichprobenhaft geprüften Zahlen wörtlich in der angegebenen Quelle) und die Gebietsabdeckung (65 Länder im laufenden Jahr, 81 im Allzeitbestand; 49 US-Bundesstaaten und der District of Columbia, wobei das Zählwerk die sechs fehlenden Staaten — Arkansas, Wyoming, New Hampshire, Missouri, Hawaii und Oklahoma — nunmehr namentlich mit dem Fehlen brauchbarer Massenentlassungsregister begründet).</w:t>
      </w:r>
    </w:p>
    <w:p>
      <w:pPr>
        <w:jc w:val="both"/>
      </w:pPr>
      <w:r>
        <w:rPr>
          <w:rFonts w:ascii="Arial" w:hAnsi="Arial"/>
          <w:b/>
          <w:i w:val="0"/>
          <w:sz w:val="19"/>
        </w:rPr>
        <w:t>Der Stillstand des zweiten Zählwerks ist keine Anzeigestörung, sondern eine Datenlücke.</w:t>
      </w:r>
      <w:r>
        <w:rPr>
          <w:rFonts w:ascii="Arial" w:hAnsi="Arial"/>
          <w:b w:val="0"/>
          <w:i w:val="0"/>
          <w:sz w:val="19"/>
        </w:rPr>
        <w:t xml:space="preserve"> </w:t>
      </w:r>
      <w:r>
        <w:rPr>
          <w:rFonts w:ascii="Arial" w:hAnsi="Arial"/>
          <w:b w:val="0"/>
          <w:i/>
          <w:sz w:val="19"/>
        </w:rPr>
        <w:t>SkillSyncer</w:t>
      </w:r>
      <w:r>
        <w:rPr>
          <w:rFonts w:ascii="Arial" w:hAnsi="Arial"/>
          <w:b w:val="0"/>
          <w:i w:val="0"/>
          <w:sz w:val="19"/>
        </w:rPr>
        <w:t xml:space="preserve"> steht den neunten Tag in Folge bei 383 Ereignissen mit 210.741 Betroffenen und 188 KI-attribuierten Ereignissen mit 173.465 Betroffenen; die angezeigte Tagesrate sinkt allein durch die Verlängerung des Nenners von 801 auf 798 (Rechenprobe: 210.741 / 264 Tage = 798,3, geht auf). Neu ausgelesen ist in diesem Lauf die Monatsgliederung derselben Seite, und sie erklärt den Stillstand: Januar 29.358, Februar 22.328, März 82.370, April 20.532, Mai 29.303, Juni 12.994, Juli 10.505, August 3.351 Betroffene. Die Summe dieser acht Monate beträgt 210.741 und ist damit </w:t>
      </w:r>
      <w:r>
        <w:rPr>
          <w:rFonts w:ascii="Arial" w:hAnsi="Arial"/>
          <w:b w:val="0"/>
          <w:i/>
          <w:sz w:val="19"/>
        </w:rPr>
        <w:t>identisch</w:t>
      </w:r>
      <w:r>
        <w:rPr>
          <w:rFonts w:ascii="Arial" w:hAnsi="Arial"/>
          <w:b w:val="0"/>
          <w:i w:val="0"/>
          <w:sz w:val="19"/>
        </w:rPr>
        <w:t xml:space="preserve"> mit der ausgewiesenen Jahressumme; ebenso summieren sich die Monatsereignisse (52, 49, 49, 42, 53, 55, 40, 43) genau auf die ausgewiesenen 383 Ereignisse. Für den gesamten September 2026 führt das Zählwerk mithin keinen einzigen Eintrag. Der Stillstand ist also nicht die zufällige Folge eines ereignisarmen Zeitraums und auch keine Anzeigestörung, sondern eine dreiwöchige Erfassungslücke — und zwar in genau dem Zeitraum, in dem ein belegbasiertes Zählwerk einen Zugang in der Größenordnung mehrerer Tausend Streichungen pro Tag verzeichnet hat. Das ist der bislang schärfste Beleg für die am 13. September 2026 eingeführte Verfahrensregel: Zwei Zählwerke, die dieselbe Größe messen wollen, unterscheiden sich hier nicht in der Zähldefinition, sondern in der schlichten Frage, ob im Berichtszeitraum überhaupt gezählt wurde. Eine Trackerzahl ohne Angabe des zuletzt erfassten Ereignisses ist damit auch dann nicht interpretierbar, wenn ihre Zähldefinition bekannt ist. Erkennbar ist die Lücke im Übrigen nur an der internen Summenprobe — die Seite selbst weist sie nicht aus, sondern führt eine Tagesrate fort, die den Nenner täglich verlängert und dadurch einen fortlaufenden Betrieb suggeriert. </w:t>
      </w:r>
      <w:r>
        <w:rPr>
          <w:rFonts w:ascii="Arial" w:hAnsi="Arial"/>
          <w:b w:val="0"/>
          <w:i/>
          <w:sz w:val="19"/>
        </w:rPr>
        <w:t>DisplaceIndex</w:t>
      </w:r>
      <w:r>
        <w:rPr>
          <w:rFonts w:ascii="Arial" w:hAnsi="Arial"/>
          <w:b w:val="0"/>
          <w:i w:val="0"/>
          <w:sz w:val="19"/>
        </w:rPr>
        <w:t xml:space="preserve"> steht den neunten Tag in Folge bei 377.084 KI-attribuierten Streichungen seit Januar 2023, 57 berichtenden Unternehmen und 0,5 Prozent der als Vergleichsgröße herangezogenen Gesamtstreichungen; neu ausgelesen ist die Sektorangabe, nach der auf den Technologiesektor 251.128 Streichungen und damit rund zwei Drittel des kumulierten Bestands entfallen. </w:t>
      </w:r>
      <w:r>
        <w:rPr>
          <w:rFonts w:ascii="Arial" w:hAnsi="Arial"/>
          <w:b w:val="0"/>
          <w:i/>
          <w:sz w:val="19"/>
        </w:rPr>
        <w:t>Job Security Meter</w:t>
      </w:r>
      <w:r>
        <w:rPr>
          <w:rFonts w:ascii="Arial" w:hAnsi="Arial"/>
          <w:b w:val="0"/>
          <w:i w:val="0"/>
          <w:sz w:val="19"/>
        </w:rPr>
        <w:t xml:space="preserve"> ist unverändert auf dem Stand vom 18. September 2026 mit Erfassung bis zum 13. September 2026 und hat in acht Tagen keine Aktualisierung erfahren. Die Spreizung der drei vergleichbaren Jahresgrößen (66.861 / rund 128.500 / 173.465) bleibt damit unverändert — allerdings ist nunmehr bekannt, dass zwei der drei Werte auf Erfassungsständen beruhen, die mehrere Wochen zurückliegen.</w:t>
      </w:r>
    </w:p>
    <w:p>
      <w:pPr>
        <w:jc w:val="both"/>
      </w:pPr>
      <w:r>
        <w:rPr>
          <w:rFonts w:ascii="Arial" w:hAnsi="Arial"/>
          <w:b w:val="0"/>
          <w:i/>
          <w:sz w:val="19"/>
        </w:rPr>
        <w:t>Nachtrag (Trackerstände 22. September 2026) — die Erfassungslücke wird geschlossen, und zwar rückwirkend für das ganze Jahr:</w:t>
      </w:r>
      <w:r>
        <w:rPr>
          <w:rFonts w:ascii="Arial" w:hAnsi="Arial"/>
          <w:b w:val="0"/>
          <w:i w:val="0"/>
          <w:sz w:val="19"/>
        </w:rPr>
        <w:t xml:space="preserve"> Der Abgleich ist am Folgetag nach derselben Verfahrensregel und mit Direktabruf aller fünf erschlossenen Zählwerke wiederholt worden. Er liefert den Gegenbefund zum Vortag. </w:t>
      </w:r>
      <w:r>
        <w:rPr>
          <w:rFonts w:ascii="Arial" w:hAnsi="Arial"/>
          <w:b w:val="0"/>
          <w:i/>
          <w:sz w:val="19"/>
        </w:rPr>
        <w:t>SkillSyncer</w:t>
      </w:r>
      <w:r>
        <w:rPr>
          <w:rFonts w:ascii="Arial" w:hAnsi="Arial"/>
          <w:b w:val="0"/>
          <w:i w:val="0"/>
          <w:sz w:val="19"/>
        </w:rPr>
        <w:t xml:space="preserve">, dem am 21. September 2026 eine dreiwöchige Erfassungslücke nachgewiesen worden war, weist nunmehr 519 Ereignisse mit 225.122 Betroffenen aus (Vortag 383 und 210.741; +136 Ereignisse, +14.381 Betroffene), davon 213 KI-attribuierte Ereignisse mit 179.542 Betroffenen (Vortag 188 und 173.465; +25 und +6.077). Die KI-Kennzahl dieses Zählwerks bewegt sich damit erstmals seit dem 15. September 2026 wieder. Der angezeigte Ereignisanteil von 41 Prozent (213 von 519 = 41,0 Prozent) und die angezeigte Tagesrate von rund 850 Stellen gehen auf (225.122 geteilt durch 265 Tage ergibt 849,5). Entscheidend ist jedoch nicht der Zuwachs, sondern seine Verteilung: Die Nachtragung betrifft nicht allein den bislang leeren September, sondern </w:t>
      </w:r>
      <w:r>
        <w:rPr>
          <w:rFonts w:ascii="Arial" w:hAnsi="Arial"/>
          <w:b/>
          <w:i w:val="0"/>
          <w:sz w:val="19"/>
        </w:rPr>
        <w:t>jeden einzelnen Monat des Jahres</w:t>
      </w:r>
      <w:r>
        <w:rPr>
          <w:rFonts w:ascii="Arial" w:hAnsi="Arial"/>
          <w:b w:val="0"/>
          <w:i w:val="0"/>
          <w:sz w:val="19"/>
        </w:rPr>
        <w:t xml:space="preserve">. Die Monatsgliederung lautet nunmehr Januar 29.442 Betroffene (59 Ereignisse), Februar 22.222 (68), März 84.274 (66), April 20.733 (48), Mai 30.900 (76), Juni 13.464 (71), Juli 10.793 (50), August 4.561 (58) und September 8.733 (23) — gegenüber dem Vortag also Januar +84, Februar </w:t>
      </w:r>
      <w:r>
        <w:rPr>
          <w:rFonts w:ascii="Arial" w:hAnsi="Arial"/>
          <w:b/>
          <w:i w:val="0"/>
          <w:sz w:val="19"/>
        </w:rPr>
        <w:t>−106</w:t>
      </w:r>
      <w:r>
        <w:rPr>
          <w:rFonts w:ascii="Arial" w:hAnsi="Arial"/>
          <w:b w:val="0"/>
          <w:i w:val="0"/>
          <w:sz w:val="19"/>
        </w:rPr>
        <w:t>, März +1.904, April +201, Mai +1.597, Juni +470, Juli +288, August +1.210 und September +8.733. Beide Summenproben gehen exakt auf (Betroffene: 29.442 + 22.222 + 84.274 + 20.733 + 30.900 + 13.464 + 10.793 + 4.561 + 8.733 = 225.122; Ereignisse: 59 + 68 + 66 + 48 + 76 + 71 + 50 + 58 + 23 = 519; Rechenprobe der Veränderung: +84 − 106 + 1.904 + 201 + 1.597 + 470 + 288 + 1.210 + 8.733 = 14.381 = 225.122 − 210.741). Der Februarwert sinkt also, während die Jahressumme steigt.</w:t>
      </w:r>
    </w:p>
    <w:p>
      <w:pPr>
        <w:jc w:val="both"/>
      </w:pPr>
      <w:r>
        <w:rPr>
          <w:rFonts w:ascii="Arial" w:hAnsi="Arial"/>
          <w:b w:val="0"/>
          <w:i w:val="0"/>
          <w:sz w:val="19"/>
        </w:rPr>
        <w:t xml:space="preserve">Das ist methodisch aufschlussreicher als der Zuwachs selbst. Die Lücke des Vortages war keine bloße Verzögerung an der Zeitachse, nach deren Schließung die zurückliegenden Monate unberührt geblieben wären; die Seite hat vielmehr ihren gesamten Jahresbestand neu ermittelt. Eine an Streichungszahlen anknüpfende Bemessungsgrundlage hätte damit nicht nur mit verspäteter Erfassung des laufenden Zeitraums zu rechnen (§ 9.2), sondern mit nachträglicher Revision bereits abgeschlossener Perioden in beide Richtungen — bei </w:t>
      </w:r>
      <w:r>
        <w:rPr>
          <w:rFonts w:ascii="Arial" w:hAnsi="Arial"/>
          <w:b w:val="0"/>
          <w:i/>
          <w:sz w:val="19"/>
        </w:rPr>
        <w:t>SkillSyncer</w:t>
      </w:r>
      <w:r>
        <w:rPr>
          <w:rFonts w:ascii="Arial" w:hAnsi="Arial"/>
          <w:b w:val="0"/>
          <w:i w:val="0"/>
          <w:sz w:val="19"/>
        </w:rPr>
        <w:t xml:space="preserve"> an einem einzigen Tag in acht von neun Monaten nach oben und in einem nach unten. Für einen Steuertatbestand entspricht das der Konstellation, die das geltende Recht über Korrektur- und Jahresausgleichsverfahren auffängt, hier aber ohne jede Bekanntmachung eintritt: Das Zählwerk weist die Revision nicht aus. Zugleich ist die Lücke </w:t>
      </w:r>
      <w:r>
        <w:rPr>
          <w:rFonts w:ascii="Arial" w:hAnsi="Arial"/>
          <w:b w:val="0"/>
          <w:i/>
          <w:sz w:val="19"/>
        </w:rPr>
        <w:t>verkürzt, nicht geschlossen</w:t>
      </w:r>
      <w:r>
        <w:rPr>
          <w:rFonts w:ascii="Arial" w:hAnsi="Arial"/>
          <w:b w:val="0"/>
          <w:i w:val="0"/>
          <w:sz w:val="19"/>
        </w:rPr>
        <w:t xml:space="preserve"> — das jüngste gelistete Einzelereignis trägt den 14. September 2026 (</w:t>
      </w:r>
      <w:r>
        <w:rPr>
          <w:rFonts w:ascii="Arial" w:hAnsi="Arial"/>
          <w:b w:val="0"/>
          <w:i/>
          <w:sz w:val="19"/>
        </w:rPr>
        <w:t>KO_OP</w:t>
      </w:r>
      <w:r>
        <w:rPr>
          <w:rFonts w:ascii="Arial" w:hAnsi="Arial"/>
          <w:b w:val="0"/>
          <w:i w:val="0"/>
          <w:sz w:val="19"/>
        </w:rPr>
        <w:t>, 13 Betroffene) gegenüber dem 31. August 2026 am Vortag, der Rückstand sinkt also von einundzwanzig auf acht Tage.</w:t>
      </w:r>
    </w:p>
    <w:p>
      <w:pPr>
        <w:jc w:val="both"/>
      </w:pPr>
      <w:r>
        <w:rPr>
          <w:rFonts w:ascii="Arial" w:hAnsi="Arial"/>
          <w:b w:val="0"/>
          <w:i w:val="0"/>
          <w:sz w:val="19"/>
        </w:rPr>
        <w:t xml:space="preserve">Bei </w:t>
      </w:r>
      <w:r>
        <w:rPr>
          <w:rFonts w:ascii="Arial" w:hAnsi="Arial"/>
          <w:b w:val="0"/>
          <w:i/>
          <w:sz w:val="19"/>
        </w:rPr>
        <w:t>AskTheRecruiter</w:t>
      </w:r>
      <w:r>
        <w:rPr>
          <w:rFonts w:ascii="Arial" w:hAnsi="Arial"/>
          <w:b w:val="0"/>
          <w:i w:val="0"/>
          <w:sz w:val="19"/>
        </w:rPr>
        <w:t xml:space="preserve"> kehrt sich die Bewegung des Vortages um, und zwar gegenläufig auf den beiden Zählstufen: 644.228 belegte Streichungen für 2026 (Vortag 629.474; </w:t>
      </w:r>
      <w:r>
        <w:rPr>
          <w:rFonts w:ascii="Arial" w:hAnsi="Arial"/>
          <w:b/>
          <w:i w:val="0"/>
          <w:sz w:val="19"/>
        </w:rPr>
        <w:t>+14.754</w:t>
      </w:r>
      <w:r>
        <w:rPr>
          <w:rFonts w:ascii="Arial" w:hAnsi="Arial"/>
          <w:b w:val="0"/>
          <w:i w:val="0"/>
          <w:sz w:val="19"/>
        </w:rPr>
        <w:t xml:space="preserve">), davon 600.125 bereits wirksam und 44.103 mit künftigem Wirksamkeitsdatum (Summenprobe: 600.125 + 44.103 = 644.228, geht auf), demgegenüber nur noch 475.951 lediglich angekündigte Streichungen (Vortag 483.564; </w:t>
      </w:r>
      <w:r>
        <w:rPr>
          <w:rFonts w:ascii="Arial" w:hAnsi="Arial"/>
          <w:b/>
          <w:i w:val="0"/>
          <w:sz w:val="19"/>
        </w:rPr>
        <w:t>−7.613</w:t>
      </w:r>
      <w:r>
        <w:rPr>
          <w:rFonts w:ascii="Arial" w:hAnsi="Arial"/>
          <w:b w:val="0"/>
          <w:i w:val="0"/>
          <w:sz w:val="19"/>
        </w:rPr>
        <w:t xml:space="preserve">) und ein zusammengefasster Stand von 1.120.179 (Summenprobe: 644.228 + 475.951 = 1.120.179, geht auf; Rechenprobe der Veränderung: +14.754 − 7.613 = +7.141 = 1.120.179 − 1.113.038, geht auf). Die Gegenläufigkeit legt nahe, dass ein erheblicher Teil des Zuwachses auf der belegten Stufe keine neuen Streichungen sind, sondern </w:t>
      </w:r>
      <w:r>
        <w:rPr>
          <w:rFonts w:ascii="Arial" w:hAnsi="Arial"/>
          <w:b w:val="0"/>
          <w:i/>
          <w:sz w:val="19"/>
        </w:rPr>
        <w:t>Umbuchungen</w:t>
      </w:r>
      <w:r>
        <w:rPr>
          <w:rFonts w:ascii="Arial" w:hAnsi="Arial"/>
          <w:b w:val="0"/>
          <w:i w:val="0"/>
          <w:sz w:val="19"/>
        </w:rPr>
        <w:t xml:space="preserve"> von der angekündigten auf die belegte Stufe, sobald die verlangte Unterlage vorliegt; belastbar unterscheiden lässt sich das aus den Anzeigewerten nicht, weil das Zählwerk Zugang und Umbuchung nicht getrennt ausweist. Die vier KI-Kennzahlen desselben Zählwerks bleiben den </w:t>
      </w:r>
      <w:r>
        <w:rPr>
          <w:rFonts w:ascii="Arial" w:hAnsi="Arial"/>
          <w:b/>
          <w:i w:val="0"/>
          <w:sz w:val="19"/>
        </w:rPr>
        <w:t>vierten Tag in Folge</w:t>
      </w:r>
      <w:r>
        <w:rPr>
          <w:rFonts w:ascii="Arial" w:hAnsi="Arial"/>
          <w:b w:val="0"/>
          <w:i w:val="0"/>
          <w:sz w:val="19"/>
        </w:rPr>
        <w:t xml:space="preserve"> sämtlich unverändert: strenge Zuschreibung 66.861, angekündigte Zuschreibung 47.883, zusammengefasst 114.744 (Summenprobe geht auf), weit gefasste Kennzahl 123.459. Auffällig ist ferner der Allzeitbestand: Er wächst um 1.540 auf 41.127 Unternehmen und um 2.641 auf 68.332 Einträge, während die Jahresansicht im selben Zeitraum nur um zehn auf 3.157 meldende Unternehmen bei 3.407 Einträgen zunimmt — auch dieses Zählwerk hat also außerhalb des laufenden Jahres nachgetragen. Die Gebietsangabe der US-Bundesstaaten sinkt von 49 auf 46 (jeweils zuzüglich des District of Columbia); die Länderzahl des Allzeitbestands ist bei zwei Abrufen derselben Seite in derselben Sitzung mit 80 und mit 81 zurückgekommen und wird deshalb hier nicht als Kennzahl weitergeführt.</w:t>
      </w:r>
    </w:p>
    <w:p>
      <w:pPr>
        <w:jc w:val="both"/>
      </w:pPr>
      <w:r>
        <w:rPr>
          <w:rFonts w:ascii="Arial" w:hAnsi="Arial"/>
          <w:b w:val="0"/>
          <w:i/>
          <w:sz w:val="19"/>
        </w:rPr>
        <w:t>DisplaceIndex</w:t>
      </w:r>
      <w:r>
        <w:rPr>
          <w:rFonts w:ascii="Arial" w:hAnsi="Arial"/>
          <w:b w:val="0"/>
          <w:i w:val="0"/>
          <w:sz w:val="19"/>
        </w:rPr>
        <w:t xml:space="preserve"> (377.084 KI-attribuierte Streichungen seit Januar 2023, 57 berichtende Unternehmen, jüngster Einzelfall unverändert </w:t>
      </w:r>
      <w:r>
        <w:rPr>
          <w:rFonts w:ascii="Arial" w:hAnsi="Arial"/>
          <w:b w:val="0"/>
          <w:i/>
          <w:sz w:val="19"/>
        </w:rPr>
        <w:t>Uber</w:t>
      </w:r>
      <w:r>
        <w:rPr>
          <w:rFonts w:ascii="Arial" w:hAnsi="Arial"/>
          <w:b w:val="0"/>
          <w:i w:val="0"/>
          <w:sz w:val="19"/>
        </w:rPr>
        <w:t xml:space="preserve"> im September 2026 mit 3.300 Stellen) und </w:t>
      </w:r>
      <w:r>
        <w:rPr>
          <w:rFonts w:ascii="Arial" w:hAnsi="Arial"/>
          <w:b w:val="0"/>
          <w:i/>
          <w:sz w:val="19"/>
        </w:rPr>
        <w:t>Job Security Meter</w:t>
      </w:r>
      <w:r>
        <w:rPr>
          <w:rFonts w:ascii="Arial" w:hAnsi="Arial"/>
          <w:b w:val="0"/>
          <w:i w:val="0"/>
          <w:sz w:val="19"/>
        </w:rPr>
        <w:t xml:space="preserve"> (unverändert Stand 18. September 2026 mit Erfassung bis zum 13. September 2026) stehen weiter still. Die seit dem 20. September 2026 geführte Spreizung derselben Größe verschiebt sich damit auf 66.861 / rund 128.500 / 179.542 — das Verhältnis zwischen dem engsten und dem weitesten Wert bleibt bei rund 1 : 2,7. Für den seit dem 19. September 2026 verfolgten Flussbefund gilt nach diesem Lauf: Das eine Zählwerk hat vier Tage lang keine einzige Streichung der Künstlichen Intelligenz zugeschrieben, das andere hat an einem Tag rückwirkend 6.077 zugeschrieben. Beide Beobachtungen betreffen denselben Zeitraum und dieselbe Realität. Die im Vorlauf offengelassene Frage, ob der Stillstand eine Zuschreibungslücke oder einen tatsächlich KI-freien Zugang anzeigt, ist damit nicht entschieden, aber die Reichweite des Problems ist präziser bestimmt: Die Zuschreibung folgt nicht dem Ereignis, sondern dem Erfassungsrhythmus des jeweiligen Zählwerks. Die Folgerung für die Bemessungsgrundlage wird in § 9.2 gezogen.</w:t>
      </w:r>
    </w:p>
    <w:p>
      <w:pPr>
        <w:jc w:val="both"/>
      </w:pPr>
      <w:r>
        <w:rPr>
          <w:rFonts w:ascii="Arial" w:hAnsi="Arial"/>
          <w:b w:val="0"/>
          <w:i/>
          <w:sz w:val="19"/>
        </w:rPr>
        <w:t>Nachtrag (Trackerstände 23. September 2026) — der Widerspruch wandert nach innen:</w:t>
      </w:r>
      <w:r>
        <w:rPr>
          <w:rFonts w:ascii="Arial" w:hAnsi="Arial"/>
          <w:b w:val="0"/>
          <w:i w:val="0"/>
          <w:sz w:val="19"/>
        </w:rPr>
        <w:t xml:space="preserve"> Der Abgleich ist am Folgetag nach derselben Verfahrensregel wiederholt worden. Bei </w:t>
      </w:r>
      <w:r>
        <w:rPr>
          <w:rFonts w:ascii="Arial" w:hAnsi="Arial"/>
          <w:b w:val="0"/>
          <w:i/>
          <w:sz w:val="19"/>
        </w:rPr>
        <w:t>AskTheRecruiter</w:t>
      </w:r>
      <w:r>
        <w:rPr>
          <w:rFonts w:ascii="Arial" w:hAnsi="Arial"/>
          <w:b w:val="0"/>
          <w:i w:val="0"/>
          <w:sz w:val="19"/>
        </w:rPr>
        <w:t xml:space="preserve"> bewegen sich die beiden Zählstufen erstmals </w:t>
      </w:r>
      <w:r>
        <w:rPr>
          <w:rFonts w:ascii="Arial" w:hAnsi="Arial"/>
          <w:b/>
          <w:i w:val="0"/>
          <w:sz w:val="19"/>
        </w:rPr>
        <w:t>gleichgerichtet nach unten</w:t>
      </w:r>
      <w:r>
        <w:rPr>
          <w:rFonts w:ascii="Arial" w:hAnsi="Arial"/>
          <w:b w:val="0"/>
          <w:i w:val="0"/>
          <w:sz w:val="19"/>
        </w:rPr>
        <w:t xml:space="preserve">: 641.829 belegte Streichungen für 2026 (Vortag 644.228; </w:t>
      </w:r>
      <w:r>
        <w:rPr>
          <w:rFonts w:ascii="Arial" w:hAnsi="Arial"/>
          <w:b/>
          <w:i w:val="0"/>
          <w:sz w:val="19"/>
        </w:rPr>
        <w:t>−2.399</w:t>
      </w:r>
      <w:r>
        <w:rPr>
          <w:rFonts w:ascii="Arial" w:hAnsi="Arial"/>
          <w:b w:val="0"/>
          <w:i w:val="0"/>
          <w:sz w:val="19"/>
        </w:rPr>
        <w:t xml:space="preserve">), davon 597.526 bereits wirksam und 44.303 mit künftigem Wirksamkeitsdatum (Summenprobe: 597.526 + 44.303 = 641.829, geht auf), dazu 469.791 lediglich angekündigte Streichungen (Vortag 475.951; </w:t>
      </w:r>
      <w:r>
        <w:rPr>
          <w:rFonts w:ascii="Arial" w:hAnsi="Arial"/>
          <w:b/>
          <w:i w:val="0"/>
          <w:sz w:val="19"/>
        </w:rPr>
        <w:t>−6.160</w:t>
      </w:r>
      <w:r>
        <w:rPr>
          <w:rFonts w:ascii="Arial" w:hAnsi="Arial"/>
          <w:b w:val="0"/>
          <w:i w:val="0"/>
          <w:sz w:val="19"/>
        </w:rPr>
        <w:t xml:space="preserve">) und ein zusammengefasster Stand von 1.111.620 (Vortag 1.120.179; Summenprobe: 641.829 + 469.791 = 1.111.620, geht auf; Rechenprobe der Veränderung: −2.399 − 6.160 = −8.559 = 1.111.620 − 1.120.179, geht auf). Bemerkenswert ist die Gegenrichtung der Mengengrößen: Die Jahresansicht weist </w:t>
      </w:r>
      <w:r>
        <w:rPr>
          <w:rFonts w:ascii="Arial" w:hAnsi="Arial"/>
          <w:b w:val="0"/>
          <w:i/>
          <w:sz w:val="19"/>
        </w:rPr>
        <w:t>mehr</w:t>
      </w:r>
      <w:r>
        <w:rPr>
          <w:rFonts w:ascii="Arial" w:hAnsi="Arial"/>
          <w:b w:val="0"/>
          <w:i w:val="0"/>
          <w:sz w:val="19"/>
        </w:rPr>
        <w:t xml:space="preserve"> Meldungen aus als am Vortag — 3.169 meldende Unternehmen (Vortag 3.157; +12) bei 3.416 Einträgen (Vortag 3.407; +9), der Allzeitbestand wächst um 14 auf 41.141 Unternehmen und um 8 auf 68.340 Einträge. Der Rückgang kann also nicht aus entfernten Einträgen stammen; er muss aus einer Abwärtsrevision der Kopfzahlen </w:t>
      </w:r>
      <w:r>
        <w:rPr>
          <w:rFonts w:ascii="Arial" w:hAnsi="Arial"/>
          <w:b w:val="0"/>
          <w:i/>
          <w:sz w:val="19"/>
        </w:rPr>
        <w:t>innerhalb</w:t>
      </w:r>
      <w:r>
        <w:rPr>
          <w:rFonts w:ascii="Arial" w:hAnsi="Arial"/>
          <w:b w:val="0"/>
          <w:i w:val="0"/>
          <w:sz w:val="19"/>
        </w:rPr>
        <w:t xml:space="preserve"> bestehender Einträge herrühren. Für eine an Streichungszahlen anknüpfende Bemessungsgrundlage ist das die unangenehmste der bisher beobachteten Konstellationen: Die Zahl der steuerbaren Vorgänge steigt, während die Bemessungsgrundlage sinkt. Die vier KI-Kennzahlen desselben Zählwerks bleiben den </w:t>
      </w:r>
      <w:r>
        <w:rPr>
          <w:rFonts w:ascii="Arial" w:hAnsi="Arial"/>
          <w:b/>
          <w:i w:val="0"/>
          <w:sz w:val="19"/>
        </w:rPr>
        <w:t>fünften Tag in Folge</w:t>
      </w:r>
      <w:r>
        <w:rPr>
          <w:rFonts w:ascii="Arial" w:hAnsi="Arial"/>
          <w:b w:val="0"/>
          <w:i w:val="0"/>
          <w:sz w:val="19"/>
        </w:rPr>
        <w:t xml:space="preserve"> sämtlich unverändert: strenge Zuschreibung 66.861, angekündigte Zuschreibung 47.883, zusammengefasst 114.744 (Summenprobe geht auf), weit gefasste Kennzahl 123.459.</w:t>
      </w:r>
    </w:p>
    <w:p>
      <w:pPr>
        <w:jc w:val="both"/>
      </w:pPr>
      <w:r>
        <w:rPr>
          <w:rFonts w:ascii="Arial" w:hAnsi="Arial"/>
          <w:b/>
          <w:i w:val="0"/>
          <w:sz w:val="19"/>
        </w:rPr>
        <w:t>Der eigentliche Befund dieses Laufs steht jedoch nicht zwischen den Zählwerken, sondern innerhalb eines einzigen.</w:t>
      </w:r>
      <w:r>
        <w:rPr>
          <w:rFonts w:ascii="Arial" w:hAnsi="Arial"/>
          <w:b w:val="0"/>
          <w:i w:val="0"/>
          <w:sz w:val="19"/>
        </w:rPr>
        <w:t xml:space="preserve"> Dieselbe Seite gibt bei </w:t>
      </w:r>
      <w:r>
        <w:rPr>
          <w:rFonts w:ascii="Arial" w:hAnsi="Arial"/>
          <w:b w:val="0"/>
          <w:i/>
          <w:sz w:val="19"/>
        </w:rPr>
        <w:t>einem</w:t>
      </w:r>
      <w:r>
        <w:rPr>
          <w:rFonts w:ascii="Arial" w:hAnsi="Arial"/>
          <w:b w:val="0"/>
          <w:i w:val="0"/>
          <w:sz w:val="19"/>
        </w:rPr>
        <w:t xml:space="preserve"> Abruf für </w:t>
      </w:r>
      <w:r>
        <w:rPr>
          <w:rFonts w:ascii="Arial" w:hAnsi="Arial"/>
          <w:b w:val="0"/>
          <w:i/>
          <w:sz w:val="19"/>
        </w:rPr>
        <w:t>dieselbe</w:t>
      </w:r>
      <w:r>
        <w:rPr>
          <w:rFonts w:ascii="Arial" w:hAnsi="Arial"/>
          <w:b w:val="0"/>
          <w:i w:val="0"/>
          <w:sz w:val="19"/>
        </w:rPr>
        <w:t xml:space="preserve"> Größe zwei verschiedene Werte an. Die Übersichtstafel desselben Zählwerks weist für den Jahreslauf 2026 </w:t>
      </w:r>
      <w:r>
        <w:rPr>
          <w:rFonts w:ascii="Arial" w:hAnsi="Arial"/>
          <w:b/>
          <w:i w:val="0"/>
          <w:sz w:val="19"/>
        </w:rPr>
        <w:t>613.328</w:t>
      </w:r>
      <w:r>
        <w:rPr>
          <w:rFonts w:ascii="Arial" w:hAnsi="Arial"/>
          <w:b w:val="0"/>
          <w:i w:val="0"/>
          <w:sz w:val="19"/>
        </w:rPr>
        <w:t xml:space="preserve"> Betroffene bei 3.416 belegten Streichungen aus, während die Kopfzeile derselben Seite </w:t>
      </w:r>
      <w:r>
        <w:rPr>
          <w:rFonts w:ascii="Arial" w:hAnsi="Arial"/>
          <w:b/>
          <w:i w:val="0"/>
          <w:sz w:val="19"/>
        </w:rPr>
        <w:t>641.829</w:t>
      </w:r>
      <w:r>
        <w:rPr>
          <w:rFonts w:ascii="Arial" w:hAnsi="Arial"/>
          <w:b w:val="0"/>
          <w:i w:val="0"/>
          <w:sz w:val="19"/>
        </w:rPr>
        <w:t xml:space="preserve"> nennt — eine Differenz von 28.501 Personen oder 4,4 %. Die Tafel beansprucht dabei ausdrücklich dieselbe Zählweise; sie erläutert im Wortlaut, jede ihrer Zeilen zähle belegte Einträge nach Meldedatum, </w:t>
      </w:r>
      <w:r>
        <w:rPr>
          <w:rFonts w:ascii="Arial" w:hAnsi="Arial"/>
          <w:b w:val="0"/>
          <w:i/>
          <w:sz w:val="19"/>
        </w:rPr>
        <w:t>„the same basis as the headline figure above"</w:t>
      </w:r>
      <w:r>
        <w:rPr>
          <w:rFonts w:ascii="Arial" w:hAnsi="Arial"/>
          <w:b w:val="0"/>
          <w:i w:val="0"/>
          <w:sz w:val="19"/>
        </w:rPr>
        <w:t xml:space="preserve">. Noch deutlicher tritt der Widerspruch bei der weit gefassten KI-Kennzahl hervor: Die Tafel führt sie für den Jahreslauf mit 66.861 und damit exakt gleich hoch wie die strenge Zuschreibung, die Kachel darunter mit 123.459 — derselbe Begriff, derselbe Tag, dieselbe Seite, Faktor 1,85. Die Kachel erklärt an Ort und Stelle, die engere Zahl liege </w:t>
      </w:r>
      <w:r>
        <w:rPr>
          <w:rFonts w:ascii="Arial" w:hAnsi="Arial"/>
          <w:b w:val="0"/>
          <w:i/>
          <w:sz w:val="19"/>
        </w:rPr>
        <w:t>in</w:t>
      </w:r>
      <w:r>
        <w:rPr>
          <w:rFonts w:ascii="Arial" w:hAnsi="Arial"/>
          <w:b w:val="0"/>
          <w:i w:val="0"/>
          <w:sz w:val="19"/>
        </w:rPr>
        <w:t xml:space="preserve"> der weiteren und beide dürften nie addiert werden; auf der Tafel sind sie identisch. Hinzu treten zwei kleinere Unstimmigkeiten derselben Seite: Die Abdeckungszeile nennt 82 Länder und 46 US-Bundesstaaten zuzüglich des District of Columbia, die Kopfzeile 83 Länder und die Filterkachel 49 US-Bundesstaaten. Damit verschiebt sich der seit dem 13. September 2026 geführte Befund um eine Stufe: Bis hierher war die Spreizung ein Problem </w:t>
      </w:r>
      <w:r>
        <w:rPr>
          <w:rFonts w:ascii="Arial" w:hAnsi="Arial"/>
          <w:b w:val="0"/>
          <w:i/>
          <w:sz w:val="19"/>
        </w:rPr>
        <w:t>zwischen</w:t>
      </w:r>
      <w:r>
        <w:rPr>
          <w:rFonts w:ascii="Arial" w:hAnsi="Arial"/>
          <w:b w:val="0"/>
          <w:i w:val="0"/>
          <w:sz w:val="19"/>
        </w:rPr>
        <w:t xml:space="preserve"> unabhängig geführten Zählwerken mit je eigener Zähldefinition — ein Verhältnis von 1 : 3 bei den Jahressummen und KI-Attributionsquoten von 82, 10,5 und 0,5 Prozent. Jetzt liefert ein und dasselbe Zählwerk an einem Tag zwei Werte für dieselbe Größe, ohne die Abweichung auszuweisen. Ein Steuertatbestand kann an eine Größe nicht anknüpfen, deren Herausgeber sie gleichzeitig zweifach beziffert; die Folgerung wird in § 9.2 gezogen.</w:t>
      </w:r>
    </w:p>
    <w:p>
      <w:pPr>
        <w:jc w:val="both"/>
      </w:pPr>
      <w:r>
        <w:rPr>
          <w:rFonts w:ascii="Arial" w:hAnsi="Arial"/>
          <w:b w:val="0"/>
          <w:i/>
          <w:sz w:val="19"/>
        </w:rPr>
        <w:t>SkillSyncer</w:t>
      </w:r>
      <w:r>
        <w:rPr>
          <w:rFonts w:ascii="Arial" w:hAnsi="Arial"/>
          <w:b w:val="0"/>
          <w:i w:val="0"/>
          <w:sz w:val="19"/>
        </w:rPr>
        <w:t xml:space="preserve"> steht in allen Sachgrößen still: unverändert 519 Ereignisse mit 225.122 Betroffenen, unveränderte Monatsgliederung (Januar 29.442, Februar 22.222, März 84.274, April 20.733, Mai 30.900, Juni 13.464, Juli 10.793, August 4.561, September 8.733 — Summenprobe: 225.122, geht auf; Ereignisse 59 + 68 + 66 + 48 + 76 + 71 + 50 + 58 + 23 = 519, geht auf), unverändert 213 der 519 Ereignisse mit KI- oder Automatisierungsbezug (41 %) und 179.542 davon Betroffene. Der am Vortag von einundzwanzig auf acht Tage verkürzte Erfassungsrückstand wächst damit wieder auf neun Tage. </w:t>
      </w:r>
      <w:r>
        <w:rPr>
          <w:rFonts w:ascii="Arial" w:hAnsi="Arial"/>
          <w:b w:val="0"/>
          <w:i/>
          <w:sz w:val="19"/>
        </w:rPr>
        <w:t>DisplaceIndex</w:t>
      </w:r>
      <w:r>
        <w:rPr>
          <w:rFonts w:ascii="Arial" w:hAnsi="Arial"/>
          <w:b w:val="0"/>
          <w:i w:val="0"/>
          <w:sz w:val="19"/>
        </w:rPr>
        <w:t xml:space="preserve"> (unverändert 377.084 KI-attribuierte Streichungen seit Januar 2023, davon 251.128 im Technologiesektor, jüngster Einzelfall weiterhin </w:t>
      </w:r>
      <w:r>
        <w:rPr>
          <w:rFonts w:ascii="Arial" w:hAnsi="Arial"/>
          <w:b w:val="0"/>
          <w:i/>
          <w:sz w:val="19"/>
        </w:rPr>
        <w:t>Uber</w:t>
      </w:r>
      <w:r>
        <w:rPr>
          <w:rFonts w:ascii="Arial" w:hAnsi="Arial"/>
          <w:b w:val="0"/>
          <w:i w:val="0"/>
          <w:sz w:val="19"/>
        </w:rPr>
        <w:t xml:space="preserve"> im September 2026 mit 3.300 Stellen) weist bei diesem Abruf eine eigene Unstimmigkeit auf: Die Kopfzeile nennt 57 berichtende Unternehmen, die darunter geführte Ereignisliste 50 Ereignisse. </w:t>
      </w:r>
      <w:r>
        <w:rPr>
          <w:rFonts w:ascii="Arial" w:hAnsi="Arial"/>
          <w:b w:val="0"/>
          <w:i/>
          <w:sz w:val="19"/>
        </w:rPr>
        <w:t>Job Security Meter</w:t>
      </w:r>
      <w:r>
        <w:rPr>
          <w:rFonts w:ascii="Arial" w:hAnsi="Arial"/>
          <w:b w:val="0"/>
          <w:i w:val="0"/>
          <w:sz w:val="19"/>
        </w:rPr>
        <w:t xml:space="preserve"> steht den fünften Tag unverändert beim Stand 18. September 2026 mit Erfassung bis zum 13. September 2026. Die Spreizung derselben Größe bleibt damit bei 66.861 / rund 128.500 / 179.542 und einem Verhältnis von rund 1 : 2,7 — sie hat jedoch nach dem Befund dieses Laufs ein Gegenstück im Inneren eines einzelnen Zählwerks (613.328 gegen 641.829; 66.861 gegen 123.459).</w:t>
      </w:r>
    </w:p>
    <w:p>
      <w:pPr>
        <w:jc w:val="both"/>
      </w:pPr>
      <w:r>
        <w:rPr>
          <w:rFonts w:ascii="Arial" w:hAnsi="Arial"/>
          <w:b w:val="0"/>
          <w:i/>
          <w:sz w:val="19"/>
        </w:rPr>
        <w:t>Nachtrag (Trackerstände 24. September 2026) — der Widerspruch ist kein Tagesausreißer, und die Zuschreibung springt in einem Block:</w:t>
      </w:r>
      <w:r>
        <w:rPr>
          <w:rFonts w:ascii="Arial" w:hAnsi="Arial"/>
          <w:b w:val="0"/>
          <w:i w:val="0"/>
          <w:sz w:val="19"/>
        </w:rPr>
        <w:t xml:space="preserve"> Der Abgleich ist nach derselben Verfahrensregel wiederholt worden; sämtliche Werte stammen aus dem Direktabruf der Seiten am Stichtag. Bei </w:t>
      </w:r>
      <w:r>
        <w:rPr>
          <w:rFonts w:ascii="Arial" w:hAnsi="Arial"/>
          <w:b w:val="0"/>
          <w:i/>
          <w:sz w:val="19"/>
        </w:rPr>
        <w:t>AskTheRecruiter</w:t>
      </w:r>
      <w:r>
        <w:rPr>
          <w:rFonts w:ascii="Arial" w:hAnsi="Arial"/>
          <w:b w:val="0"/>
          <w:i w:val="0"/>
          <w:sz w:val="19"/>
        </w:rPr>
        <w:t xml:space="preserve"> setzt sich die gleichgerichtete Abwärtsbewegung beider Zählstufen fort, nunmehr in deutlich kleinerem Maßstab: 641.773 belegte Streichungen für 2026 (Vortag 641.829; </w:t>
      </w:r>
      <w:r>
        <w:rPr>
          <w:rFonts w:ascii="Arial" w:hAnsi="Arial"/>
          <w:b/>
          <w:i w:val="0"/>
          <w:sz w:val="19"/>
        </w:rPr>
        <w:t>−56</w:t>
      </w:r>
      <w:r>
        <w:rPr>
          <w:rFonts w:ascii="Arial" w:hAnsi="Arial"/>
          <w:b w:val="0"/>
          <w:i w:val="0"/>
          <w:sz w:val="19"/>
        </w:rPr>
        <w:t xml:space="preserve">), davon 596.458 bereits wirksam und 45.315 mit künftigem Wirksamkeitsdatum (Summenprobe: 596.458 + 45.315 = 641.773, geht auf), dazu 467.893 lediglich angekündigte Streichungen (Vortag 469.791; </w:t>
      </w:r>
      <w:r>
        <w:rPr>
          <w:rFonts w:ascii="Arial" w:hAnsi="Arial"/>
          <w:b/>
          <w:i w:val="0"/>
          <w:sz w:val="19"/>
        </w:rPr>
        <w:t>−1.898</w:t>
      </w:r>
      <w:r>
        <w:rPr>
          <w:rFonts w:ascii="Arial" w:hAnsi="Arial"/>
          <w:b w:val="0"/>
          <w:i w:val="0"/>
          <w:sz w:val="19"/>
        </w:rPr>
        <w:t xml:space="preserve">) und ein zusammengefasster Stand von 1.109.666 (Summenprobe: 641.773 + 467.893 = 1.109.666, geht auf; Rechenprobe der Veränderung: −56 − 1.898 = −1.954 = 1.109.666 − 1.111.620, geht auf). Die am Vortag beschriebene Gegenläufigkeit wiederholt sich und ist damit kein Einzelfall: Die Jahresansicht weist erneut </w:t>
      </w:r>
      <w:r>
        <w:rPr>
          <w:rFonts w:ascii="Arial" w:hAnsi="Arial"/>
          <w:b w:val="0"/>
          <w:i/>
          <w:sz w:val="19"/>
        </w:rPr>
        <w:t>mehr</w:t>
      </w:r>
      <w:r>
        <w:rPr>
          <w:rFonts w:ascii="Arial" w:hAnsi="Arial"/>
          <w:b w:val="0"/>
          <w:i w:val="0"/>
          <w:sz w:val="19"/>
        </w:rPr>
        <w:t xml:space="preserve"> Meldungen aus — 3.209 meldende Unternehmen (Vortag 3.169; +40) bei 3.464 Einträgen (Vortag 3.416; +48), der Allzeitbestand wächst um 44 auf 41.185 Unternehmen und um 76 auf 68.416 Einträge. Den zweiten Tag in Folge steigt also die Zahl der steuerbaren Vorgänge, während die Bemessungsgrundlage sinkt.</w:t>
      </w:r>
    </w:p>
    <w:p>
      <w:pPr>
        <w:jc w:val="both"/>
      </w:pPr>
      <w:r>
        <w:rPr>
          <w:rFonts w:ascii="Arial" w:hAnsi="Arial"/>
          <w:b/>
          <w:i w:val="0"/>
          <w:sz w:val="19"/>
        </w:rPr>
        <w:t>Der fünftägige Stillstand der KI-Zuschreibung endet — aber nicht als Zufluss, sondern als Block.</w:t>
      </w:r>
      <w:r>
        <w:rPr>
          <w:rFonts w:ascii="Arial" w:hAnsi="Arial"/>
          <w:b w:val="0"/>
          <w:i w:val="0"/>
          <w:sz w:val="19"/>
        </w:rPr>
        <w:t xml:space="preserve"> Alle vier KI-Kennzahlen desselben Zählwerks bewegen sich um exakt denselben Betrag: strenge Zuschreibung 69.361 (Vortag 66.861; </w:t>
      </w:r>
      <w:r>
        <w:rPr>
          <w:rFonts w:ascii="Arial" w:hAnsi="Arial"/>
          <w:b/>
          <w:i w:val="0"/>
          <w:sz w:val="19"/>
        </w:rPr>
        <w:t>+2.500</w:t>
      </w:r>
      <w:r>
        <w:rPr>
          <w:rFonts w:ascii="Arial" w:hAnsi="Arial"/>
          <w:b w:val="0"/>
          <w:i w:val="0"/>
          <w:sz w:val="19"/>
        </w:rPr>
        <w:t xml:space="preserve">), angekündigte Zuschreibung unverändert 47.883, zusammengefasst 117.244 (Summenprobe: 69.361 + 47.883 = 117.244, geht auf), weit gefasste Kennzahl 125.959 (Vortag 123.459; </w:t>
      </w:r>
      <w:r>
        <w:rPr>
          <w:rFonts w:ascii="Arial" w:hAnsi="Arial"/>
          <w:b/>
          <w:i w:val="0"/>
          <w:sz w:val="19"/>
        </w:rPr>
        <w:t>+2.500</w:t>
      </w:r>
      <w:r>
        <w:rPr>
          <w:rFonts w:ascii="Arial" w:hAnsi="Arial"/>
          <w:b w:val="0"/>
          <w:i w:val="0"/>
          <w:sz w:val="19"/>
        </w:rPr>
        <w:t>). Die Übersichtstafel weist denselben Betrag von 2.500 vollständig der laufenden Woche zu, dem Tag des Abrufs dagegen null. Für die in § 9.2 geführte Argumentation ist das die dritte Beobachtung gleicher Art: Die Zuschreibung folgt nicht dem Ereignis, sondern dem Erfassungsrhythmus des Zählwerks — fünf Tage Stillstand, dann ein einziger Block, dessen Betrag auf volle Hundert endet.</w:t>
      </w:r>
    </w:p>
    <w:p>
      <w:pPr>
        <w:jc w:val="both"/>
      </w:pPr>
      <w:r>
        <w:rPr>
          <w:rFonts w:ascii="Arial" w:hAnsi="Arial"/>
          <w:b w:val="0"/>
          <w:i/>
          <w:sz w:val="19"/>
        </w:rPr>
        <w:t>Der Widerspruch innerhalb derselben Seite besteht fort und hat seine Form geändert.</w:t>
      </w:r>
      <w:r>
        <w:rPr>
          <w:rFonts w:ascii="Arial" w:hAnsi="Arial"/>
          <w:b w:val="0"/>
          <w:i w:val="0"/>
          <w:sz w:val="19"/>
        </w:rPr>
        <w:t xml:space="preserve"> Die Übersichtstafel weist für den Jahreslauf 2026 612.940 Betroffene aus, die Kopfzeile 641.773 — eine Differenz von 28.833 Personen oder 4,7 % gegenüber 28.501 oder 4,4 % am Vortag; die Tafel beansprucht unverändert im eigenen Wortlaut dieselbe Zählweise (</w:t>
      </w:r>
      <w:r>
        <w:rPr>
          <w:rFonts w:ascii="Arial" w:hAnsi="Arial"/>
          <w:b w:val="0"/>
          <w:i/>
          <w:sz w:val="19"/>
        </w:rPr>
        <w:t>„the same basis as the headline figure above"</w:t>
      </w:r>
      <w:r>
        <w:rPr>
          <w:rFonts w:ascii="Arial" w:hAnsi="Arial"/>
          <w:b w:val="0"/>
          <w:i w:val="0"/>
          <w:sz w:val="19"/>
        </w:rPr>
        <w:t xml:space="preserve">). Bei der weit gefassten KI-Kennzahl ist die Abweichung schärfer geworden: Die Tafel führt sie nunmehr in </w:t>
      </w:r>
      <w:r>
        <w:rPr>
          <w:rFonts w:ascii="Arial" w:hAnsi="Arial"/>
          <w:b w:val="0"/>
          <w:i/>
          <w:sz w:val="19"/>
        </w:rPr>
        <w:t>allen sechs</w:t>
      </w:r>
      <w:r>
        <w:rPr>
          <w:rFonts w:ascii="Arial" w:hAnsi="Arial"/>
          <w:b w:val="0"/>
          <w:i w:val="0"/>
          <w:sz w:val="19"/>
        </w:rPr>
        <w:t xml:space="preserve"> Spalten — Tag, laufende Woche, September, August, zweites Quartal, Jahreslauf — betragsgleich mit der strengen Zuschreibung aus, während die Kachel darunter 125.959 nennt (Faktor 1,82). Die Betragsgleichheit ist damit kein Einzelwert mehr, sondern durchgängig; die Tafel erläutert an Ort und Stelle, die weite Kennzahl enthalte die enge und füge „looser links" hinzu, schreibt beide aber identisch aus. Auch die beiden kleineren Unstimmigkeiten bestehen fort, und zwar mit umgekehrtem Vorzeichen: Die Kopfzeile nennt 82 Länder im Allzeitbestand, die Abdeckungszeile derselben Seite 81 (Vortag: 82 gegen 83); bei den US-Bundesstaaten stehen unverändert 46 zuzüglich des District of Columbia gegen 49 in der Filterkachel. Ein Wert, der an zwei Stellen derselben Seite verschieden ausfällt und dessen Abweichung binnen eines Tages das Vorzeichen wechselt, ist kein Rundungs- oder Stichtagseffekt; er entsteht im Erhebungsvorgang selbst.</w:t>
      </w:r>
    </w:p>
    <w:p>
      <w:pPr>
        <w:jc w:val="both"/>
      </w:pPr>
      <w:r>
        <w:rPr>
          <w:rFonts w:ascii="Arial" w:hAnsi="Arial"/>
          <w:b w:val="0"/>
          <w:i/>
          <w:sz w:val="19"/>
        </w:rPr>
        <w:t>SkillSyncer</w:t>
      </w:r>
      <w:r>
        <w:rPr>
          <w:rFonts w:ascii="Arial" w:hAnsi="Arial"/>
          <w:b w:val="0"/>
          <w:i w:val="0"/>
          <w:sz w:val="19"/>
        </w:rPr>
        <w:t xml:space="preserve"> steht in allen Sachgrößen den dritten Tag still: unverändert 519 Ereignisse mit 225.122 Betroffenen, unveränderte Monatsgliederung (Summenproben 225.122 und 519 gehen exakt auf), unverändert 213 Ereignisse mit KI- oder Automatisierungsbezug (41 %) und 179.542 Betroffene. Die angezeigte Tagesrate sinkt von 846 auf 843 Stellen — auch das ist ein reiner Nennereffekt (225.122 geteilt durch 267 Tage ergibt 843,2). Das jüngste gelistete Einzelereignis trägt weiterhin den 14. September 2026, der Erfassungsrückstand wächst damit auf zehn Tage, während die Seite selbst „Last updated: September 24, 2026" ausweist und ihre eigene Kennzahlenfrage mit „As of September 24, 2026" beantwortet. Das Aktualisierungsdatum benennt mithin den Abruf, nicht den Datenstand.</w:t>
      </w:r>
    </w:p>
    <w:p>
      <w:pPr>
        <w:jc w:val="both"/>
      </w:pPr>
      <w:r>
        <w:rPr>
          <w:rFonts w:ascii="Arial" w:hAnsi="Arial"/>
          <w:b/>
          <w:i w:val="0"/>
          <w:sz w:val="19"/>
        </w:rPr>
        <w:t>Zwei eigene Konsistenzproben an diesem Zählwerk ergeben zwei bislang nicht dokumentierte Befunde.</w:t>
      </w:r>
      <w:r>
        <w:rPr>
          <w:rFonts w:ascii="Arial" w:hAnsi="Arial"/>
          <w:b w:val="0"/>
          <w:i w:val="0"/>
          <w:sz w:val="19"/>
        </w:rPr>
        <w:t xml:space="preserve"> </w:t>
      </w:r>
      <w:r>
        <w:rPr>
          <w:rFonts w:ascii="Arial" w:hAnsi="Arial"/>
          <w:b w:val="0"/>
          <w:i/>
          <w:sz w:val="19"/>
        </w:rPr>
        <w:t>Erstens</w:t>
      </w:r>
      <w:r>
        <w:rPr>
          <w:rFonts w:ascii="Arial" w:hAnsi="Arial"/>
          <w:b w:val="0"/>
          <w:i w:val="0"/>
          <w:sz w:val="19"/>
        </w:rPr>
        <w:t xml:space="preserve"> weist die Seite als Durchschnitt 658 Betroffene je Ereignis aus, während ihre eigenen Kopfzahlen 225.122 geteilt durch 519 und damit 434 ergeben; der ausgewiesene Durchschnitt ist nur erklärbar, wenn ihm rund 342 statt 519 Ereignisse zugrunde liegen. Die Seite vermerkt an anderer Stelle, Ereignisse ohne bezifferte Kopfzahl und reine Prozentangaben blieben in den Summen unberücksichtigt — die Bezugsmenge des Durchschnitts weist sie jedoch nicht aus, und die Einzelfallliste enthält tatsächlich Einträge mit der Kopfzahl „Unknown". </w:t>
      </w:r>
      <w:r>
        <w:rPr>
          <w:rFonts w:ascii="Arial" w:hAnsi="Arial"/>
          <w:b w:val="0"/>
          <w:i/>
          <w:sz w:val="19"/>
        </w:rPr>
        <w:t>Zweitens</w:t>
      </w:r>
      <w:r>
        <w:rPr>
          <w:rFonts w:ascii="Arial" w:hAnsi="Arial"/>
          <w:b w:val="0"/>
          <w:i w:val="0"/>
          <w:sz w:val="19"/>
        </w:rPr>
        <w:t xml:space="preserve">, und für die Kausalitätsfrage des § 2.3 erheblich: Die Gründeübersicht desselben Jahres summiert sich auf 527.144 Betroffene (Künstliche Intelligenz 179.542, Restrukturierung 177.020, Kostensenkung 91.835, strategische Neuausrichtung 19.158, Marktlage 18.851, Leistungsrückgang 16.957, Betriebsschließung 11.986, Zusammenschluss oder Übernahme 11.795) und damit auf das 2,34-Fache der Gesamtzahl von 225.122. Jedem Betroffenen sind folglich im Mittel mehr als zwei Gründe zugeordnet; die Einzelfallliste bestätigt das im Wortlaut ihrer Einträge („AI Restructuring", „AI Strategic Pivot Cost Cutting", „Outsourcing Cost Cutting"). Die vielzitierte Quote, 41 % der Ereignisse nennten Künstliche Intelligenz, ist damit eine Quote der </w:t>
      </w:r>
      <w:r>
        <w:rPr>
          <w:rFonts w:ascii="Arial" w:hAnsi="Arial"/>
          <w:b w:val="0"/>
          <w:i/>
          <w:sz w:val="19"/>
        </w:rPr>
        <w:t>Mitnennung</w:t>
      </w:r>
      <w:r>
        <w:rPr>
          <w:rFonts w:ascii="Arial" w:hAnsi="Arial"/>
          <w:b w:val="0"/>
          <w:i w:val="0"/>
          <w:sz w:val="19"/>
        </w:rPr>
        <w:t>, nicht der Ursächlichkeit — und sie lässt sich aus den veröffentlichten Zahlen nicht in eine Ursächlichkeitsquote überführen.</w:t>
      </w:r>
    </w:p>
    <w:p>
      <w:pPr>
        <w:jc w:val="both"/>
      </w:pPr>
      <w:r>
        <w:rPr>
          <w:rFonts w:ascii="Arial" w:hAnsi="Arial"/>
          <w:b w:val="0"/>
          <w:i/>
          <w:sz w:val="19"/>
        </w:rPr>
        <w:t>DisplaceIndex</w:t>
      </w:r>
      <w:r>
        <w:rPr>
          <w:rFonts w:ascii="Arial" w:hAnsi="Arial"/>
          <w:b w:val="0"/>
          <w:i w:val="0"/>
          <w:sz w:val="19"/>
        </w:rPr>
        <w:t xml:space="preserve"> steht den zwölften Tag still (unverändert 377.084 KI-attribuierte Streichungen seit Januar 2023, davon 251.128 im Technologiesektor; 57 berichtende Unternehmen gegen 50 gelistete Ereignisse — die Unstimmigkeit des Vortages besteht fort; jüngster Einzelfall weiterhin </w:t>
      </w:r>
      <w:r>
        <w:rPr>
          <w:rFonts w:ascii="Arial" w:hAnsi="Arial"/>
          <w:b w:val="0"/>
          <w:i/>
          <w:sz w:val="19"/>
        </w:rPr>
        <w:t>Uber</w:t>
      </w:r>
      <w:r>
        <w:rPr>
          <w:rFonts w:ascii="Arial" w:hAnsi="Arial"/>
          <w:b w:val="0"/>
          <w:i w:val="0"/>
          <w:sz w:val="19"/>
        </w:rPr>
        <w:t xml:space="preserve"> im September 2026, jüngster Wert der ausgewiesenen Verdrängungsquote weiterhin 0,5 % für Juli 2026). </w:t>
      </w:r>
      <w:r>
        <w:rPr>
          <w:rFonts w:ascii="Arial" w:hAnsi="Arial"/>
          <w:b w:val="0"/>
          <w:i/>
          <w:sz w:val="19"/>
        </w:rPr>
        <w:t>Job Security Meter</w:t>
      </w:r>
      <w:r>
        <w:rPr>
          <w:rFonts w:ascii="Arial" w:hAnsi="Arial"/>
          <w:b w:val="0"/>
          <w:i w:val="0"/>
          <w:sz w:val="19"/>
        </w:rPr>
        <w:t xml:space="preserve"> steht unverändert beim Erfassungsstand 18. September 2026 mit Ankündigungen bis zum 13. September 2026; das jüngste dort erfasste Ereignis ist damit elf Tage alt. Die Spreizung derselben Größe verschiebt sich durch den Block bei </w:t>
      </w:r>
      <w:r>
        <w:rPr>
          <w:rFonts w:ascii="Arial" w:hAnsi="Arial"/>
          <w:b w:val="0"/>
          <w:i/>
          <w:sz w:val="19"/>
        </w:rPr>
        <w:t>AskTheRecruiter</w:t>
      </w:r>
      <w:r>
        <w:rPr>
          <w:rFonts w:ascii="Arial" w:hAnsi="Arial"/>
          <w:b w:val="0"/>
          <w:i w:val="0"/>
          <w:sz w:val="19"/>
        </w:rPr>
        <w:t xml:space="preserve"> auf 69.361 / rund 128.500 / 179.542 und bleibt bei einem Verhältnis von rund 1 : 2,6. Die Folgerungen werden in § 9.2 gezogen.</w:t>
      </w:r>
    </w:p>
    <w:p>
      <w:pPr>
        <w:jc w:val="both"/>
      </w:pPr>
      <w:r>
        <w:rPr>
          <w:rFonts w:ascii="Arial" w:hAnsi="Arial"/>
          <w:b/>
          <w:i w:val="0"/>
          <w:sz w:val="19"/>
        </w:rPr>
        <w:t>Ein sechstes Zählwerk, und die Zähldefinition, die drei Sachverhalte zu einer Zahl verschmilzt.</w:t>
      </w:r>
      <w:r>
        <w:rPr>
          <w:rFonts w:ascii="Arial" w:hAnsi="Arial"/>
          <w:b w:val="0"/>
          <w:i w:val="0"/>
          <w:sz w:val="19"/>
        </w:rPr>
        <w:t xml:space="preserve"> Mit </w:t>
      </w:r>
      <w:r>
        <w:rPr>
          <w:rFonts w:ascii="Arial" w:hAnsi="Arial"/>
          <w:b w:val="0"/>
          <w:i/>
          <w:sz w:val="19"/>
        </w:rPr>
        <w:t>layoffs.fyi</w:t>
      </w:r>
      <w:r>
        <w:rPr>
          <w:rFonts w:ascii="Arial" w:hAnsi="Arial"/>
          <w:b w:val="0"/>
          <w:i w:val="0"/>
          <w:sz w:val="19"/>
        </w:rPr>
        <w:t xml:space="preserve"> ist bei diesem Lauf das in `Suchthemen.md` als bekannt geführte, bislang nicht erschlossene sechste Zählwerk abgerufen worden. Seine Kennzahlen sind maschinell nicht zu erheben — die Seite lädt sie erst im Browser nach und zeigt im Direktabruf lediglich </w:t>
      </w:r>
      <w:r>
        <w:rPr>
          <w:rFonts w:ascii="Arial" w:hAnsi="Arial"/>
          <w:b w:val="0"/>
          <w:i/>
          <w:sz w:val="19"/>
        </w:rPr>
        <w:t>„Loading…"</w:t>
      </w:r>
      <w:r>
        <w:rPr>
          <w:rFonts w:ascii="Arial" w:hAnsi="Arial"/>
          <w:b w:val="0"/>
          <w:i w:val="0"/>
          <w:sz w:val="19"/>
        </w:rPr>
        <w:t xml:space="preserve"> (Prüfvermerk nach § 2.4.4 `Validierung.md`). Erhebbar ist jedoch das, worauf es für die Bemessungsgrundlage ankommt: die Zähldefinition. Sie steht im Wortlaut in der Seite und lautet, gezählt würden </w:t>
      </w:r>
      <w:r>
        <w:rPr>
          <w:rFonts w:ascii="Arial" w:hAnsi="Arial"/>
          <w:b w:val="0"/>
          <w:i/>
          <w:sz w:val="19"/>
        </w:rPr>
        <w:t>„All layoffs that the company or press attributed to AI — to fund AI investment, replace humans with AI, or respond to AI-driven market disruption."</w:t>
      </w:r>
      <w:r>
        <w:rPr>
          <w:rFonts w:ascii="Arial" w:hAnsi="Arial"/>
          <w:b w:val="0"/>
          <w:i w:val="0"/>
          <w:sz w:val="19"/>
        </w:rPr>
        <w:t xml:space="preserve"> Damit führt dieses Zählwerk drei kausal verschiedene Sachverhalte in einer einzigen Zahl zusammen: Streichungen, um KI-Investitionen zu </w:t>
      </w:r>
      <w:r>
        <w:rPr>
          <w:rFonts w:ascii="Arial" w:hAnsi="Arial"/>
          <w:b w:val="0"/>
          <w:i/>
          <w:sz w:val="19"/>
        </w:rPr>
        <w:t>finanzieren</w:t>
      </w:r>
      <w:r>
        <w:rPr>
          <w:rFonts w:ascii="Arial" w:hAnsi="Arial"/>
          <w:b w:val="0"/>
          <w:i w:val="0"/>
          <w:sz w:val="19"/>
        </w:rPr>
        <w:t xml:space="preserve">; Streichungen, um Menschen durch KI zu </w:t>
      </w:r>
      <w:r>
        <w:rPr>
          <w:rFonts w:ascii="Arial" w:hAnsi="Arial"/>
          <w:b w:val="0"/>
          <w:i/>
          <w:sz w:val="19"/>
        </w:rPr>
        <w:t>ersetzen</w:t>
      </w:r>
      <w:r>
        <w:rPr>
          <w:rFonts w:ascii="Arial" w:hAnsi="Arial"/>
          <w:b w:val="0"/>
          <w:i w:val="0"/>
          <w:sz w:val="19"/>
        </w:rPr>
        <w:t xml:space="preserve">; und Streichungen als </w:t>
      </w:r>
      <w:r>
        <w:rPr>
          <w:rFonts w:ascii="Arial" w:hAnsi="Arial"/>
          <w:b w:val="0"/>
          <w:i/>
          <w:sz w:val="19"/>
        </w:rPr>
        <w:t>Reaktion</w:t>
      </w:r>
      <w:r>
        <w:rPr>
          <w:rFonts w:ascii="Arial" w:hAnsi="Arial"/>
          <w:b w:val="0"/>
          <w:i w:val="0"/>
          <w:sz w:val="19"/>
        </w:rPr>
        <w:t xml:space="preserve"> auf eine durch KI veränderte Marktlage. Nur der mittlere Fall ist Ersatz menschlicher Arbeit im Sinne der in § 2.2 entwickelten Kausalitätsfrage. Der erste ist der Sache nach das Gegenteil: Dort wird Arbeit nicht abgebaut, weil KI die Arbeit übernimmt, sondern damit das Unternehmen die KI bezahlen kann — ein Finanzierungs-, kein Substitutionsvorgang. Der dritte ist ein Nachfrageeffekt bei Dritten. Die Konsequenz für einen Steuertatbestand wird in § 9.2 gezogen.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jc w:val="both"/>
      </w:pPr>
      <w:r>
        <w:rPr>
          <w:rFonts w:ascii="Arial" w:hAnsi="Arial"/>
          <w:b/>
          <w:i w:val="0"/>
          <w:sz w:val="19"/>
        </w:rPr>
        <w:t>Die humanoide Robotik als Prüfstein der Definitionsfrage (September 2026).</w:t>
      </w:r>
      <w:r>
        <w:rPr>
          <w:rFonts w:ascii="Arial" w:hAnsi="Arial"/>
          <w:b w:val="0"/>
          <w:i w:val="0"/>
          <w:sz w:val="19"/>
        </w:rPr>
        <w:t xml:space="preserve"> Wie wenig die Definitionsfrage eine akademische ist, zeigt die einzige internationale Statistik, die sie verbindlich zu beantworten versucht. Für den am </w:t>
      </w:r>
      <w:r>
        <w:rPr>
          <w:rFonts w:ascii="Arial" w:hAnsi="Arial"/>
          <w:b w:val="0"/>
          <w:i/>
          <w:sz w:val="19"/>
        </w:rPr>
        <w:t>24. September 2026</w:t>
      </w:r>
      <w:r>
        <w:rPr>
          <w:rFonts w:ascii="Arial" w:hAnsi="Arial"/>
          <w:b w:val="0"/>
          <w:i w:val="0"/>
          <w:sz w:val="19"/>
        </w:rPr>
        <w:t xml:space="preserve"> erscheinenden Bericht </w:t>
      </w:r>
      <w:r>
        <w:rPr>
          <w:rFonts w:ascii="Arial" w:hAnsi="Arial"/>
          <w:b w:val="0"/>
          <w:i/>
          <w:sz w:val="19"/>
        </w:rPr>
        <w:t>World Robotics 2026</w:t>
      </w:r>
      <w:r>
        <w:rPr>
          <w:rFonts w:ascii="Arial" w:hAnsi="Arial"/>
          <w:b w:val="0"/>
          <w:i w:val="0"/>
          <w:sz w:val="19"/>
        </w:rPr>
        <w:t xml:space="preserve"> legt die </w:t>
      </w:r>
      <w:r>
        <w:rPr>
          <w:rFonts w:ascii="Arial" w:hAnsi="Arial"/>
          <w:b w:val="0"/>
          <w:i/>
          <w:sz w:val="19"/>
        </w:rPr>
        <w:t>International Federation of Robotics</w:t>
      </w:r>
      <w:r>
        <w:rPr>
          <w:rFonts w:ascii="Arial" w:hAnsi="Arial"/>
          <w:b w:val="0"/>
          <w:i w:val="0"/>
          <w:sz w:val="19"/>
        </w:rPr>
        <w:t xml:space="preserve"> (IFR, Internationale Föderation für Robotik) erstmals eine eigene Zählung humanoider Roboter vor; die Kernzahlen sind am </w:t>
      </w:r>
      <w:r>
        <w:rPr>
          <w:rFonts w:ascii="Arial" w:hAnsi="Arial"/>
          <w:b w:val="0"/>
          <w:i/>
          <w:sz w:val="19"/>
        </w:rPr>
        <w:t>21. September 2026</w:t>
      </w:r>
      <w:r>
        <w:rPr>
          <w:rFonts w:ascii="Arial" w:hAnsi="Arial"/>
          <w:b w:val="0"/>
          <w:i w:val="0"/>
          <w:sz w:val="19"/>
        </w:rPr>
        <w:t xml:space="preserve"> von der Nachrichtenagentur Reuters vorab berichtet worden. Als humanoid gilt danach ein Roboter nur, wenn er ein menschenähnliches Erscheinungsbild hat und in einer für Menschen gestalteten Umgebung autonom arbeitet — Beine sind ausdrücklich nicht erforderlich. Ausgenommen sind Verbraucher- und Militärgeräte; Medizinrobotik wird gesondert geführt. Nach dieser Definition sind im Jahr 2025 weltweit rund 7.000 humanoide Roboter für industrielle und professionelle Dienstleistungen verkauft worden — gegenüber 542.000 installierten Industrierobotern und 199.000 verkauften Servicerobotern im Jahr 2024. Susanne Bieller, Generalsekretärin der IFR, ordnet die Größe als „einen Bruchteil" des Gesamtbestands ein und weist darauf hin, dass viele der 2025 ausgelieferten Einheiten keine produktive Arbeit verrichtet hätten, sondern von Forschungseinrichtungen oder Unternehmen zur Entwicklung von KI-Modellen beschafft worden seien.</w:t>
      </w:r>
    </w:p>
    <w:p>
      <w:pPr>
        <w:jc w:val="both"/>
      </w:pPr>
      <w:r>
        <w:rPr>
          <w:rFonts w:ascii="Arial" w:hAnsi="Arial"/>
          <w:b w:val="0"/>
          <w:i w:val="0"/>
          <w:sz w:val="19"/>
        </w:rPr>
        <w:t xml:space="preserve">Für dieses Kapitel sind daran drei Punkte bemerkenswert. </w:t>
      </w:r>
      <w:r>
        <w:rPr>
          <w:rFonts w:ascii="Arial" w:hAnsi="Arial"/>
          <w:b w:val="0"/>
          <w:i/>
          <w:sz w:val="19"/>
        </w:rPr>
        <w:t>Erstens</w:t>
      </w:r>
      <w:r>
        <w:rPr>
          <w:rFonts w:ascii="Arial" w:hAnsi="Arial"/>
          <w:b w:val="0"/>
          <w:i w:val="0"/>
          <w:sz w:val="19"/>
        </w:rPr>
        <w:t xml:space="preserve"> beantwortet die IFR die Definitionsfrage genau umgekehrt zur Alltagsvorstellung: Nicht die Bauform entscheidet (Beine sind entbehrlich), sondern die Umgebung, für die das Gerät gebaut ist. Eine steuerrechtliche Anknüpfung an das „Menschenähnliche" liefe damit auf ein Merkmal hinaus, das die Fachstatistik selbst nicht als konstitutiv ansieht. </w:t>
      </w:r>
      <w:r>
        <w:rPr>
          <w:rFonts w:ascii="Arial" w:hAnsi="Arial"/>
          <w:b w:val="0"/>
          <w:i/>
          <w:sz w:val="19"/>
        </w:rPr>
        <w:t>Zweitens</w:t>
      </w:r>
      <w:r>
        <w:rPr>
          <w:rFonts w:ascii="Arial" w:hAnsi="Arial"/>
          <w:b w:val="0"/>
          <w:i w:val="0"/>
          <w:sz w:val="19"/>
        </w:rPr>
        <w:t xml:space="preserve"> trennt die IFR den Erwerb vom produktiven Einsatz — eine Unterscheidung, die für jeden Steuertatbestand vom Typ 1 (Stücksteuer pro Roboter, § 2.1) unmittelbar erheblich wäre, weil sie den Bestand von der substituierten Arbeit entkoppelt. </w:t>
      </w:r>
      <w:r>
        <w:rPr>
          <w:rFonts w:ascii="Arial" w:hAnsi="Arial"/>
          <w:b w:val="0"/>
          <w:i/>
          <w:sz w:val="19"/>
        </w:rPr>
        <w:t>Drittens</w:t>
      </w:r>
      <w:r>
        <w:rPr>
          <w:rFonts w:ascii="Arial" w:hAnsi="Arial"/>
          <w:b w:val="0"/>
          <w:i w:val="0"/>
          <w:sz w:val="19"/>
        </w:rPr>
        <w:t xml:space="preserve"> fällt die Größenordnung auf: Die Zahl verkaufter Humanoider liegt bei gut einem Prozent der jährlichen Industrieroboter-Installationen — wobei die Bezugsjahre auseinanderfallen, weil die Humanoiden-Zählung für 2025 vorliegt, die Vergleichsgrößen der IFR dagegen für 2024 —, während die Prognose eines Investmenthauses für 2026 bereits 90.000 Einheiten und für 2030 1,2 Millionen Einheiten nennt. Die Prognose ist als solche zu kennzeichnen und nicht mit der Erhebung zu vermengen; genau dieser Abstand zwischen gemessenem Bestand und erwarteter Entwicklung ist aber der Grund, warum die Debatte über eine Besteuerung physischer Automatisierung der physischen Automatisierung selbst derzeit deutlich vorausläuft (vgl. § 1.1 zur Verlagerung der beobachtbaren Verdrängung in kognitive Tätigkeiten und § 9.2 zur Messbarkeit).</w:t>
      </w:r>
    </w:p>
    <w:p>
      <w:pPr>
        <w:jc w:val="both"/>
      </w:pPr>
      <w:r>
        <w:rPr>
          <w:rFonts w:ascii="Arial" w:hAnsi="Arial"/>
          <w:b w:val="0"/>
          <w:i/>
          <w:sz w:val="19"/>
        </w:rPr>
        <w:t>Nachtrag (24. September 2026):</w:t>
      </w:r>
      <w:r>
        <w:rPr>
          <w:rFonts w:ascii="Arial" w:hAnsi="Arial"/>
          <w:b w:val="0"/>
          <w:i w:val="0"/>
          <w:sz w:val="19"/>
        </w:rPr>
        <w:t xml:space="preserve"> Der für diesen Tag angekündigte Bericht </w:t>
      </w:r>
      <w:r>
        <w:rPr>
          <w:rFonts w:ascii="Arial" w:hAnsi="Arial"/>
          <w:b w:val="0"/>
          <w:i/>
          <w:sz w:val="19"/>
        </w:rPr>
        <w:t>World Robotics 2026</w:t>
      </w:r>
      <w:r>
        <w:rPr>
          <w:rFonts w:ascii="Arial" w:hAnsi="Arial"/>
          <w:b w:val="0"/>
          <w:i w:val="0"/>
          <w:sz w:val="19"/>
        </w:rPr>
        <w:t xml:space="preserve"> ist zum Abruf am Stichtag nicht erschienen. Die Statistikseite der IFR führt unverändert die Daten des Vorjahresberichts, bietet den Bericht 2026 weiterhin zur Vorbestellung an und nennt den 24. September 2026 als Veröffentlichungstermin; die Übersichtsseite der Pressemitteilungen weist als jüngsten Eintrag den 2. Juli 2026 aus. Veröffentlicht hat die Föderation an diesem Tag stattdessen ein Positionspapier zur professionellen Servicerobotik (→ § 7.1). Die vorstehend referierten Vorabzahlen bleiben damit der aktuelle Stand und sind weiterhin als Vorabbericht gekennzeichnet. Methodisch ist anzumerken, dass der Pressebereich dieser Seite jeden beliebigen Unterpfad mit der jeweils jüngsten Meldung beantwortet — geprüft durch Abruf eines absichtlich nicht vergebenen Pfades, der dieselbe Meldung zurückgab. Ein Pfadname belegt dort also nicht, dass unter diesem Titel eine eigene Veröffentlichung vorliegt; für die Feststellung, ob eine angekündigte Statistik erschienen ist, ist deshalb die Statistikseite selbst heranzuziehen.</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jc w:val="both"/>
      </w:pPr>
      <w:r>
        <w:rPr>
          <w:rFonts w:ascii="Arial" w:hAnsi="Arial"/>
          <w:b/>
          <w:i w:val="0"/>
          <w:sz w:val="19"/>
        </w:rPr>
        <w:t>Fortschreibung auf Instrumentenebene (RAND, August/September 2026):</w:t>
      </w:r>
      <w:r>
        <w:rPr>
          <w:rFonts w:ascii="Arial" w:hAnsi="Arial"/>
          <w:b w:val="0"/>
          <w:i w:val="0"/>
          <w:sz w:val="19"/>
        </w:rPr>
        <w:t xml:space="preserve"> Der Befund von Acemoglu, Manera und Restrepo ist bislang ein Modellergebnis auf aggregierter Ebene — er benennt die Verzerrung zwischen den Faktoren, nicht die einzelnen Vorschriften, die sie erzeugen. Diese Lücke schließt eine Arbeit der </w:t>
      </w:r>
      <w:r>
        <w:rPr>
          <w:rFonts w:ascii="Arial" w:hAnsi="Arial"/>
          <w:b w:val="0"/>
          <w:i/>
          <w:sz w:val="19"/>
        </w:rPr>
        <w:t>RAND Corporation</w:t>
      </w:r>
      <w:r>
        <w:rPr>
          <w:rFonts w:ascii="Arial" w:hAnsi="Arial"/>
          <w:b w:val="0"/>
          <w:i w:val="0"/>
          <w:sz w:val="19"/>
        </w:rPr>
        <w:t xml:space="preserve">, die am 17. September 2026 in einem Interview mit dem Mitautor </w:t>
      </w:r>
      <w:r>
        <w:rPr>
          <w:rFonts w:ascii="Arial" w:hAnsi="Arial"/>
          <w:b w:val="0"/>
          <w:i/>
          <w:sz w:val="19"/>
        </w:rPr>
        <w:t>Carter C. Price</w:t>
      </w:r>
      <w:r>
        <w:rPr>
          <w:rFonts w:ascii="Arial" w:hAnsi="Arial"/>
          <w:b w:val="0"/>
          <w:i w:val="0"/>
          <w:sz w:val="19"/>
        </w:rPr>
        <w:t xml:space="preserve"> zusammengefasst worden ist. Grundlage ist das </w:t>
      </w:r>
      <w:r>
        <w:rPr>
          <w:rFonts w:ascii="Arial" w:hAnsi="Arial"/>
          <w:b w:val="0"/>
          <w:i/>
          <w:sz w:val="19"/>
        </w:rPr>
        <w:t>RAND Tax Code Analysis Tool</w:t>
      </w:r>
      <w:r>
        <w:rPr>
          <w:rFonts w:ascii="Arial" w:hAnsi="Arial"/>
          <w:b w:val="0"/>
          <w:i w:val="0"/>
          <w:sz w:val="19"/>
        </w:rPr>
        <w:t>, mit dem nach eigener Darstellung der gesamte US-Bundessteuerkodex von rund 7.000 Seiten Vorschrift für Vorschrift auf beschäftigungsrelevante Wirkungen durchgesehen worden ist. Als beschäftigungsfeindlich identifiziert werden dabei zwei Regelungskomplexe: der Arbeitgeberanteil der Lohnsummensteuer (</w:t>
      </w:r>
      <w:r>
        <w:rPr>
          <w:rFonts w:ascii="Arial" w:hAnsi="Arial"/>
          <w:b w:val="0"/>
          <w:i/>
          <w:sz w:val="19"/>
        </w:rPr>
        <w:t>employer payroll tax</w:t>
      </w:r>
      <w:r>
        <w:rPr>
          <w:rFonts w:ascii="Arial" w:hAnsi="Arial"/>
          <w:b w:val="0"/>
          <w:i w:val="0"/>
          <w:sz w:val="19"/>
        </w:rPr>
        <w:t>), der die Einstellung jeder zusätzlichen Arbeitskraft unmittelbar verteuert, und die Regeln zur vorgezogenen Abschreibung langlebiger Wirtschaftsgüter, die den Erwerb etwa eines Robotiksystems rechnerisch günstiger stellen, als es dem tatsächlichen Werteverzehr entspricht — nach der Formulierung der Autoren eine „direkte Subvention" für die Verdrängung menschlicher Arbeit. Damit liegt erstmals eine vorschriftengenaue Belegkette für die These vor, die Acemoglu, Manera und Restrepo 2020 modelltheoretisch entwickelt hatten (Konjunktivpflicht nach § 4.2 Claude.md, soweit es sich um Politikvorschläge handelt). Die begleitende Aufsatzfassung (</w:t>
      </w:r>
      <w:r>
        <w:rPr>
          <w:rFonts w:ascii="Arial" w:hAnsi="Arial"/>
          <w:b w:val="0"/>
          <w:i/>
          <w:sz w:val="19"/>
        </w:rPr>
        <w:t>Price &amp; Wenger</w:t>
      </w:r>
      <w:r>
        <w:rPr>
          <w:rFonts w:ascii="Arial" w:hAnsi="Arial"/>
          <w:b w:val="0"/>
          <w:i w:val="0"/>
          <w:sz w:val="19"/>
        </w:rPr>
        <w:t xml:space="preserve">, August 2026) beziffert die fiskalische Seite: Rund zwei Drittel — an anderer Stelle mit 65 Prozent angegeben — des US-Bundesaufkommens stammten aus dem Faktor Arbeit in Form von Lohnsummen- und Einkommensteuer; der Rest aus Konsum und Kapital. Weil langfristige Veräußerungsgewinne mit höchstens 20 Prozent gegenüber 37 Prozent auf Arbeitseinkommen belastet werden, falle der effektive Steuersatz auf das Volkseinkommen </w:t>
      </w:r>
      <w:r>
        <w:rPr>
          <w:rFonts w:ascii="Arial" w:hAnsi="Arial"/>
          <w:b w:val="0"/>
          <w:i/>
          <w:sz w:val="19"/>
        </w:rPr>
        <w:t>automatisch</w:t>
      </w:r>
      <w:r>
        <w:rPr>
          <w:rFonts w:ascii="Arial" w:hAnsi="Arial"/>
          <w:b w:val="0"/>
          <w:i w:val="0"/>
          <w:sz w:val="19"/>
        </w:rPr>
        <w:t>, sobald Künstliche Intelligenz Einkommen von Arbeit zu Kapital verschiebe — die Aufkommenserosion setze also nicht erst mit Arbeitsplatzverlusten ein, sondern bereits mit der Verschiebung der Faktoranteile. Die zugrunde liegende Szenarienrechnung (</w:t>
      </w:r>
      <w:r>
        <w:rPr>
          <w:rFonts w:ascii="Arial" w:hAnsi="Arial"/>
          <w:b w:val="0"/>
          <w:i/>
          <w:sz w:val="19"/>
        </w:rPr>
        <w:t>Price &amp; Suresh</w:t>
      </w:r>
      <w:r>
        <w:rPr>
          <w:rFonts w:ascii="Arial" w:hAnsi="Arial"/>
          <w:b w:val="0"/>
          <w:i w:val="0"/>
          <w:sz w:val="19"/>
        </w:rPr>
        <w:t xml:space="preserve">, 25. August 2026; Vorfassung November 2025) präzisiert das: 2024 stammten 84 Prozent des US-Bundesaufkommens aus Einkommen- oder Lohnsummensteuer, beide am Arbeitseinkommen erhoben; wegen der Konzentration hoher Einkommen in gut bezahlten Bürotätigkeiten träfe deren Ersetzung das Aufkommen überproportional; selbst bei gelingender Wiederbeschäftigung zu vergleichbaren Bezügen entspräche der fiskalische Schock dem einer Rezession; und die Mehreinnahmen aus höheren Unternehmensgewinnen glichen die Ausfälle </w:t>
      </w:r>
      <w:r>
        <w:rPr>
          <w:rFonts w:ascii="Arial" w:hAnsi="Arial"/>
          <w:b w:val="0"/>
          <w:i/>
          <w:sz w:val="19"/>
        </w:rPr>
        <w:t>nicht</w:t>
      </w:r>
      <w:r>
        <w:rPr>
          <w:rFonts w:ascii="Arial" w:hAnsi="Arial"/>
          <w:b w:val="0"/>
          <w:i w:val="0"/>
          <w:sz w:val="19"/>
        </w:rPr>
        <w:t xml:space="preserve"> aus — dafür müsste der Körperschaftsteuersatz etwa verdoppelt werden, um auf das Belastungsniveau von Arbeitseinkommen zu kommen. Als Modellergebnis unter definierten Annahmen, nicht als Prognose, ist ferner der Gegenfall festzuhalten: Seien hochleistungsfähige Systeme breit zu ihren Inferenzkosten verfügbar, könnten viele Anbieter von margenlosen KI-Leistungen unterboten werden; die daraus folgende KI-induzierte Deflation würde dann </w:t>
      </w:r>
      <w:r>
        <w:rPr>
          <w:rFonts w:ascii="Arial" w:hAnsi="Arial"/>
          <w:b w:val="0"/>
          <w:i/>
          <w:sz w:val="19"/>
        </w:rPr>
        <w:t>auch</w:t>
      </w:r>
      <w:r>
        <w:rPr>
          <w:rFonts w:ascii="Arial" w:hAnsi="Arial"/>
          <w:b w:val="0"/>
          <w:i w:val="0"/>
          <w:sz w:val="19"/>
        </w:rPr>
        <w:t xml:space="preserve"> das Körperschaftsteueraufkommen mindern, so dass beide Bemessungsgrundlagen zugleich schrumpften. Für die Rezeption in diesem Papier ist die Übertragbarkeit einzugrenzen: Die Befunde gelten für den US-Bundeshaushalt, dessen Aufkommen anders als das deutsche nicht durch eine Umsatzsteuer auf Konsum stabilisiert wird — die Vereinigten Staaten sind nach Angabe der Autoren der einzige OECD-Staat ohne bundesstaatliche Mehrwertsteuer. Die instrumentenbezogene Aussage über Lohnsummenabgaben und Abschreibungsregeln ist dagegen strukturähnlich auf die deutsche Lage übertragbar (→ § 4.2, § 5.1); die fiskalischen Größenordnungen sind es nicht.</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Kleven &amp; Zidar (September 2026):</w:t>
      </w:r>
      <w:r>
        <w:rPr>
          <w:rFonts w:ascii="Arial" w:hAnsi="Arial"/>
          <w:b w:val="0"/>
          <w:i w:val="0"/>
          <w:sz w:val="19"/>
        </w:rPr>
        <w:t xml:space="preserve"> Henrik Kleven und Owen M. Zidar (beide Princeton University) kehren in „Automation and Optimal Taxation: A Task-Based Theory" (NBER Working Paper 35747, Ausgabe September 2026) die übliche Fragestellung der Robotersteuer-Literatur um. Nicht die Besteuerung der Maschinen steht im Mittelpunkt, sondern die Frage, wie Automatisierung die optimale Besteuerung von </w:t>
      </w:r>
      <w:r>
        <w:rPr>
          <w:rFonts w:ascii="Arial" w:hAnsi="Arial"/>
          <w:b w:val="0"/>
          <w:i/>
          <w:sz w:val="19"/>
        </w:rPr>
        <w:t>Arbeits- und Kapitaleinkommen</w:t>
      </w:r>
      <w:r>
        <w:rPr>
          <w:rFonts w:ascii="Arial" w:hAnsi="Arial"/>
          <w:b w:val="0"/>
          <w:i w:val="0"/>
          <w:sz w:val="19"/>
        </w:rPr>
        <w:t xml:space="preserve"> verändert. Das Modell verbindet eine aufgabenbasierte Produktionstechnologie (</w:t>
      </w:r>
      <w:r>
        <w:rPr>
          <w:rFonts w:ascii="Arial" w:hAnsi="Arial"/>
          <w:b w:val="0"/>
          <w:i/>
          <w:sz w:val="19"/>
        </w:rPr>
        <w:t>task-based framework</w:t>
      </w:r>
      <w:r>
        <w:rPr>
          <w:rFonts w:ascii="Arial" w:hAnsi="Arial"/>
          <w:b w:val="0"/>
          <w:i w:val="0"/>
          <w:sz w:val="19"/>
        </w:rPr>
        <w:t xml:space="preserve">, § 3.1) mit einem Arbeitsangebot an der extensiven Marge — die Beschäftigten entscheiden über die Erwerbsbeteiligung, nicht über die Stundenzahl (nach Saez 2002) —, weshalb der Arbeitsteuertarif hier die Gestalt berufsspezifischer </w:t>
      </w:r>
      <w:r>
        <w:rPr>
          <w:rFonts w:ascii="Arial" w:hAnsi="Arial"/>
          <w:b w:val="0"/>
          <w:i/>
          <w:sz w:val="19"/>
        </w:rPr>
        <w:t>Partizipationssteuersätze</w:t>
      </w:r>
      <w:r>
        <w:rPr>
          <w:rFonts w:ascii="Arial" w:hAnsi="Arial"/>
          <w:b w:val="0"/>
          <w:i w:val="0"/>
          <w:sz w:val="19"/>
        </w:rPr>
        <w:t xml:space="preserve"> annimmt, also der Belastung des Übergangs von Nichtbeschäftigung in Beschäftigung. Aufgaben sind vom unteren Ende der Qualifikationsverteilung bis zu einer Schwelle automatisierbar; dort sind Arbeit und Maschinen vollkommene Substitute, oberhalb der Schwelle konkurrieren Maschinen nicht. Die Maschinen werden von einer Klasse von Kapitaleignern mit endlicher Angebotselastizität bereitgestellt. Das zentrale theoretische Ergebnis lautet, dass die optimalen Steuerformeln trotz durchgängiger allgemeiner Gleichgewichtswirkungen ihre partialanalytische Gestalt behielten: Die Inzidenzeffekte verschwänden nicht, sie verlören lediglich ihre steuerpolitische Relevanz, weil berufsspezifische Arbeitsteuern und eine Kapitalsteuer sie neutralisieren könnten. Die Steuer</w:t>
      </w:r>
      <w:r>
        <w:rPr>
          <w:rFonts w:ascii="Arial" w:hAnsi="Arial"/>
          <w:b w:val="0"/>
          <w:i/>
          <w:sz w:val="19"/>
        </w:rPr>
        <w:t>sätze</w:t>
      </w:r>
      <w:r>
        <w:rPr>
          <w:rFonts w:ascii="Arial" w:hAnsi="Arial"/>
          <w:b w:val="0"/>
          <w:i w:val="0"/>
          <w:sz w:val="19"/>
        </w:rPr>
        <w:t xml:space="preserve"> änderten sich dagegen erheblich. In der Kalibrierung auf die US-Lohnverteilung und die dortige Automatisierungsexposition (26 % der Aufgaben automatisierbar) falle der optimale Tarif deutlich progressiver aus als in der partialanalytischen Vergleichsrechnung: Die Lohnsubvention am unteren Ende — im US-Kontext der </w:t>
      </w:r>
      <w:r>
        <w:rPr>
          <w:rFonts w:ascii="Arial" w:hAnsi="Arial"/>
          <w:b w:val="0"/>
          <w:i/>
          <w:sz w:val="19"/>
        </w:rPr>
        <w:t>Earned Income Tax Credit</w:t>
      </w:r>
      <w:r>
        <w:rPr>
          <w:rFonts w:ascii="Arial" w:hAnsi="Arial"/>
          <w:b w:val="0"/>
          <w:i w:val="0"/>
          <w:sz w:val="19"/>
        </w:rPr>
        <w:t xml:space="preserve"> (EITC), eine als Steuergutschrift ausgezahlte Erwerbstätigenförderung — steige von rund 36 % auf 77 % des Erwerbseinkommens, und ihr Geltungsbereich weite sich von den untersten 7 % auf das unterste Viertel der Lohnverteilung aus; oberhalb der Automatisierungsschwelle stiegen die Partizipationssteuersätze von rund 38 % auf rund 47 %. Sämtliche Werte sind Modellergebnisse unter definierten Annahmen und keine politischen Empfehlungen (§ 4.2 Claude.md). Für die hier geführte Debatte sind zwei Befunde einschlägig. </w:t>
      </w:r>
      <w:r>
        <w:rPr>
          <w:rFonts w:ascii="Arial" w:hAnsi="Arial"/>
          <w:b w:val="0"/>
          <w:i/>
          <w:sz w:val="19"/>
        </w:rPr>
        <w:t>Erstens</w:t>
      </w:r>
      <w:r>
        <w:rPr>
          <w:rFonts w:ascii="Arial" w:hAnsi="Arial"/>
          <w:b w:val="0"/>
          <w:i w:val="0"/>
          <w:sz w:val="19"/>
        </w:rPr>
        <w:t xml:space="preserve"> liegt die Maschinenintensität im Optimum nicht am unteren Rand der Verteilung, sondern in ihrer Mitte: Sie erreiche ihr Maximum am 41. Perzentil der Lohnverteilung, wo Maschinen einen Wertschöpfungsanteil von rund 56 % auf sich vereinigten. Die größten Beschäftigungs- und Einkommensverluste träfen damit nicht die geringstqualifizierten Tätigkeiten, sondern die mittleren Lagen — die Autoren sprechen ausdrücklich von einem </w:t>
      </w:r>
      <w:r>
        <w:rPr>
          <w:rFonts w:ascii="Arial" w:hAnsi="Arial"/>
          <w:b w:val="0"/>
          <w:i/>
          <w:sz w:val="19"/>
        </w:rPr>
        <w:t>hollowing out of the middle class</w:t>
      </w:r>
      <w:r>
        <w:rPr>
          <w:rFonts w:ascii="Arial" w:hAnsi="Arial"/>
          <w:b w:val="0"/>
          <w:i w:val="0"/>
          <w:sz w:val="19"/>
        </w:rPr>
        <w:t xml:space="preserve">. Das Modellergebnis stützt aus einer unabhängigen Modellklasse die in § 8.1 geführte Beobachtung zur Aushöhlung der mittleren Einkommensschicht. </w:t>
      </w:r>
      <w:r>
        <w:rPr>
          <w:rFonts w:ascii="Arial" w:hAnsi="Arial"/>
          <w:b w:val="0"/>
          <w:i/>
          <w:sz w:val="19"/>
        </w:rPr>
        <w:t>Zweitens</w:t>
      </w:r>
      <w:r>
        <w:rPr>
          <w:rFonts w:ascii="Arial" w:hAnsi="Arial"/>
          <w:b w:val="0"/>
          <w:i w:val="0"/>
          <w:sz w:val="19"/>
        </w:rPr>
        <w:t xml:space="preserve"> sei die optimale Kapitaleinkommensteuer von der Automatisierung </w:t>
      </w:r>
      <w:r>
        <w:rPr>
          <w:rFonts w:ascii="Arial" w:hAnsi="Arial"/>
          <w:b w:val="0"/>
          <w:i/>
          <w:sz w:val="19"/>
        </w:rPr>
        <w:t>unberührt</w:t>
      </w:r>
      <w:r>
        <w:rPr>
          <w:rFonts w:ascii="Arial" w:hAnsi="Arial"/>
          <w:b w:val="0"/>
          <w:i w:val="0"/>
          <w:sz w:val="19"/>
        </w:rPr>
        <w:t xml:space="preserve"> und hänge allein von der Kapitalangebotselastizität ab: Bei einer langfristigen Elastizität von eins läge sie bei 50 %, bei einer Elastizität von 0,5 bei 67 % und bei einer Elastizität von fünf bei 17 %. Die Autoren heben hervor, dass dieser Satz die in der Robotersteuer-Literatur ermittelten Größenordnungen — Guerreiro/Rebelo/Teles nur im Übergang, Thuemmel klein und im Vorzeichen unbestimmt, Costinot &amp; Werning rund 4 % — deutlich übersteige, die Begründung aber eine gänzlich andere sei: Es gehe um Rentenabschöpfung bei den Kapitaleignern, nicht um eine Verletzung der Produktionseffizienz. Das Papier ordnet sich damit in Typ 4 der Typologie aus § 2.1 ein (Verschiebung der relativen Steuerlast) und gerade nicht in Typ 1 oder Typ 5. Einschränkend gilt: Die Kalibrierung folgt US-Daten, Berufswechsel und Umschulung sind ausgeklammert, und nur die extensive Arbeitsangebotsmarge ist abgebildet — die Autoren führen selbst aus, dass die Sprungstelle des optimalen Tarifs an der Automatisierungsschwelle ein Artefakt dieser Vereinfachung sei und in einem Modell mit beruflichem Aufstieg einem steilen, aber stetigen Abschnitt weichen dürfte. Eine Übertragung auf deutsche Verhältnisse verbietet sich nach § 4.3 Claude.md ohne eigene Kalibrierung; die institutionelle Entsprechung des EITC ist in Deutschland ohnehin nicht als Steuergutschrift, sondern über Transfer- und Hinzuverdienstregeln organisiert.</w:t>
      </w:r>
    </w:p>
    <w:p>
      <w:pPr>
        <w:jc w:val="both"/>
      </w:pPr>
      <w:r>
        <w:rPr>
          <w:rFonts w:ascii="Arial" w:hAnsi="Arial"/>
          <w:b/>
          <w:i w:val="0"/>
          <w:sz w:val="19"/>
        </w:rPr>
        <w:t>Growiec, Prettner &amp; Szkróbka (September 2026):</w:t>
      </w:r>
      <w:r>
        <w:rPr>
          <w:rFonts w:ascii="Arial" w:hAnsi="Arial"/>
          <w:b w:val="0"/>
          <w:i w:val="0"/>
          <w:sz w:val="19"/>
        </w:rPr>
        <w:t xml:space="preserve"> Jakub Growiec, Klaus Prettner und Maciej Szkróbka legen mit „Redistributive Policies for the Times of Transformative AI" (arXiv 2609.14750, eingereicht am 13. September 2026) keine neue Modellrechnung, sondern eine Systematisierung vor: Sie ordnen die für eine Ära </w:t>
      </w:r>
      <w:r>
        <w:rPr>
          <w:rFonts w:ascii="Arial" w:hAnsi="Arial"/>
          <w:b w:val="0"/>
          <w:i/>
          <w:sz w:val="19"/>
        </w:rPr>
        <w:t>transformativer</w:t>
      </w:r>
      <w:r>
        <w:rPr>
          <w:rFonts w:ascii="Arial" w:hAnsi="Arial"/>
          <w:b w:val="0"/>
          <w:i w:val="0"/>
          <w:sz w:val="19"/>
        </w:rPr>
        <w:t xml:space="preserve"> Künstlicher Intelligenz vorgeschlagenen Umverteilungsinstrumente in einen gemeinsamen theoretischen Rahmen ein. Die Ausgangsannahme entspricht dem in § 3.5 referierten Befundmuster — breit angelegte Automatisierung senke die Lohnquote und erhöhe Einkommens- und Vermögensungleichheit; das Wachstum beschleunige sich zwar, doch fiele der Zugewinn überwiegend einem schmalen Kreis von Personen und Unternehmen zu, so dass die Ungleichheit ohne umverteilende Politik auf ein in der Industrieökonomie unbekanntes Niveau steigen könne. Der Instrumentenkatalog, den die Autoren prüfen, ist dabei erheblich breiter als der in der Robotersteuer-Literatur übliche: ein bedingungsloses Grundeinkommen (§ 5.3), ein allgemeines Basiskapital (</w:t>
      </w:r>
      <w:r>
        <w:rPr>
          <w:rFonts w:ascii="Arial" w:hAnsi="Arial"/>
          <w:b w:val="0"/>
          <w:i/>
          <w:sz w:val="19"/>
        </w:rPr>
        <w:t>universal basic capital</w:t>
      </w:r>
      <w:r>
        <w:rPr>
          <w:rFonts w:ascii="Arial" w:hAnsi="Arial"/>
          <w:b w:val="0"/>
          <w:i w:val="0"/>
          <w:sz w:val="19"/>
        </w:rPr>
        <w:t>), staatlich ausgegebene Berechtigungen für Rechenleistung und Roboter sowie Steuern auf Kapital, Rechenleistung, Roboter, Token, Boden, Energie, Konsum und Vermögen. Ihr Ergebnis lautet, dass diejenigen Instrumente die Ungleichheit am ehesten dauerhaft senken dürften, die die Renten aus dem Kapital — einschließlich Rechenleistung und Robotern — breit verteilten, namentlich ein Basiskapital oder ein über Kapitalsteuern finanziertes Grundeinkommen; sämtliche Aussagen sind Ergebnisse eines Literaturvergleichs unter den Annahmen der referierten Modelle und im Konjunktiv nach § 4.2 Claude.md zu lesen.</w:t>
      </w:r>
    </w:p>
    <w:p>
      <w:pPr>
        <w:jc w:val="both"/>
      </w:pPr>
      <w:r>
        <w:rPr>
          <w:rFonts w:ascii="Arial" w:hAnsi="Arial"/>
          <w:b w:val="0"/>
          <w:i w:val="0"/>
          <w:sz w:val="19"/>
        </w:rPr>
        <w:t xml:space="preserve">Für die hier geführte Debatte ist die Arbeit in drei Hinsichten einschlägig. </w:t>
      </w:r>
      <w:r>
        <w:rPr>
          <w:rFonts w:ascii="Arial" w:hAnsi="Arial"/>
          <w:b w:val="0"/>
          <w:i/>
          <w:sz w:val="19"/>
        </w:rPr>
        <w:t>Erstens</w:t>
      </w:r>
      <w:r>
        <w:rPr>
          <w:rFonts w:ascii="Arial" w:hAnsi="Arial"/>
          <w:b w:val="0"/>
          <w:i w:val="0"/>
          <w:sz w:val="19"/>
        </w:rPr>
        <w:t xml:space="preserve"> führt sie mit den staatlich ausgegebenen Berechtigungen für Rechenleistung und Roboter erstmals ein </w:t>
      </w:r>
      <w:r>
        <w:rPr>
          <w:rFonts w:ascii="Arial" w:hAnsi="Arial"/>
          <w:b w:val="0"/>
          <w:i/>
          <w:sz w:val="19"/>
        </w:rPr>
        <w:t>mengensteuerndes</w:t>
      </w:r>
      <w:r>
        <w:rPr>
          <w:rFonts w:ascii="Arial" w:hAnsi="Arial"/>
          <w:b w:val="0"/>
          <w:i w:val="0"/>
          <w:sz w:val="19"/>
        </w:rPr>
        <w:t xml:space="preserve"> Instrument in die Übersicht ein, das sich der Typologie aus § 2.1 nicht zuordnen lässt, weil diese fünf Typen sämtlich Preisinstrumente sind; die Typologie bleibt davon unberührt, weil sie ausdrücklich die Spielarten der „Robotersteuer" und nicht den gesamten Instrumentenraum ordnet. </w:t>
      </w:r>
      <w:r>
        <w:rPr>
          <w:rFonts w:ascii="Arial" w:hAnsi="Arial"/>
          <w:b w:val="0"/>
          <w:i/>
          <w:sz w:val="19"/>
        </w:rPr>
        <w:t>Zweitens</w:t>
      </w:r>
      <w:r>
        <w:rPr>
          <w:rFonts w:ascii="Arial" w:hAnsi="Arial"/>
          <w:b w:val="0"/>
          <w:i w:val="0"/>
          <w:sz w:val="19"/>
        </w:rPr>
        <w:t xml:space="preserve"> benennt die Arbeit Rechenleistung und Token als eigenständige Bemessungsgrundlagen und trifft damit die in § 9.1 behandelte Abgrenzungsfrage von einer anderen Seite: Beide Größen sind maschinell exakt zählbar, hängen aber nicht von der Verdrängung menschlicher Arbeit ab, sondern vom technischen Aufwand — eine Steuer auf sie träfe die arbeitsergänzende Anwendung ebenso wie die arbeitsersetzende. </w:t>
      </w:r>
      <w:r>
        <w:rPr>
          <w:rFonts w:ascii="Arial" w:hAnsi="Arial"/>
          <w:b w:val="0"/>
          <w:i/>
          <w:sz w:val="19"/>
        </w:rPr>
        <w:t>Drittens</w:t>
      </w:r>
      <w:r>
        <w:rPr>
          <w:rFonts w:ascii="Arial" w:hAnsi="Arial"/>
          <w:b w:val="0"/>
          <w:i w:val="0"/>
          <w:sz w:val="19"/>
        </w:rPr>
        <w:t xml:space="preserve"> liegt der Schwerpunkt der Empfehlung auf der Teilhabe am Kapitalertrag und nicht auf einer Abgabe am Verdrängungsvorgang; das stützt die dritte Säule der in Kapitel 8 entwickelten These (§ 8.3, § 5.4), wählt für deren Finanzierung aber einen anderen Weg als die dort vorgeschlagene Wertschöpfungsabgabe (§ 5.1), nämlich die Kapitalbesteuerung. Einschränkend ist zweierlei festzuhalten: Die Übersicht steht unter der doppelten Bedingung, dass transformative Künstliche Intelligenz überhaupt eintritt und dass sie im Sinne der Autoren mit menschlichen Zielsetzungen in Einklang steht — beides sind Annahmen, keine Befunde —, und das Papier ist ein Preprint ohne Begutachtung. Bemerkenswert ist schließlich, dass Klaus Prettner, der 2022 gemeinsam mit Emanuel Gasteiger vor stagnationsverschärfenden Wirkungen einer Robotersteuer gewarnt hatte (siehe oben), hier eine Linie mitträgt, die nicht die Maschine, sondern den Kapitalertrag adressiert — die beiden Positionen widersprechen einander nicht, sondern markieren denselben Vorbehalt gegen eine Belastung des Automatisierungskapitals, den auch Korinek und Lockwood formulieren.</w:t>
      </w:r>
    </w:p>
    <w:p>
      <w:pPr>
        <w:jc w:val="both"/>
      </w:pPr>
      <w:r>
        <w:rPr>
          <w:rFonts w:ascii="Arial" w:hAnsi="Arial"/>
          <w:b/>
          <w:i w:val="0"/>
          <w:sz w:val="19"/>
        </w:rPr>
        <w:t>Internationaler Währungsfonds (April 2026):</w:t>
      </w:r>
      <w:r>
        <w:rPr>
          <w:rFonts w:ascii="Arial" w:hAnsi="Arial"/>
          <w:b w:val="0"/>
          <w:i w:val="0"/>
          <w:sz w:val="19"/>
        </w:rPr>
        <w:t xml:space="preserve"> Neben der akademischen Literatur liegt seit April 2026 erstmals eine zusammenhängende Positionsbestimmung des </w:t>
      </w:r>
      <w:r>
        <w:rPr>
          <w:rFonts w:ascii="Arial" w:hAnsi="Arial"/>
          <w:b w:val="0"/>
          <w:i/>
          <w:sz w:val="19"/>
        </w:rPr>
        <w:t>Internationalen Währungsfonds</w:t>
      </w:r>
      <w:r>
        <w:rPr>
          <w:rFonts w:ascii="Arial" w:hAnsi="Arial"/>
          <w:b w:val="0"/>
          <w:i w:val="0"/>
          <w:sz w:val="19"/>
        </w:rPr>
        <w:t xml:space="preserve"> (International Monetary Fund, IWF) zur Steuerfrage vor. Ein elfköpfiges Autorenteam um Natalia Tamirisa unter der Leitung von Era Dabla-Norris legt mit „Global Economic and Financial Implications of Artificial Intelligence: Lessons from a Scenario-Planning Exercise" (IMF Note 2026/002) die Ergebnisse eines Fachgesprächs vom 10. und 11. Dezember 2025 vor, das der Fonds gemeinsam mit der von Anton Korinek geleiteten </w:t>
      </w:r>
      <w:r>
        <w:rPr>
          <w:rFonts w:ascii="Arial" w:hAnsi="Arial"/>
          <w:b w:val="0"/>
          <w:i/>
          <w:sz w:val="19"/>
        </w:rPr>
        <w:t>Economics of Transformative AI Initiative</w:t>
      </w:r>
      <w:r>
        <w:rPr>
          <w:rFonts w:ascii="Arial" w:hAnsi="Arial"/>
          <w:b w:val="0"/>
          <w:i w:val="0"/>
          <w:sz w:val="19"/>
        </w:rPr>
        <w:t xml:space="preserve"> der University of Virginia veranstaltet hat. Untersucht werden zwei Diffusionspfade über einen Fünfjahreshorizont bei gleicher Annahme rasch fortschreitender Modellfähigkeiten: ein </w:t>
      </w:r>
      <w:r>
        <w:rPr>
          <w:rFonts w:ascii="Arial" w:hAnsi="Arial"/>
          <w:b w:val="0"/>
          <w:i/>
          <w:sz w:val="19"/>
        </w:rPr>
        <w:t>Basispfad</w:t>
      </w:r>
      <w:r>
        <w:rPr>
          <w:rFonts w:ascii="Arial" w:hAnsi="Arial"/>
          <w:b w:val="0"/>
          <w:i w:val="0"/>
          <w:sz w:val="19"/>
        </w:rPr>
        <w:t xml:space="preserve"> mit ungleichmäßiger, durch Regulierung, Infrastruktur und betriebliche Reibungen gebremster Verbreitung und ein Pfad </w:t>
      </w:r>
      <w:r>
        <w:rPr>
          <w:rFonts w:ascii="Arial" w:hAnsi="Arial"/>
          <w:b w:val="0"/>
          <w:i/>
          <w:sz w:val="19"/>
        </w:rPr>
        <w:t>entfesselter Verbreitung</w:t>
      </w:r>
      <w:r>
        <w:rPr>
          <w:rFonts w:ascii="Arial" w:hAnsi="Arial"/>
          <w:b w:val="0"/>
          <w:i w:val="0"/>
          <w:sz w:val="19"/>
        </w:rPr>
        <w:t xml:space="preserve"> („runaway diffusion") mit breiter Automatisierung in Industrie und Dienstleistungen und zeitlich vorgezogener Verdrängung. Für die hier geführte Debatte sind vier Aussagen einschlägig. </w:t>
      </w:r>
      <w:r>
        <w:rPr>
          <w:rFonts w:ascii="Arial" w:hAnsi="Arial"/>
          <w:b w:val="0"/>
          <w:i/>
          <w:sz w:val="19"/>
        </w:rPr>
        <w:t>Erstens</w:t>
      </w:r>
      <w:r>
        <w:rPr>
          <w:rFonts w:ascii="Arial" w:hAnsi="Arial"/>
          <w:b w:val="0"/>
          <w:i w:val="0"/>
          <w:sz w:val="19"/>
        </w:rPr>
        <w:t xml:space="preserve"> erwartet der Fonds eine Erosion der arbeitsbezogenen Steuerbasis: Rückgänge bei Beschäftigung und Lohneinkommen schwächten die Bemessungsgrundlage der persönlichen Einkommensteuer, und zwar auch dann, wenn die Löhne der verbleibenden Beschäftigten stiegen. </w:t>
      </w:r>
      <w:r>
        <w:rPr>
          <w:rFonts w:ascii="Arial" w:hAnsi="Arial"/>
          <w:b w:val="0"/>
          <w:i/>
          <w:sz w:val="19"/>
        </w:rPr>
        <w:t>Zweitens</w:t>
      </w:r>
      <w:r>
        <w:rPr>
          <w:rFonts w:ascii="Arial" w:hAnsi="Arial"/>
          <w:b w:val="0"/>
          <w:i w:val="0"/>
          <w:sz w:val="19"/>
        </w:rPr>
        <w:t xml:space="preserve"> könne eine Verlagerung von der Arbeit auf das Kapital über höhere Unternehmensteuern diese Ausfälle angesichts von Kapitalmobilität, Marktkonzentration und internationalem Steuerwettbewerb nur teilweise ausgleichen — ein Befund, der die in § 9.3 referierte Einschränkung bestätigt. </w:t>
      </w:r>
      <w:r>
        <w:rPr>
          <w:rFonts w:ascii="Arial" w:hAnsi="Arial"/>
          <w:b w:val="0"/>
          <w:i/>
          <w:sz w:val="19"/>
        </w:rPr>
        <w:t>Drittens</w:t>
      </w:r>
      <w:r>
        <w:rPr>
          <w:rFonts w:ascii="Arial" w:hAnsi="Arial"/>
          <w:b w:val="0"/>
          <w:i w:val="0"/>
          <w:sz w:val="19"/>
        </w:rPr>
        <w:t xml:space="preserve"> rät der Fonds ausdrücklich von pauschalen Robotersteuern („blunt robot taxes") ab und empfiehlt stattdessen, die Steuersysteme auf die Erfassung </w:t>
      </w:r>
      <w:r>
        <w:rPr>
          <w:rFonts w:ascii="Arial" w:hAnsi="Arial"/>
          <w:b w:val="0"/>
          <w:i/>
          <w:sz w:val="19"/>
        </w:rPr>
        <w:t>ökonomischer Renten</w:t>
      </w:r>
      <w:r>
        <w:rPr>
          <w:rFonts w:ascii="Arial" w:hAnsi="Arial"/>
          <w:b w:val="0"/>
          <w:i w:val="0"/>
          <w:sz w:val="19"/>
        </w:rPr>
        <w:t xml:space="preserve"> auszurichten, die Kapitaleinkommensbesteuerung auf der Ebene der natürlichen Personen mit Sicherungen gegen Basiserosion zu stärken und die Steuerverwaltung selbst KI-gestützt zu ertüchtigen. </w:t>
      </w:r>
      <w:r>
        <w:rPr>
          <w:rFonts w:ascii="Arial" w:hAnsi="Arial"/>
          <w:b w:val="0"/>
          <w:i/>
          <w:sz w:val="19"/>
        </w:rPr>
        <w:t>Viertens</w:t>
      </w:r>
      <w:r>
        <w:rPr>
          <w:rFonts w:ascii="Arial" w:hAnsi="Arial"/>
          <w:b w:val="0"/>
          <w:i w:val="0"/>
          <w:sz w:val="19"/>
        </w:rPr>
        <w:t xml:space="preserve"> verlören beschäftigungsgebundene Sozialversicherungssysteme bei rascher Verbreitung an Wirksamkeit; nötig seien schnell skalierbare Transfersysteme mit schwächerer Bindung an den Erwerbsstatus, in zugespitzten Fällen bis hin zu Programmen nach Art eines bedingungslosen Grundeinkommens (§ 5.3). Ausdrücklich benannt wird eine Asymmetrie, die für die in Kapitel 8 entwickelte Position unmittelbar einschlägig ist: Die fiskalischen Probleme seien am schärfsten für Länder, die KI-Dienste </w:t>
      </w:r>
      <w:r>
        <w:rPr>
          <w:rFonts w:ascii="Arial" w:hAnsi="Arial"/>
          <w:b w:val="0"/>
          <w:i/>
          <w:sz w:val="19"/>
        </w:rPr>
        <w:t>konsumieren</w:t>
      </w:r>
      <w:r>
        <w:rPr>
          <w:rFonts w:ascii="Arial" w:hAnsi="Arial"/>
          <w:b w:val="0"/>
          <w:i w:val="0"/>
          <w:sz w:val="19"/>
        </w:rPr>
        <w:t>, statt sie zu produzieren (vgl. § 8.2).</w:t>
      </w:r>
    </w:p>
    <w:p>
      <w:pPr>
        <w:jc w:val="both"/>
      </w:pPr>
      <w:r>
        <w:rPr>
          <w:rFonts w:ascii="Arial" w:hAnsi="Arial"/>
          <w:b w:val="0"/>
          <w:i w:val="0"/>
          <w:sz w:val="19"/>
        </w:rPr>
        <w:t>Der Einordnung bedarf die Belastbarkeit. Es handelt sich nicht um eine quantifizierte Modellrechnung, sondern um eine Szenario-Planungsübung: Das Papier enthält keine eigenen Punktschätzungen zu Wachstum, Lohnquote oder Beschäftigung, die Beratungen liefen unter der Chatham-House-Regel (Inhalte dürfen wiedergegeben, aber keiner namentlich benannten Person zugeordnet werden), und die Reihe weist die Ansichten ausdrücklich den Verfasserinnen und Verfassern und nicht dem Fonds, seinem Exekutivdirektorium oder seiner Leitung zu. Die Aussagen sind deshalb als institutionell gerahmte Erwartungsbildung zu lesen, nicht als Prognose (§ 4.2 `Claude.md`). Inhaltlich steht der Fonds der Gegenposition in § 3.4 nahe, soweit er eine eigenständige Robotersteuer ablehnt, weicht von ihr aber im positiven Teil ab: de la Feria und andere verweisen auf die bestehende Steuerstruktur, der Fonds auf eine Neuausrichtung auf Renten- und persönliche Kapitaleinkommensbesteuerung. Gegenüber der in § 5.1 behandelten Wertschöpfungsabgabe ist das eine dritte Zugriffslogik — weder Maschine noch Wertschöpfung, sondern Rente als Bemessungsgrundlage.</w:t>
      </w:r>
    </w:p>
    <w:p>
      <w:pPr>
        <w:jc w:val="both"/>
      </w:pPr>
      <w:r>
        <w:rPr>
          <w:rFonts w:ascii="Arial" w:hAnsi="Arial"/>
          <w:b/>
          <w:i w:val="0"/>
          <w:sz w:val="19"/>
        </w:rPr>
        <w:t>Nakatani &amp; Miyamoto (März 2026):</w:t>
      </w:r>
      <w:r>
        <w:rPr>
          <w:rFonts w:ascii="Arial" w:hAnsi="Arial"/>
          <w:b w:val="0"/>
          <w:i w:val="0"/>
          <w:sz w:val="19"/>
        </w:rPr>
        <w:t xml:space="preserve"> Ryota Nakatani (Internationaler Währungsfonds) und Hiroaki Miyamoto (Hitotsubashi-Universität) schreiben mit „Optimal Taxation in the Automation Era" (MPRA Paper 128480, Fassung vom 19. März 2026, eingestellt am 20. April 2026) die bereits mit Nakatani (2024) geführte Linie fort und liefern zugleich die modellgestützte Gegenprobe zu der im vorstehenden Absatz referierten Position des Fonds. Die Autoren bestimmen in einem allgemeinen Gleichgewichtsmodell, das auf die Vereinigten Staaten kalibriert ist, für vier Instrumente gleichzeitig denjenigen Satz, der die Wohlfahrt im eingeschwungenen Zustand (Steady State — dem langfristigen Gleichgewicht des Modells) maximiert: Kapitaleinkommensteuer, Lohnsteuer auf ungelernte Arbeit, Steuer auf Automatisierungskapital (also eine Robotersteuer im Sinne des Typs 2 aus § 2.1) und Konsumsteuer. Nach einem Produktivitätsschub der automatisierungsbezogenen Kapitalgüter liege der wohlfahrtsmaximierende Satz sowohl der Kapitaleinkommensteuer als auch der Robotersteuer bei null, weil deren langfristige Investitionsverzerrungen den Umverteilungsnutzen überwögen; im Grundszenario werde die Wohlfahrt stattdessen durch eine Senkung der Lohnsteuer auf ungelernte Arbeit und vor allem der Konsumsteuer maximiert. Entscheidend sei jedoch die Substituierbarkeit: Seien ungelernte Arbeit und automatisierungsbezogenes Kapital in hohem Maße gegeneinander austauschbar, steige der optimale Konsumsteuersatz, und das zusätzliche Aufkommen werde an die verdrängten ungelernten Beschäftigten umverteilt.</w:t>
      </w:r>
    </w:p>
    <w:p>
      <w:pPr>
        <w:jc w:val="both"/>
      </w:pPr>
      <w:r>
        <w:rPr>
          <w:rFonts w:ascii="Arial" w:hAnsi="Arial"/>
          <w:b w:val="0"/>
          <w:i w:val="0"/>
          <w:sz w:val="19"/>
        </w:rPr>
        <w:t xml:space="preserve">Für die hier geführte Debatte ist die Arbeit in zwei Hinsichten einschlägig, in einer dritten aber ausdrücklich zu begrenzen. </w:t>
      </w:r>
      <w:r>
        <w:rPr>
          <w:rFonts w:ascii="Arial" w:hAnsi="Arial"/>
          <w:b w:val="0"/>
          <w:i/>
          <w:sz w:val="19"/>
        </w:rPr>
        <w:t>Erstens</w:t>
      </w:r>
      <w:r>
        <w:rPr>
          <w:rFonts w:ascii="Arial" w:hAnsi="Arial"/>
          <w:b w:val="0"/>
          <w:i w:val="0"/>
          <w:sz w:val="19"/>
        </w:rPr>
        <w:t xml:space="preserve"> verschärft sie das Nullergebnis für die Robotersteuer gegenüber Thuemmel (§ 3.2) und Guerreiro/Rebelo/Teles: Dort ist die Robotersteuer ein zweitbestes Instrument, das mit fallenden Roboterpreisen an Wert verliert; hier ist ihr optimaler Satz im Grundszenario von vornherein null. </w:t>
      </w:r>
      <w:r>
        <w:rPr>
          <w:rFonts w:ascii="Arial" w:hAnsi="Arial"/>
          <w:b w:val="0"/>
          <w:i/>
          <w:sz w:val="19"/>
        </w:rPr>
        <w:t>Zweitens</w:t>
      </w:r>
      <w:r>
        <w:rPr>
          <w:rFonts w:ascii="Arial" w:hAnsi="Arial"/>
          <w:b w:val="0"/>
          <w:i w:val="0"/>
          <w:sz w:val="19"/>
        </w:rPr>
        <w:t xml:space="preserve"> trifft sie sich mit der Position des Fonds (siehe unmittelbar oben) in der Ablehnung pauschaler Maschinensteuern, weicht aber im positiven Teil von ihr ab: Der Fonds verweist auf ökonomische Renten und die persönliche Kapitaleinkommensbesteuerung, das Modell auf die Konsumsteuer bei gleichzeitigem Nullsatz auf Kapitaleinkommen. Dass beide Aussagen von Autoren derselben Institution stammen, ist kein Widerspruch — die Arbeitspapierreihe bindet den Fonds nicht —, verdient aber den Hinweis, dass „die" Position des Fonds zur Kapitalbesteuerung derzeit nicht einheitlich ist. </w:t>
      </w:r>
      <w:r>
        <w:rPr>
          <w:rFonts w:ascii="Arial" w:hAnsi="Arial"/>
          <w:b w:val="0"/>
          <w:i/>
          <w:sz w:val="19"/>
        </w:rPr>
        <w:t>Drittens</w:t>
      </w:r>
      <w:r>
        <w:rPr>
          <w:rFonts w:ascii="Arial" w:hAnsi="Arial"/>
          <w:b w:val="0"/>
          <w:i w:val="0"/>
          <w:sz w:val="19"/>
        </w:rPr>
        <w:t xml:space="preserve"> und einschränkend: Es handelt sich um eine auf die Vereinigten Staaten kalibrierte Modellrechnung unter definierten Annahmen, nicht um eine politische Empfehlung und erst recht nicht um eine auf deutsche Verhältnisse übertragbare Aussage; die deutsche Sozialversicherung wird in diesem Instrumentensatz überhaupt nicht abgebildet, und gerade die Konsumsteuer ist in Deutschland verteilungspolitisch anders belastet als in einem Modell mit repräsentativen Haushaltsgruppen (vgl. § 4.3, § 5.1). </w:t>
      </w:r>
      <w:r>
        <w:rPr>
          <w:rFonts w:ascii="Arial" w:hAnsi="Arial"/>
          <w:b w:val="0"/>
          <w:i/>
          <w:sz w:val="19"/>
        </w:rPr>
        <w:t>Verfahrensvermerk:</w:t>
      </w:r>
      <w:r>
        <w:rPr>
          <w:rFonts w:ascii="Arial" w:hAnsi="Arial"/>
          <w:b w:val="0"/>
          <w:i w:val="0"/>
          <w:sz w:val="19"/>
        </w:rPr>
        <w:t xml:space="preserve"> Die vorstehende Wiedergabe stützt sich auf die wörtlich ausgelesene Zusammenfassung des Arbeitspapiers und auf dessen im Vorlauf ausgewerteten Volltext; eine maschinelle Textextraktion des Volltextes war in diesem Lauf nicht möglich, weshalb keine über die Zusammenfassung hinausgehenden Einzelwerte, Elastizitäten oder Kalibrierungsparameter zitiert werden.</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 Die Arbeit von Kleven und Zidar (September 2026, § 3.3) bestätigt diese Reihenfolge aus einer weiteren Modellklasse und schärft sie in zwei Punkten: Die Automatisierung verändere nicht die optimalen Steuer</w:t>
      </w:r>
      <w:r>
        <w:rPr>
          <w:rFonts w:ascii="Arial" w:hAnsi="Arial"/>
          <w:b w:val="0"/>
          <w:i/>
          <w:sz w:val="19"/>
        </w:rPr>
        <w:t>regeln</w:t>
      </w:r>
      <w:r>
        <w:rPr>
          <w:rFonts w:ascii="Arial" w:hAnsi="Arial"/>
          <w:b w:val="0"/>
          <w:i w:val="0"/>
          <w:sz w:val="19"/>
        </w:rPr>
        <w:t>, sondern das, was diese Regeln vorschreiben — und der Instrumentenschwerpunkt liege bei einer progressiveren Arbeitsbesteuerung samt deutlich ausgeweiteter Erwerbstätigenförderung im unteren Bereich sowie bei einer substanziellen Kapitaleinkommensteuer, deren Höhe ausschließlich von der Kapitalangebotselastizität abhänge und die mit der Automatisierung als solcher nicht begründet werde. Damit verschiebt sich auch die Beweislast für eine spezifische Robotersteuer weiter: Selbst ein Modell, dessen optimaler Kapitalsteuersatz die Größenordnungen der Robotersteuer-Literatur um ein Vielfaches übersteigt, leitet ihn nicht aus der Verdrängung, sondern aus der Rentenabschöpfung her. Über die Robotersteuer besteht in dieser Literatur inzwischen weitgehende Einigkeit; über das Instrument, das an ihre Stelle treten soll, nicht. Das Modell von Nakatani und Miyamoto (März 2026, § 3.3) markiert den Gegenpol zu Kleven und Zidar: Es kommt zu einem optimalen Satz von null nicht nur für die Robotersteuer, sondern auch für die Kapitaleinkommensteuer, und verlagert den Schwerpunkt auf die Konsumbesteuerung — womit es die Linie von Korinek und Lockwood stützt und die Kapitalspur verwirft. Die Spannweite der Empfehlungen reicht damit von einer substanziellen Kapitaleinkommensteuer bis zu deren vollständigem Verzicht, je nach Modellklasse und Kalibrierung. Für die praktische Steuerpolitik folgt daraus weniger eine Handlungsanweisung als eine Warnung: Die Robustheit dieser Ergebnisse gegenüber Modellwahl und Annahmen ist gering, und keine der Arbeiten ist auf deutsche Verhältnisse kalibriert (vgl. § 10.3).</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Effekte generativer KI auf das Bruttoinlandsprodukt (BIP) und die totale Faktorproduktivität (TFP — der Teil des Produktionszuwachses, der sich nicht durch mehr Kapital- oder Arbeitseinsatz erklärt)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jc w:val="both"/>
      </w:pPr>
      <w:r>
        <w:rPr>
          <w:rFonts w:ascii="Arial" w:hAnsi="Arial"/>
          <w:b/>
          <w:i w:val="0"/>
          <w:sz w:val="19"/>
        </w:rPr>
        <w:t>Europäisches Tech-Souveränitätspaket und der *Cloud and AI Development Act* (Juni 2026, bestätigt in der Rede zur Lage der Union am 16. September 2026):</w:t>
      </w:r>
      <w:r>
        <w:rPr>
          <w:rFonts w:ascii="Arial" w:hAnsi="Arial"/>
          <w:b w:val="0"/>
          <w:i w:val="0"/>
          <w:sz w:val="19"/>
        </w:rPr>
        <w:t xml:space="preserve"> Neben der Durchsetzungsschiene des AI Act verfolgt die Europäische Kommission seit Juni 2026 eine zweite, industriepolitisch angelegte Spur, die für die Harmonisierungsfrage eigenständige Bedeutung hat. Das im Juni 2026 vorgelegte </w:t>
      </w:r>
      <w:r>
        <w:rPr>
          <w:rFonts w:ascii="Arial" w:hAnsi="Arial"/>
          <w:b w:val="0"/>
          <w:i/>
          <w:sz w:val="19"/>
        </w:rPr>
        <w:t>Tech Sovereignty Package</w:t>
      </w:r>
      <w:r>
        <w:rPr>
          <w:rFonts w:ascii="Arial" w:hAnsi="Arial"/>
          <w:b w:val="0"/>
          <w:i w:val="0"/>
          <w:sz w:val="19"/>
        </w:rPr>
        <w:t xml:space="preserve"> bündelt nach der amtlichen Bilanzschrift zur Rede zur Lage der Union vom 16. September 2026 (Europäische Kommission, </w:t>
      </w:r>
      <w:r>
        <w:rPr>
          <w:rFonts w:ascii="Arial" w:hAnsi="Arial"/>
          <w:b w:val="0"/>
          <w:i/>
          <w:sz w:val="19"/>
        </w:rPr>
        <w:t>State of the Union 2026 — From promise to progress</w:t>
      </w:r>
      <w:r>
        <w:rPr>
          <w:rFonts w:ascii="Arial" w:hAnsi="Arial"/>
          <w:b w:val="0"/>
          <w:i w:val="0"/>
          <w:sz w:val="19"/>
        </w:rPr>
        <w:t xml:space="preserve">, Amt für Veröffentlichungen der Europäischen Union, Luxemburg 2026) vier Vorhaben: einen </w:t>
      </w:r>
      <w:r>
        <w:rPr>
          <w:rFonts w:ascii="Arial" w:hAnsi="Arial"/>
          <w:b w:val="0"/>
          <w:i/>
          <w:sz w:val="19"/>
        </w:rPr>
        <w:t>Chips Act 2.0</w:t>
      </w:r>
      <w:r>
        <w:rPr>
          <w:rFonts w:ascii="Arial" w:hAnsi="Arial"/>
          <w:b w:val="0"/>
          <w:i w:val="0"/>
          <w:sz w:val="19"/>
        </w:rPr>
        <w:t xml:space="preserve">, den </w:t>
      </w:r>
      <w:r>
        <w:rPr>
          <w:rFonts w:ascii="Arial" w:hAnsi="Arial"/>
          <w:b w:val="0"/>
          <w:i/>
          <w:sz w:val="19"/>
        </w:rPr>
        <w:t>Cloud and AI Development Act</w:t>
      </w:r>
      <w:r>
        <w:rPr>
          <w:rFonts w:ascii="Arial" w:hAnsi="Arial"/>
          <w:b w:val="0"/>
          <w:i w:val="0"/>
          <w:sz w:val="19"/>
        </w:rPr>
        <w:t xml:space="preserve"> (CADA), eine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flankierend soll ein </w:t>
      </w:r>
      <w:r>
        <w:rPr>
          <w:rFonts w:ascii="Arial" w:hAnsi="Arial"/>
          <w:b w:val="0"/>
          <w:i/>
          <w:sz w:val="19"/>
        </w:rPr>
        <w:t>Digital Networks Act</w:t>
      </w:r>
      <w:r>
        <w:rPr>
          <w:rFonts w:ascii="Arial" w:hAnsi="Arial"/>
          <w:b w:val="0"/>
          <w:i w:val="0"/>
          <w:sz w:val="19"/>
        </w:rPr>
        <w:t xml:space="preserve"> die Regeln für Konnektivitätsnetze vereinheitlichen. Der </w:t>
      </w:r>
      <w:r>
        <w:rPr>
          <w:rFonts w:ascii="Arial" w:hAnsi="Arial"/>
          <w:b w:val="0"/>
          <w:i/>
          <w:sz w:val="19"/>
        </w:rPr>
        <w:t>Cloud and AI Development Act</w:t>
      </w:r>
      <w:r>
        <w:rPr>
          <w:rFonts w:ascii="Arial" w:hAnsi="Arial"/>
          <w:b w:val="0"/>
          <w:i w:val="0"/>
          <w:sz w:val="19"/>
        </w:rPr>
        <w:t xml:space="preserve"> soll nach der Darstellung der Kommission die Souveränität und Wettbewerbsfähigkeit Europas im Cloud- und KI-Ökosystem stärken; der ursprüngliche Vorschlag (COM(2026) 502 final vom 3. Juni 2026) sieht dafür unter anderem ein abgestuftes Souveränitätsraster für Cloud-Dienste, einen Beschaffungsmechanismus für die öffentliche Hand und beschleunigte Genehmigungsverfahren für Rechenzentren vor. Alle genannten Rechtsakte befinden sich im Gesetzgebungsverfahren und sind hier deshalb durchgängig im Konjunktiv referiert (§ 4.2). Für die in diesem Abschnitt behandelte Harmonisierungsfrage ist der Befund in zwei Richtungen aufschlussreich. Erstens zeigt er, dass die europäische Ebene die KI-Frage sekundärrechtlich derzeit über Kapazitäts-, Beschaffungs- und Standardsetzungsinstrumente bearbeitet und nicht über Abgabentatbestände — eine Arbeitsteilung, die angesichts der begrenzten Steuerkompetenz der Union (Art. 113, 115 AEUV mit dem Einstimmigkeitserfordernis) rechtlich naheliegt, die aber die im Papier verzeichnete Koordinationslücke bei der Finanzierungsseite unberührt lässt. Zweitens entsteht mit dem Beschaffungs- und Souveränitätsraster des CADA erstmals eine unionsrechtlich definierte Abgrenzung zwischen souveränen und nicht-souveränen Cloud- und KI-Diensten, an die eine spätere fiskalische Anknüpfung methodisch anschließen könnte, ohne die Abgrenzungsprobleme des § 9.1 neu erfinden zu müssen. Die industriepolitischen Kennzahlen des Pakets und die Kritik daran werden in § 8.2 behandelt.</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jc w:val="both"/>
      </w:pPr>
      <w:r>
        <w:rPr>
          <w:rFonts w:ascii="Arial" w:hAnsi="Arial"/>
          <w:b/>
          <w:i w:val="0"/>
          <w:sz w:val="19"/>
        </w:rPr>
        <w:t>Spiegelbildliche Konstruktion aus der US-Debatte: die Gewinnprogression je Beschäftigten (RAND, August/September 2026):</w:t>
      </w:r>
      <w:r>
        <w:rPr>
          <w:rFonts w:ascii="Arial" w:hAnsi="Arial"/>
          <w:b w:val="0"/>
          <w:i w:val="0"/>
          <w:sz w:val="19"/>
        </w:rPr>
        <w:t xml:space="preserve"> Die oben beschriebene Substitutionsvariante verlagert die Arbeitgeberlast von der Lohnsumme auf die Wertschöpfung, hält also am Unternehmen als Schuldner fest und wechselt die Bemessungsgrundlage. Aus der US-Diskussion liegt seit August 2026 ein Vorschlag vor, der denselben Zweck — Entlastung des Faktors Arbeit ohne Aufkommensverlust — über eine andere Konstruktion verfolgt und deshalb als Kontrastfolie aufschlussreich ist. </w:t>
      </w:r>
      <w:r>
        <w:rPr>
          <w:rFonts w:ascii="Arial" w:hAnsi="Arial"/>
          <w:b w:val="0"/>
          <w:i/>
          <w:sz w:val="19"/>
        </w:rPr>
        <w:t>Price</w:t>
      </w:r>
      <w:r>
        <w:rPr>
          <w:rFonts w:ascii="Arial" w:hAnsi="Arial"/>
          <w:b w:val="0"/>
          <w:i w:val="0"/>
          <w:sz w:val="19"/>
        </w:rPr>
        <w:t xml:space="preserve"> und </w:t>
      </w:r>
      <w:r>
        <w:rPr>
          <w:rFonts w:ascii="Arial" w:hAnsi="Arial"/>
          <w:b w:val="0"/>
          <w:i/>
          <w:sz w:val="19"/>
        </w:rPr>
        <w:t>Wenger</w:t>
      </w:r>
      <w:r>
        <w:rPr>
          <w:rFonts w:ascii="Arial" w:hAnsi="Arial"/>
          <w:b w:val="0"/>
          <w:i w:val="0"/>
          <w:sz w:val="19"/>
        </w:rPr>
        <w:t xml:space="preserve"> schlagen vor (Konjunktivpflicht nach § 4.2 Claude.md), den Arbeitgeberanteil der Lohnsummensteuer zu streichen und durch zwei Unternehmensabgaben zu ersetzen: eine proportionale Abgabe auf den Unternehmensumsatz und eine </w:t>
      </w:r>
      <w:r>
        <w:rPr>
          <w:rFonts w:ascii="Arial" w:hAnsi="Arial"/>
          <w:b/>
          <w:i w:val="0"/>
          <w:sz w:val="19"/>
        </w:rPr>
        <w:t>progressive Körperschaftsteuer auf den Gewinn je Beschäftigten</w:t>
      </w:r>
      <w:r>
        <w:rPr>
          <w:rFonts w:ascii="Arial" w:hAnsi="Arial"/>
          <w:b w:val="0"/>
          <w:i w:val="0"/>
          <w:sz w:val="19"/>
        </w:rPr>
        <w:t xml:space="preserve">. Die Wirkungsweise lässt sich an dem von den Autoren selbst gewählten Zahlenbeispiel ablesen: Ein Unternehmen mit einer Million US-Dollar Gewinn und hundert Beschäftigten weist einen Gewinn je Beschäftigten von 10.000 US-Dollar aus; ersetzt es neunzig dieser Stellen durch Künstliche Intelligenz, steigt derselbe Gewinn rechnerisch auf 100.000 US-Dollar je Beschäftigten und rückt damit in eine höhere Tarifstufe — bei unverändertem Gewinn steigt die Steuerlast. Die Autoren betonen, dass die Konstruktion die Substitution nicht verhindern solle und auch nicht verhindern werde, wo der Produktivitätsvorsprung groß genug sei; sie solle lediglich die im Kodex angelegte Bevorzugung der Substitution aufheben. Drei Punkte sind für die deutsche Debatte festzuhalten. </w:t>
      </w:r>
      <w:r>
        <w:rPr>
          <w:rFonts w:ascii="Arial" w:hAnsi="Arial"/>
          <w:b w:val="0"/>
          <w:i/>
          <w:sz w:val="19"/>
        </w:rPr>
        <w:t>Erstens</w:t>
      </w:r>
      <w:r>
        <w:rPr>
          <w:rFonts w:ascii="Arial" w:hAnsi="Arial"/>
          <w:b w:val="0"/>
          <w:i w:val="0"/>
          <w:sz w:val="19"/>
        </w:rPr>
        <w:t xml:space="preserve"> knüpft die Konstruktion weder an Maschinen noch an Beschäftigtenzahlen unmittelbar an, sondern an das </w:t>
      </w:r>
      <w:r>
        <w:rPr>
          <w:rFonts w:ascii="Arial" w:hAnsi="Arial"/>
          <w:b w:val="0"/>
          <w:i/>
          <w:sz w:val="19"/>
        </w:rPr>
        <w:t>Verhältnis</w:t>
      </w:r>
      <w:r>
        <w:rPr>
          <w:rFonts w:ascii="Arial" w:hAnsi="Arial"/>
          <w:b w:val="0"/>
          <w:i w:val="0"/>
          <w:sz w:val="19"/>
        </w:rPr>
        <w:t xml:space="preserve"> von Gewinn zu Beschäftigung; sie fällt damit unter keinen der fünf in § 2.1 unterschiedenen Typen der „Robotersteuer" und ist hier deshalb als eigenständige Konstruktion referiert, nicht in die Typologie eingeordnet. </w:t>
      </w:r>
      <w:r>
        <w:rPr>
          <w:rFonts w:ascii="Arial" w:hAnsi="Arial"/>
          <w:b w:val="0"/>
          <w:i/>
          <w:sz w:val="19"/>
        </w:rPr>
        <w:t>Zweitens</w:t>
      </w:r>
      <w:r>
        <w:rPr>
          <w:rFonts w:ascii="Arial" w:hAnsi="Arial"/>
          <w:b w:val="0"/>
          <w:i w:val="0"/>
          <w:sz w:val="19"/>
        </w:rPr>
        <w:t xml:space="preserve"> teilt sie mit der Wertschöpfungsabgabe die Abgrenzungsfestigkeit: Sie muss weder definieren, was ein Roboter ist (→ § 2.2), noch eine Verdrängungskausalität nachweisen (→ § 9.1), sondern liest das Ergebnis der Substitution unmittelbar aus der Gewinn-und-Verlust-Rechnung ab. </w:t>
      </w:r>
      <w:r>
        <w:rPr>
          <w:rFonts w:ascii="Arial" w:hAnsi="Arial"/>
          <w:b w:val="0"/>
          <w:i/>
          <w:sz w:val="19"/>
        </w:rPr>
        <w:t>Drittens</w:t>
      </w:r>
      <w:r>
        <w:rPr>
          <w:rFonts w:ascii="Arial" w:hAnsi="Arial"/>
          <w:b w:val="0"/>
          <w:i w:val="0"/>
          <w:sz w:val="19"/>
        </w:rPr>
        <w:t xml:space="preserve"> unterscheidet sie sich von ihr in der Anreizrichtung: Während die Wertschöpfungsabgabe arbeitsintensive Betriebe entlastet, indem sie die Basis verbreitert, belastet die Gewinnprogression je Beschäftigten kapitalintensive Betriebe zusätzlich — was bei hoher Kapitalmobilität als Verlagerungsanreiz wirken kann (→ § 9.3). Als Aufkommensersatz nennen die Autoren ferner die Besteuerung langfristiger Veräußerungsgewinne zum Einkommensteuertarif (geschätztes Mehraufkommen 100 Milliarden US-Dollar jährlich oder mehr), eine bundesstaatliche Mehrwertsteuer (bei Ausgestaltung nach OECD-Muster knapp 20 Prozent des Bundesaufkommens), eine Bundesvermögensteuer und die Abschaffung der Wertaufstockung von Wirtschaftsgütern im Erbfall (</w:t>
      </w:r>
      <w:r>
        <w:rPr>
          <w:rFonts w:ascii="Arial" w:hAnsi="Arial"/>
          <w:b w:val="0"/>
          <w:i/>
          <w:sz w:val="19"/>
        </w:rPr>
        <w:t>step-up in basis</w:t>
      </w:r>
      <w:r>
        <w:rPr>
          <w:rFonts w:ascii="Arial" w:hAnsi="Arial"/>
          <w:b w:val="0"/>
          <w:i w:val="0"/>
          <w:sz w:val="19"/>
        </w:rPr>
        <w:t>, geschätzt zweistelliger Milliardenbetrag). Diese vier Instrumente betreffen die Aufkommens-, nicht die Beschäftigungsseite und sind deshalb hier nur benannt; ihre unterschiedliche Umsetzbarkeit ist in § 9.3 behandelt.</w:t>
      </w:r>
    </w:p>
    <w:p>
      <w:pPr>
        <w:jc w:val="both"/>
      </w:pPr>
      <w:r>
        <w:rPr>
          <w:rFonts w:ascii="Arial" w:hAnsi="Arial"/>
          <w:b/>
          <w:i w:val="0"/>
          <w:sz w:val="19"/>
        </w:rPr>
        <w:t>Internationaler Befund zur Anknüpfungsgröße (OECD, 8. September 2026):</w:t>
      </w:r>
      <w:r>
        <w:rPr>
          <w:rFonts w:ascii="Arial" w:hAnsi="Arial"/>
          <w:b w:val="0"/>
          <w:i w:val="0"/>
          <w:sz w:val="19"/>
        </w:rPr>
        <w:t xml:space="preserve"> Der Bericht </w:t>
      </w:r>
      <w:r>
        <w:rPr>
          <w:rFonts w:ascii="Arial" w:hAnsi="Arial"/>
          <w:b w:val="0"/>
          <w:i/>
          <w:sz w:val="19"/>
        </w:rPr>
        <w:t>Tax Policy Reforms 2026 — OECD and Selected Partner Economies</w:t>
      </w:r>
      <w:r>
        <w:rPr>
          <w:rFonts w:ascii="Arial" w:hAnsi="Arial"/>
          <w:b w:val="0"/>
          <w:i w:val="0"/>
          <w:sz w:val="19"/>
        </w:rPr>
        <w:t xml:space="preserve">, den die Organisation für wirtschaftliche Zusammenarbeit und Entwicklung am 8. September 2026 vorgelegt hat, vergleicht auf 76 Seiten die im Kalenderjahr 2025 eingeführten oder angekündigten Steuerreformen in 92 Jurisdiktionen einschließlich sämtlicher OECD-Staaten. Für die hier geführte Debatte ist ein einziger Abschnitt einschlägig, und er fällt eindeutig aus. Die Zusammenfassung des Berichts stellt bei den Sozialversicherungsbeiträgen einen „anhaltenden Trend zu Basisverbreiterung und Satzerhöhungen" fest und führt ihn ausdrücklich auf „längerfristige demografische Belastungen und den Finanzierungsbedarf der sozialen Sicherungssysteme" zurück; die Aufkommensdaten zeigten für die meisten Länder mit verfügbaren Zahlen für 2024 bereits steigende Beitragseinnahmen, eine abschließende Bewertung der Reformwirkung sei jedoch verfrüht. Konkret benennt der Bericht drei europäische Staaten, die ihre Beitragssätze mit dem erklärten Ziel der finanziellen Tragfähigkeit ihrer Sozialversicherung angehoben haben: die Slowakei (Arbeitnehmerbeitrag zur Krankenversicherung um einen Prozentpunkt auf 5 Prozent), Deutschland (durchschnittlicher Zusatzbeitrag zur gesetzlichen Krankenversicherung um 0,2 Prozentpunkte auf 1,45 Prozent für Beschäftigte und Arbeitgeber) und Spanien (Zuschlag des </w:t>
      </w:r>
      <w:r>
        <w:rPr>
          <w:rFonts w:ascii="Arial" w:hAnsi="Arial"/>
          <w:b w:val="0"/>
          <w:i/>
          <w:sz w:val="19"/>
        </w:rPr>
        <w:t>Intergenerational Equity Mechanism</w:t>
      </w:r>
      <w:r>
        <w:rPr>
          <w:rFonts w:ascii="Arial" w:hAnsi="Arial"/>
          <w:b w:val="0"/>
          <w:i w:val="0"/>
          <w:sz w:val="19"/>
        </w:rPr>
        <w:t xml:space="preserve"> von 0,67 auf 0,75 Prozent für Arbeitgeber und von 0,13 auf 0,15 Prozent für Beschäftigte). Auf der Bemessungsseite verzeichnet der Bericht unter anderem die Anhebung der Mindestbemessungsgrundlage für Selbständige in der Slowakei von 50 auf 60 Prozent des Durchschnittslohns, die Anhebung der griechischen Beitragsbemessungsgrenze um 2,5 Prozent auf 7.761,94 Euro, die Vereinheitlichung der litauischen Bemessungsgrundlage für Selbständige auf 90 Prozent des steuerpflichtigen Einkommens, die Ausweitung der japanischen Rentenversicherungspflicht auf weitere Teilzeitbeschäftigte und den in Brasilien begonnenen Rückbau sektoraler Lohnsummen-Entlastungen hin zum Regelsatz von 20 Prozent Arbeitgeberbeitrag bis 2028.</w:t>
      </w:r>
    </w:p>
    <w:p>
      <w:pPr>
        <w:jc w:val="both"/>
      </w:pPr>
      <w:r>
        <w:rPr>
          <w:rFonts w:ascii="Arial" w:hAnsi="Arial"/>
          <w:b w:val="0"/>
          <w:i w:val="0"/>
          <w:sz w:val="19"/>
        </w:rPr>
        <w:t>Der Befund ist für die Wertschöpfungsabgabe in zwei Richtungen aussagekräftig. Er stützt erstens die empirische Prämisse des Konzepts: Der Finanzierungsdruck auf die beitragsfinanzierten Sicherungssysteme ist international, nicht deutsch, und die Staaten reagieren darauf messbar. Er widerlegt zweitens die Erwartung, dieser Druck führe von selbst zu einem Wechsel der Anknüpfungsgröße. In keinem der 92 erfassten Systeme ist die Bemessungsgrundlage der Sozialbeiträge im Jahr 2025 von der Lohnsumme auf die betriebliche Wertschöpfung umgestellt worden; sämtliche dokumentierten Maßnahmen setzen an derselben lohnbezogenen Größe an und verstärken damit genau die Abhängigkeit, die das Konzept der Wertschöpfungsabgabe lösen will. Die von der Demografie ausgelöste Anpassungsbewegung verläuft also entlang der bestehenden Bemessungsgrundlage, nicht quer zu ihr — was die in § 4.4 und § 9.5 beschriebene Koordinierungslast einer europäischen Umstellung eher erhöht als senkt, weil ein Vorreiterstaat sich damit nicht in eine bereits laufende Bewegung einfügen, sondern aus ihr heraustreten müsste.</w:t>
      </w:r>
    </w:p>
    <w:p>
      <w:pPr>
        <w:jc w:val="both"/>
      </w:pPr>
      <w:r>
        <w:rPr>
          <w:rFonts w:ascii="Arial" w:hAnsi="Arial"/>
          <w:b w:val="0"/>
          <w:i w:val="0"/>
          <w:sz w:val="19"/>
        </w:rPr>
        <w:t>Anzumerken ist eine Unschärfe des Berichts selbst, die bei der Rezeption verloren geht. Während die Zusammenfassung von einem „anhaltenden Trend zu Basisverbreiterung und Satzerhöhungen" spricht, beschreibt der Sachteil desselben Berichts die Beitragsreformen des Jahres 2025 als „ausgewogener als in den Vorjahren" und zählt „eine ziemlich gleichmäßige Anzahl von Erhöhungen und Senkungen"; die dortige Übersicht führt neben den genannten Erhöhungen unter anderem Senkungen in Aserbaidschan, Bosnien und Herzegowina, Japan und Norwegen sowie basisverengende Maßnahmen in Schweden, Belgien, Ungarn, Südafrika und Slowenien auf. Die in der Presserezeption des Berichts wiedergegebene Fassung — Regierungen hätten Beitragsbasen und -sätze ausgeweitet, um demografischem Druck zu begegnen — greift damit nur die eine Hälfte des Primärtextes auf. Für das vorliegende Papier wird deshalb die Richtungsaussage (Anpassung innerhalb der Lohnanknüpfung statt Wechsel der Anknüpfungsgröße) verwendet, nicht die Trendstärke.</w:t>
      </w:r>
    </w:p>
    <w:p>
      <w:pPr>
        <w:jc w:val="both"/>
      </w:pPr>
      <w:r>
        <w:rPr>
          <w:rFonts w:ascii="Arial" w:hAnsi="Arial"/>
          <w:b/>
          <w:i w:val="0"/>
          <w:sz w:val="19"/>
        </w:rPr>
        <w:t>Nationale Gegenprobe zum OECD-Befund (BMAS, 21. September 2026):</w:t>
      </w:r>
      <w:r>
        <w:rPr>
          <w:rFonts w:ascii="Arial" w:hAnsi="Arial"/>
          <w:b w:val="0"/>
          <w:i w:val="0"/>
          <w:sz w:val="19"/>
        </w:rPr>
        <w:t xml:space="preserve"> Was der OECD-Bericht international feststellt, lässt sich seit dem 21. September 2026 am deutschen Fall unmittelbar ablesen. Das Bundesministerium für Arbeit und Soziales hat an diesem Tag den Referentenentwurf der Sozialversicherungsrechengrößen-Verordnung 2027 vorgelegt. Die Verordnung schreibt die maßgeblichen Rechengrößen der Sozialversicherung für das Folgejahr fort, und zwar nach dem Wortlaut der ministeriellen Meldung „gemäß der Lohnentwicklung im vergangenen Jahr"; ausdrücklich heißt es weiter: „Ermessensspielräume bestehen dabei nicht." Zugrunde liegt die Veränderung der Bruttolöhne und -gehälter je Arbeitnehmer im Jahr 2025 von 4,38 %. Danach stiegen zum 1. Januar 2027 die Bezugsgröße in der Sozialversicherung auf 4.130 Euro monatlich (49.560 Euro jährlich), die Beitragsbemessungsgrenze der allgemeinen Renten- und Arbeitslosenversicherung auf 8.850 Euro monatlich (106.200 Euro jährlich), die der knappschaftlichen Rentenversicherung auf 10.900 Euro monatlich (130.800 Euro jährlich) und die der gesetzlichen Krankenversicherung auf 6.375 Euro monatlich (76.500 Euro jährlich); das vorläufige Durchschnittsentgelt der Rentenversicherung für 2027 beträgt 53.452 Euro gegenüber einem endgültigen Durchschnittsentgelt 2025 von 49.147 Euro. Versicherungspflichtgrenze und Beitragsbemessungsgrenze der Krankenversicherung würden nach gesetzlicher Vorgabe zusätzlich um 300 Euro monatlich über die Lohnentwicklung hinaus angehoben. Der Entwurf bedarf noch des Beschlusses der Bundesregierung und der Zustimmung des Bundesrates; die Werte sind deshalb im Konjunktiv zu lesen (§ 4.2 `Claude.md`).</w:t>
      </w:r>
    </w:p>
    <w:p>
      <w:pPr>
        <w:jc w:val="both"/>
      </w:pPr>
      <w:r>
        <w:rPr>
          <w:rFonts w:ascii="Arial" w:hAnsi="Arial"/>
          <w:b w:val="0"/>
          <w:i w:val="0"/>
          <w:sz w:val="19"/>
        </w:rPr>
        <w:t xml:space="preserve">Für die Wertschöpfungsabgabe ist daran weniger die Höhe der Beträge erheblich als der Mechanismus, und zwar in drei Punkten. </w:t>
      </w:r>
      <w:r>
        <w:rPr>
          <w:rFonts w:ascii="Arial" w:hAnsi="Arial"/>
          <w:b w:val="0"/>
          <w:i/>
          <w:sz w:val="19"/>
        </w:rPr>
        <w:t>Erstens</w:t>
      </w:r>
      <w:r>
        <w:rPr>
          <w:rFonts w:ascii="Arial" w:hAnsi="Arial"/>
          <w:b w:val="0"/>
          <w:i w:val="0"/>
          <w:sz w:val="19"/>
        </w:rPr>
        <w:t xml:space="preserve"> bestätigt der Vorgang den internationalen Befund des vorstehenden Abschnitts am deutschen Fall: Die Anpassung verläuft vollständig entlang der Lohnanknüpfung — die Bemessungsgrundlage wird an der Lohnentwicklung nachgeführt, nicht gewechselt. </w:t>
      </w:r>
      <w:r>
        <w:rPr>
          <w:rFonts w:ascii="Arial" w:hAnsi="Arial"/>
          <w:b w:val="0"/>
          <w:i/>
          <w:sz w:val="19"/>
        </w:rPr>
        <w:t>Zweitens</w:t>
      </w:r>
      <w:r>
        <w:rPr>
          <w:rFonts w:ascii="Arial" w:hAnsi="Arial"/>
          <w:b w:val="0"/>
          <w:i w:val="0"/>
          <w:sz w:val="19"/>
        </w:rPr>
        <w:t xml:space="preserve"> ist diese Nachführung nicht politisch disponibel, sondern gesetzlich zwingend und nach dem Selbstverständnis des zuständigen Ministeriums ermessensfrei. Das ist die Kehrseite der oben beschriebenen ökonomischen Logik: Solange die Lohnsumme wächst, trägt die Automatik das System; sobald ein Substitutionseffekt die Lohnsumme dämpfte, führte dieselbe Automatik die Rechengrößen und mit ihnen die Einnahmebasis nach unten, ohne dass ein Entscheidungsakt dazwischenträte — der Finanzierungsmechanismus reagiert auf die Verdrängung menschlicher Arbeit also nicht neutral, sondern gleichgerichtet. </w:t>
      </w:r>
      <w:r>
        <w:rPr>
          <w:rFonts w:ascii="Arial" w:hAnsi="Arial"/>
          <w:b w:val="0"/>
          <w:i/>
          <w:sz w:val="19"/>
        </w:rPr>
        <w:t>Drittens</w:t>
      </w:r>
      <w:r>
        <w:rPr>
          <w:rFonts w:ascii="Arial" w:hAnsi="Arial"/>
          <w:b w:val="0"/>
          <w:i w:val="0"/>
          <w:sz w:val="19"/>
        </w:rPr>
        <w:t xml:space="preserve"> zeigt die zusätzliche Anhebung um 300 Euro monatlich in der Krankenversicherung, wo der Gesetzgeber den Finanzierungsbedarf gegenwärtig deckt: durch Ausweitung des beitragspflichtigen Lohnanteils nach oben, also durch stärkere Belastung höherer Erwerbseinkommen, nicht durch Verbreiterung auf Kapital- oder Wertschöpfungsgrößen. Diese Stellschraube wirkt nur, solange Erwerbseinkommen oberhalb der bisherigen Grenzen in nennenswertem Umfang anfällt; sie ist damit dieselbe Anknüpfung in gestreckter Form und keine Antwort auf die in § 8.1 beschriebene Verschiebung zwischen den Produktionsfaktoren.</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 Der zweite Weg entspricht der Empfehlung, zu der Growiec, Prettner und Szkróbka im September 2026 in ihrer Übersicht der Umverteilungsinstrumente gelangen — breite Verteilung der Kapitalrenten über ein allgemeines Basiskapital oder ein kapitalsteuerfinanziertes Grundeinkommen; ausführlich in § 3.3.</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 (Stand bis September 2026; zur größenabhängigen Staffelung der Maßnahme präzisiert am 23. September 2026, siehe unten).</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(Stand bis September 2026; zu einer inzwischen vorliegenden Wirkungsuntersuchung siehe die Präzisierung vom 23. September 2026 unten).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jc w:val="both"/>
      </w:pPr>
      <w:r>
        <w:rPr>
          <w:rFonts w:ascii="Arial" w:hAnsi="Arial"/>
          <w:b/>
          <w:i w:val="0"/>
          <w:sz w:val="19"/>
        </w:rPr>
        <w:t>Präzisierung (23. September 2026) — die Maßnahme von 2017 war größenabhängig gestaffelt, und es liegt inzwischen eine Wirkungsuntersuchung vor:</w:t>
      </w:r>
      <w:r>
        <w:rPr>
          <w:rFonts w:ascii="Arial" w:hAnsi="Arial"/>
          <w:b w:val="0"/>
          <w:i w:val="0"/>
          <w:sz w:val="19"/>
        </w:rPr>
        <w:t xml:space="preserve"> Ein Beitrag von Alessandro Crimi (AGH-Universität Krakau) im Nachrichtenmagazin </w:t>
      </w:r>
      <w:r>
        <w:rPr>
          <w:rFonts w:ascii="Arial" w:hAnsi="Arial"/>
          <w:b w:val="0"/>
          <w:i/>
          <w:sz w:val="19"/>
        </w:rPr>
        <w:t>Rest of World</w:t>
      </w:r>
      <w:r>
        <w:rPr>
          <w:rFonts w:ascii="Arial" w:hAnsi="Arial"/>
          <w:b w:val="0"/>
          <w:i w:val="0"/>
          <w:sz w:val="19"/>
        </w:rPr>
        <w:t xml:space="preserve"> vom 18. September 2026 gibt die Reform von 2017 in einer Gliederung wieder, die das vorliegende Papier bislang nicht geführt hat, und die durch den Politik-Atlas des </w:t>
      </w:r>
      <w:r>
        <w:rPr>
          <w:rFonts w:ascii="Arial" w:hAnsi="Arial"/>
          <w:b w:val="0"/>
          <w:i/>
          <w:sz w:val="19"/>
        </w:rPr>
        <w:t>Windfall Trust</w:t>
      </w:r>
      <w:r>
        <w:rPr>
          <w:rFonts w:ascii="Arial" w:hAnsi="Arial"/>
          <w:b w:val="0"/>
          <w:i w:val="0"/>
          <w:sz w:val="19"/>
        </w:rPr>
        <w:t xml:space="preserve"> („Automation/Robot Taxes") übereinstimmend belegt wird: Die Abzüge für Investitionen in Automatisierungsausrüstung sind nicht einheitlich um zwei Prozentpunkte gesenkt worden, sondern nach Unternehmensgröße gestaffelt — für Großunternehmen von 3 % auf 1 %, für mittlere Unternehmen von 5 % auf 3 %, während kleine Unternehmen ihren Satz von 7 % unverändert behielten. Daraus folgen zwei Berichtigungen des bisherigen Bildes. Erstens ist der Höchstsatz von sieben Prozent gar nicht angetastet worden; die oben referierte Formulierung „von maximal sieben Prozent um zwei Prozentpunkte reduziert" trifft die Größenordnung des Eingriffs, nicht aber seine Struktur. Zweitens war der Eingriff relativ am schärfsten dort, wo er absolut am kleinsten aussieht: Die Absenkung von 3 % auf 1 % entzieht Großunternehmen zwei Drittel ihres Abzugs, die Absenkung von 5 % auf 3 % mittleren Unternehmen zwei Fünftel, kleinen Unternehmen nichts. Die einzige bisher umgesetzte Maßnahme des Typs 2 (§ 2.1) war damit nach Unternehmensgröße progressiv ausgestaltet — ein Konstruktionsmerkmal, das in der deutschen Debatte um Abgrenzung und Mittelstandswirkung (§ 9.1) bislang keine Rolle spielt, obwohl es die dort befürchtete Belastung kleiner Betriebe von vornherein ausschließt.</w:t>
      </w:r>
    </w:p>
    <w:p>
      <w:pPr>
        <w:jc w:val="both"/>
      </w:pPr>
      <w:r>
        <w:rPr>
          <w:rFonts w:ascii="Arial" w:hAnsi="Arial"/>
          <w:b w:val="0"/>
          <w:i w:val="0"/>
          <w:sz w:val="19"/>
        </w:rPr>
        <w:t xml:space="preserve">Zur Wirkung liegt inzwischen eine quasi-experimentelle Untersuchung auf Grundlage koreanischer Verwaltungssteuerdaten vor: Kang, Lee und Quach werten die Reform von 2017 als politikinduziertes natürliches Experiment aus. Nach übereinstimmender Wiedergabe in beiden vorgenannten Quellen berichten sie drei Befunde — die betroffenen Unternehmen hätten ihre Automatisierungsinvestitionen verringert und ihre Beschäftigung erhöht; die Reform habe die Lohnungleichheit gesenkt, und zwar über ein langsameres Lohnwachstum in der oberen Hälfte der Einkommensverteilung; und der Abzug weise eine positive fiskalische Externalität auf, die Verhaltensreaktionen auf seine Kürzung hätten das Steueraufkommen also über den unmittelbaren rechnerischen Effekt hinaus erhöht. Die Verfasser schlössen daraus, eine Robotersteuer könne ein kostenwirksames Instrument der Beschäftigungssicherung sein. Diese Einordnung ist mit zwei Vorbehalten zu versehen. Der erste ist ein Prüfvermerk nach § 2.4.4 `Validierung.md`: Der Volltext der Untersuchung (SSRN 5005128) war am Stichtag maschinell nicht zu beschaffen — sowohl der Abruf über das Rechercheverfahren als auch der Direktabruf endeten mit HTTP 403 —, weshalb die von den Verfassern selbst benannten Einschränkungen und die Größenordnungen der geschätzten Effekte hier nicht wiedergegeben werden; referiert wird allein die Richtung der Befunde, wie sie in den beiden abrufbaren Quellen erscheint. Der zweite ist sachlich und folgt unmittelbar aus der Typologie des § 2.1: Untersucht worden ist die Rücknahme einer bestehenden Vergünstigung (Typ 2), nicht die Einführung einer Stücksteuer auf Roboter (Typ 1). Die Befunde stehen deshalb nicht im Widerspruch zu den in § 3.3 und § 3.5 referierten Modellergebnissen, die eine spezifische Robotersteuer überwiegend ablehnen — sie betreffen ein anderes Instrument. Die Terminologie der Untersuchung, die von einer </w:t>
      </w:r>
      <w:r>
        <w:rPr>
          <w:rFonts w:ascii="Arial" w:hAnsi="Arial"/>
          <w:b w:val="0"/>
          <w:i/>
          <w:sz w:val="19"/>
        </w:rPr>
        <w:t>robot tax</w:t>
      </w:r>
      <w:r>
        <w:rPr>
          <w:rFonts w:ascii="Arial" w:hAnsi="Arial"/>
          <w:b w:val="0"/>
          <w:i w:val="0"/>
          <w:sz w:val="19"/>
        </w:rPr>
        <w:t xml:space="preserve"> spricht, ist insoweit ein Beispiel für genau die Vermengung, vor der § 2.1 warnt. Belastbar ist der Befund damit für die Frage, wie eine Korrektur bestehender Investitionsanreize wirkt — und in dieser Frage stützt er die in § 10.2 gezogene Empfehlungslinie.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Gewinnsteuer und einer wertschöpfungsbezogenen Abgabe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jc w:val="both"/>
      </w:pPr>
      <w:r>
        <w:rPr>
          <w:rFonts w:ascii="Arial" w:hAnsi="Arial"/>
          <w:b/>
          <w:i w:val="0"/>
          <w:sz w:val="19"/>
        </w:rPr>
        <w:t>Aktualisierung (Reformjahr 2025, dokumentiert im OECD-Bericht vom 8. September 2026):</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der Organisation für wirtschaftliche Zusammenarbeit und Entwicklung weist für das Kalenderjahr 2025 erstmals seit mehreren Jahren wieder eine Satzänderung bei der IRAP aus — und zwar eine Erhöhung: Italien hat den IRAP-Satz für Banken und sonstige Finanzintermediäre um zwei Prozentpunkte von 4,65 auf 6,65 Prozent und für Versicherungsunternehmen von 5,90 auf 7,90 Prozent angehoben. Der Bericht ordnet die Maßnahme nicht der Automatisierungs- oder Technologiepolitik zu, sondern der in mehreren Ländern beobachteten Bewegung hin zu sektorspezifischen Zusatzbelastungen besonders ertragsstarker Branchen, insbesondere des Finanzsektors, zur Deckung allgemeiner Haushaltsbedarfe.</w:t>
      </w:r>
    </w:p>
    <w:p>
      <w:pPr>
        <w:jc w:val="both"/>
      </w:pPr>
      <w:r>
        <w:rPr>
          <w:rFonts w:ascii="Arial" w:hAnsi="Arial"/>
          <w:b w:val="0"/>
          <w:i w:val="0"/>
          <w:sz w:val="19"/>
        </w:rPr>
        <w:t xml:space="preserve">Für die vorliegende Frage ist der Vorgang gerade wegen dieser Nebensächlichkeit aufschlussreich. Als Italien zusätzliches Aufkommen aus dem Finanzsektor erschließen wollte, hat es keinen neuen Steuertatbestand geschaffen, sondern den Satz einer bestehenden, wertschöpfungsorientierten Abgabe sektoral differenziert angehoben. Das belegt zweierlei: Eine wertschöpfungsbasierte Bemessungsgrundlage ist erstens verwaltungsseitig hinreichend eingespielt, um kurzfristig als Stellschraube zu dienen, und sie ist zweitens sektoral differenzierbar, ohne dass dafür die Bemessungsgrundlage selbst geändert werden müsste. Beides sind Eigenschaften, die in der deutschen Debatte über die Wertschöpfungsabgabe (§ 5.1) regelmäßig bezweifelt werden. Umgekehrt zeigt derselbe Vorgang die Grenze des Referenzfalls: Die Differenzierung folgt der Ertragslage einer Branche, nicht ihrem Automatisierungsgrad. Die IRAP bleibt damit ein funktionales Äquivalent der Wertschöpfungsabgabe in der </w:t>
      </w:r>
      <w:r>
        <w:rPr>
          <w:rFonts w:ascii="Arial" w:hAnsi="Arial"/>
          <w:b w:val="0"/>
          <w:i/>
          <w:sz w:val="19"/>
        </w:rPr>
        <w:t>Bemessungsgrundlage</w:t>
      </w:r>
      <w:r>
        <w:rPr>
          <w:rFonts w:ascii="Arial" w:hAnsi="Arial"/>
          <w:b w:val="0"/>
          <w:i w:val="0"/>
          <w:sz w:val="19"/>
        </w:rPr>
        <w:t xml:space="preserve">, nicht in der </w:t>
      </w:r>
      <w:r>
        <w:rPr>
          <w:rFonts w:ascii="Arial" w:hAnsi="Arial"/>
          <w:b w:val="0"/>
          <w:i/>
          <w:sz w:val="19"/>
        </w:rPr>
        <w:t>Zielsetzung</w:t>
      </w:r>
      <w:r>
        <w:rPr>
          <w:rFonts w:ascii="Arial" w:hAnsi="Arial"/>
          <w:b w:val="0"/>
          <w:i w:val="0"/>
          <w:sz w:val="19"/>
        </w:rPr>
        <w:t xml:space="preserve"> — ein Befund, der die in § 6.3 gezogene Einordnung Italiens als dritten Punkt auf dem Spektrum zwischen Subvention und Besteuerung bestätigt und zugleich präzisiert.</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jc w:val="both"/>
      </w:pPr>
      <w:r>
        <w:rPr>
          <w:rFonts w:ascii="Arial" w:hAnsi="Arial"/>
          <w:b/>
          <w:i w:val="0"/>
          <w:sz w:val="19"/>
        </w:rPr>
        <w:t>Aktualisierung (Reformjahr 2025, dokumentiert im OECD-Bericht vom 8. September 2026) — die Digitalsteuer ist auf dem Rückzug, der Zugriff wandert in die Umsatzsteuer:</w:t>
      </w:r>
      <w:r>
        <w:rPr>
          <w:rFonts w:ascii="Arial" w:hAnsi="Arial"/>
          <w:b w:val="0"/>
          <w:i w:val="0"/>
          <w:sz w:val="19"/>
        </w:rPr>
        <w:t xml:space="preserve"> Der Bericht </w:t>
      </w:r>
      <w:r>
        <w:rPr>
          <w:rFonts w:ascii="Arial" w:hAnsi="Arial"/>
          <w:b w:val="0"/>
          <w:i/>
          <w:sz w:val="19"/>
        </w:rPr>
        <w:t>Tax Policy Reforms 2026</w:t>
      </w:r>
      <w:r>
        <w:rPr>
          <w:rFonts w:ascii="Arial" w:hAnsi="Arial"/>
          <w:b w:val="0"/>
          <w:i w:val="0"/>
          <w:sz w:val="19"/>
        </w:rPr>
        <w:t xml:space="preserve"> dokumentiert für das Kalenderjahr 2025 bei den Digitalsteuern durchgehend rückläufige Bewegungen. Kanada hat die Rücknahme seiner </w:t>
      </w:r>
      <w:r>
        <w:rPr>
          <w:rFonts w:ascii="Arial" w:hAnsi="Arial"/>
          <w:b w:val="0"/>
          <w:i/>
          <w:sz w:val="19"/>
        </w:rPr>
        <w:t>Digital Services Tax</w:t>
      </w:r>
      <w:r>
        <w:rPr>
          <w:rFonts w:ascii="Arial" w:hAnsi="Arial"/>
          <w:b w:val="0"/>
          <w:i w:val="0"/>
          <w:sz w:val="19"/>
        </w:rPr>
        <w:t xml:space="preserve"> angekündigt, einschließlich der Erstattung sämtlicher bereits vereinnahmter Beträge. Die Türkei hat ihren Digitalsteuersatz von 7,5 auf 5 Prozent für 2026 und weiter auf 2,5 Prozent für 2027 abgesenkt. Kenia hat seine dreiprozentige Abgabe auf die Übertragung digitaler Vermögenswerte aufgehoben. Eine gegenläufige Maßnahme verzeichnet der Bericht allein für Mexiko, das eine Quellenabzugsregelung für über Vermittlungsplattformen abgewickelte Geschäfte eingeführt hat — mit 2,5 Prozent bei Angabe der Steuernummer und 20 Prozent ohne sie, erklärtermaßen zur Eindämmung der Steuerhinterziehung und nicht als Belastung digitaler Geschäftsmodelle als solcher.</w:t>
      </w:r>
    </w:p>
    <w:p>
      <w:pPr>
        <w:jc w:val="both"/>
      </w:pPr>
      <w:r>
        <w:rPr>
          <w:rFonts w:ascii="Arial" w:hAnsi="Arial"/>
          <w:b w:val="0"/>
          <w:i w:val="0"/>
          <w:sz w:val="19"/>
        </w:rPr>
        <w:t xml:space="preserve">Zugleich beschreibt der Bericht die bedeutendste Umsatzsteuerentwicklung des Jahres 2025 als Fortsetzung eines gegenläufigen Trends: Weitere Jurisdiktionen haben die Erhebungspflicht für die Mehrwertsteuer auf gebietsfremde Anbieter und Online-Plattformen ausgedehnt. Der fiskalische Zugriff auf digitale Wertschöpfung verlagert sich damit von der Sonderabgabe auf den Umsatz digitaler Dienste in die allgemeine Verbrauchsbesteuerung. Das ist für die vorliegende Frage in drei Hinsichten erheblich. Erstens verliert die in der Debatte verbreitete Deutung der Digitalsteuer als funktionales Äquivalent einer Automatisierungssteuer ihre empirische Grundlage: Das Instrument wächst nicht, es schrumpft. Zweitens bestätigt der Befund die in § 9.3 behandelte Arbitrage-Überlegung von der politischen Seite — eine Sonderabgabe auf einen bestimmten Anbieterkreis erwies sich als außenpolitisch verhandelbar und damit rücknehmbar, während die in die Mehrwertsteuerlogik eingebettete Erhebungspflicht sich international ausgebreitet hat. Für eine Abgabe auf grenzüberschreitend bezogene KI-Dienste (§ 5.1, Behandlung importierter Vorleistungen; § 9.5) spricht das für die Anbindung an die bestehende Umsatzsteuersystematik statt für einen eigenständigen Steuertatbestand. Drittens verzeichnet derselbe Bericht bei der Körperschaftsteuer — deren kombinierter Durchschnittssatz im dritten Jahr in Folge stabil blieb — eine Ausweitung gezielter Vergünstigungen für Forschung und Entwicklung, neue Technologien einschließlich Künstlicher Intelligenz und strategisch bedeutsame Sektoren, etwa einen mauritischen Abzug von bis zu 150.000 Mauritius-Rupien für Investitionen in KI-Technologien. Die international dokumentierte Bewegung des Jahres 2025 zielte damit im Saldo auf </w:t>
      </w:r>
      <w:r>
        <w:rPr>
          <w:rFonts w:ascii="Arial" w:hAnsi="Arial"/>
          <w:b w:val="0"/>
          <w:i/>
          <w:sz w:val="19"/>
        </w:rPr>
        <w:t>Förderung</w:t>
      </w:r>
      <w:r>
        <w:rPr>
          <w:rFonts w:ascii="Arial" w:hAnsi="Arial"/>
          <w:b w:val="0"/>
          <w:i w:val="0"/>
          <w:sz w:val="19"/>
        </w:rPr>
        <w:t xml:space="preserve"> der Künstlichen Intelligenz, nicht auf ihre Belastung — ein Befund, der die polnische Robotisierungs-Entlastung (§ 6.3) und den südkoreanischen </w:t>
      </w:r>
      <w:r>
        <w:rPr>
          <w:rFonts w:ascii="Arial" w:hAnsi="Arial"/>
          <w:b w:val="0"/>
          <w:i/>
          <w:sz w:val="19"/>
        </w:rPr>
        <w:t>Domestic Production Tax Credit</w:t>
      </w:r>
      <w:r>
        <w:rPr>
          <w:rFonts w:ascii="Arial" w:hAnsi="Arial"/>
          <w:b w:val="0"/>
          <w:i w:val="0"/>
          <w:sz w:val="19"/>
        </w:rPr>
        <w:t xml:space="preserve"> (§ 6.1) als Einzelfälle eines allgemeinen Musters erscheinen lässt und die Erwartung dämpft, eine Robotersteuer-nahe Regelung könnte sich kurzfristig international durchsetzen.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jc w:val="both"/>
      </w:pPr>
      <w:r>
        <w:rPr>
          <w:rFonts w:ascii="Arial" w:hAnsi="Arial"/>
          <w:b/>
          <w:i w:val="0"/>
          <w:sz w:val="19"/>
        </w:rPr>
        <w:t>Empirische Gegenprobe aus dem Versorgungsalltag (Rashidi, Ugolini &amp; Fiorentini, 11. September 2026):</w:t>
      </w:r>
      <w:r>
        <w:rPr>
          <w:rFonts w:ascii="Arial" w:hAnsi="Arial"/>
          <w:b w:val="0"/>
          <w:i w:val="0"/>
          <w:sz w:val="19"/>
        </w:rPr>
        <w:t xml:space="preserve"> Für die hier beschriebene Gleichzeitigkeit von Substitution und Ergänzung liegt seit dem 11. September 2026 eine Messung aus einem europäischen Gesundheitssystem vor. Ein arXiv-Preprint (2609.12976 [econ.GN], ohne Begutachtung) untersucht die Einführung der automatisierten Insulinabgabe (</w:t>
      </w:r>
      <w:r>
        <w:rPr>
          <w:rFonts w:ascii="Arial" w:hAnsi="Arial"/>
          <w:b w:val="0"/>
          <w:i/>
          <w:sz w:val="19"/>
        </w:rPr>
        <w:t>automated insulin delivery</w:t>
      </w:r>
      <w:r>
        <w:rPr>
          <w:rFonts w:ascii="Arial" w:hAnsi="Arial"/>
          <w:b w:val="0"/>
          <w:i w:val="0"/>
          <w:sz w:val="19"/>
        </w:rPr>
        <w:t>, AID — Systeme, die die Insulindosierung auf Grundlage kontinuierlicher Glukosemessung selbsttätig steuern) bei 1.608 Erwachsenen mit Typ-1-Diabetes in vier Spezialambulanzen des italienischen Nationalen Gesundheitsdienstes, von denen 283 ein solches System übernahmen. Weil die Verordnung klinisch gezielt und zeitlich gestaffelt erfolge, verbinden die Autoren ein Matching-Verfahren (</w:t>
      </w:r>
      <w:r>
        <w:rPr>
          <w:rFonts w:ascii="Arial" w:hAnsi="Arial"/>
          <w:b w:val="0"/>
          <w:i/>
          <w:sz w:val="19"/>
        </w:rPr>
        <w:t>risk-set coarsened exact matching</w:t>
      </w:r>
      <w:r>
        <w:rPr>
          <w:rFonts w:ascii="Arial" w:hAnsi="Arial"/>
          <w:b w:val="0"/>
          <w:i w:val="0"/>
          <w:sz w:val="19"/>
        </w:rPr>
        <w:t>, ein Abgleich von Behandelten und Unbehandelten anhand grob gestufter Merkmale zum jeweiligen Übernahmezeitpunkt) mit einem gestaffelten Ereignisstudiendesign; 181 Übernehmende ließen sich mit vergleichbaren Kontrollpersonen zusammenführen. Der Befund liefe der naheliegenden Erwartung zuwider: Nach der Übernahme stiege die ambulante Inanspruchnahme, statt zu sinken. Die geschätzte Wirkung auf die Wahrscheinlichkeit eines diabetologischen Facharztkontakts betrage ein Halbjahr nach Übernahme 16,3 Prozentpunkte und nach vier Halbjahren 39,3 Prozentpunkte, gemessen an einer Ausgangswahrscheinlichkeit von 55,2 % im Halbjahr davor; HbA1c-Kontrollen und ein breiterer Prozessindex zeigten dasselbe Vorzeichen bei geringerer Präzision. Die Autoren ordnen ihr Ergebnis ausdrücklich in den aufgabenbasierten Rahmen ein (</w:t>
      </w:r>
      <w:r>
        <w:rPr>
          <w:rFonts w:ascii="Arial" w:hAnsi="Arial"/>
          <w:b w:val="0"/>
          <w:i/>
          <w:sz w:val="19"/>
        </w:rPr>
        <w:t>task-based framework</w:t>
      </w:r>
      <w:r>
        <w:rPr>
          <w:rFonts w:ascii="Arial" w:hAnsi="Arial"/>
          <w:b w:val="0"/>
          <w:i w:val="0"/>
          <w:sz w:val="19"/>
        </w:rPr>
        <w:t>, → § 3.1): Die Automatisierung ersetze die Routineentscheidung über die Dosierung und ergänze zugleich die ärztliche Arbeit in den deutenden, anpassenden und überwachenden Aufgaben; patientennahe Automatisierung könne die Inanspruchnahme daher eher umorganisieren als verringern. Sie halten selbst fest, dass die Schätzungen von der Annahme über die Fortschreibung des unbehandelten Verlaufs abhingen und nur unter diesem Vorbehalt zu lesen seien. Für die Besteuerungsfrage ist der Befund in zweierlei Hinsicht erheblich: Er stützt die hier vertretene Einschätzung, dass im Gesundheitswesen Ergänzung und Substitution nebeneinander auftreten (vgl. § 7.3), und er zeigt zugleich, wie schwer ein an der Verdrängung anknüpfender Steuertatbestand in diesem Sektor zu erfüllen wäre — die Technik ersetzte hier eine Aufgabe, ohne dass die Arbeitsnachfrage insgesamt sänke (→ § 9.1).</w:t>
      </w:r>
    </w:p>
    <w:p>
      <w:pPr>
        <w:jc w:val="both"/>
      </w:pPr>
      <w:r>
        <w:rPr>
          <w:rFonts w:ascii="Arial" w:hAnsi="Arial"/>
          <w:b/>
          <w:i w:val="0"/>
          <w:sz w:val="19"/>
        </w:rPr>
        <w:t>Branchenposition zur Servicerobotik (IFR, 24. September 2026):</w:t>
      </w:r>
      <w:r>
        <w:rPr>
          <w:rFonts w:ascii="Arial" w:hAnsi="Arial"/>
          <w:b w:val="0"/>
          <w:i w:val="0"/>
          <w:sz w:val="19"/>
        </w:rPr>
        <w:t xml:space="preserve"> Am 24. September 2026 hat die </w:t>
      </w:r>
      <w:r>
        <w:rPr>
          <w:rFonts w:ascii="Arial" w:hAnsi="Arial"/>
          <w:b w:val="0"/>
          <w:i/>
          <w:sz w:val="19"/>
        </w:rPr>
        <w:t>International Federation of Robotics</w:t>
      </w:r>
      <w:r>
        <w:rPr>
          <w:rFonts w:ascii="Arial" w:hAnsi="Arial"/>
          <w:b w:val="0"/>
          <w:i w:val="0"/>
          <w:sz w:val="19"/>
        </w:rPr>
        <w:t xml:space="preserve"> ein Positionspapier zur professionellen Servicerobotik veröffentlicht (zur Definitionsfrage → § 2.2). Es handelt sich um die Stellungnahme eines Branchenverbandes und ist als solche zu lesen, nicht als Erhebung; das Papier selbst ist nur nach Registrierung zugänglich, herangezogen ist deshalb die frei abrufbare Pressemitteilung (</w:t>
      </w:r>
      <w:r>
        <w:rPr>
          <w:rFonts w:ascii="Arial" w:hAnsi="Arial"/>
          <w:b w:val="0"/>
          <w:i/>
          <w:sz w:val="19"/>
        </w:rPr>
        <w:t>Prüfvermerk</w:t>
      </w:r>
      <w:r>
        <w:rPr>
          <w:rFonts w:ascii="Arial" w:hAnsi="Arial"/>
          <w:b w:val="0"/>
          <w:i w:val="0"/>
          <w:sz w:val="19"/>
        </w:rPr>
        <w:t xml:space="preserve"> nach § 2.4.3 `Validierung.md`). Die Kernaussage ist für dieses Kapitel gleichwohl einschlägig, weil sie die vorstehend beschriebene Gleichzeitigkeit von Substitution und Ergänzung aus Sicht der Anbieterseite formuliert: Stärkster Treiber der Verbreitung seien Arbeitskräftemangel und demografischer Wandel — alternde Bevölkerungen und sinkende Geburtenzahlen verringerten das Arbeitsangebot, während die Nachfrage nach Gesundheits-, Beherbergungs-, Logistik- und öffentlichen Dienstleistungen weiter wachse; Roboter ersetzten daher nicht Beschäftigte, sondern übernähmen wiederkehrende, körperlich belastende, gefährliche oder zeitraubende Aufgaben. Der Verband benennt ferner Vertrauen und Sicherheit als kritische Verbreitungsbedingungen (Cybersicherheit, Datenschutz, verantwortliche KI, klare Zurechnung von Verantwortung, sichere Mensch-Roboter-Interaktion) und hält fest, dass sich keine einzelne Bauform durchsetzen werde — mobile Systeme, stationäre Anlagen, Drohnen, laufende Maschinen und humanoide Plattformen hätten je nach Anwendung verschiedene Vorzüge. Für die Besteuerungsfrage ist das in zwei Richtungen aufschlussreich. Es stützt erstens den in diesem Abschnitt dokumentierten Befund, dass im Gesundheitswesen der demografisch bedingte Mehrbedarf mögliche Substitutionswirkungen überlagert. Es ist zweitens interessengeleitet: Ein an der Verdrängung menschlicher Arbeit anknüpfender Steuertatbestand (§ 2.3) setzte gerade den Nachweis voraus, den der Verband für seinen Sektor bestreitet; die Aussage, Roboter füllten Lücken, statt Arbeit zu ersetzen, ist in dieser Allgemeinheit eine Positionierung und keine Messung. Sie ist hier deshalb referiert, nicht übernommen — die für den deutschen Versorgungsalltag belastbare Evidenz bleibt die im vorstehenden Absatz zitierte Messung.</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jc w:val="both"/>
      </w:pPr>
      <w:r>
        <w:rPr>
          <w:rFonts w:ascii="Arial" w:hAnsi="Arial"/>
          <w:b/>
          <w:i w:val="0"/>
          <w:sz w:val="19"/>
        </w:rPr>
        <w:t>Neunte Fortschreibung (Rede zur Lage der Union 2026, 16. September 2026 — die Souveränitätsspur erhält ihre Gesamtbilanz, die Finanzierungsspur nicht):</w:t>
      </w:r>
      <w:r>
        <w:rPr>
          <w:rFonts w:ascii="Arial" w:hAnsi="Arial"/>
          <w:b w:val="0"/>
          <w:i w:val="0"/>
          <w:sz w:val="19"/>
        </w:rPr>
        <w:t xml:space="preserve"> Die in den vorstehenden Fortschreibungen verfolgte europäische Spur ist am </w:t>
      </w:r>
      <w:r>
        <w:rPr>
          <w:rFonts w:ascii="Arial" w:hAnsi="Arial"/>
          <w:b w:val="0"/>
          <w:i/>
          <w:sz w:val="19"/>
        </w:rPr>
        <w:t>16. September 2026</w:t>
      </w:r>
      <w:r>
        <w:rPr>
          <w:rFonts w:ascii="Arial" w:hAnsi="Arial"/>
          <w:b w:val="0"/>
          <w:i w:val="0"/>
          <w:sz w:val="19"/>
        </w:rPr>
        <w:t xml:space="preserve"> mit der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auf einen amtlich bilanzierten Stand gebracht worden. Als Primärquelle liegt die begleitende Bilanzschrift der Kommission vor (Europäische Kommission, Generaldirektion Kommunikation, </w:t>
      </w:r>
      <w:r>
        <w:rPr>
          <w:rFonts w:ascii="Arial" w:hAnsi="Arial"/>
          <w:b w:val="0"/>
          <w:i/>
          <w:sz w:val="19"/>
        </w:rPr>
        <w:t>State of the Union 2026 — From promise to progress: second year in office</w:t>
      </w:r>
      <w:r>
        <w:rPr>
          <w:rFonts w:ascii="Arial" w:hAnsi="Arial"/>
          <w:b w:val="0"/>
          <w:i w:val="0"/>
          <w:sz w:val="19"/>
        </w:rPr>
        <w:t xml:space="preserve">, Amt für Veröffentlichungen der Europäischen Union, Luxemburg 2026, PDF-ISBN 978-92-68-41057-8, doi:10.2775/1206124, CC BY 4.0); der gesprochene Redetext war zum Redaktionsschluss dieses Laufs noch nicht abrufbar, weshalb sich die folgenden Angaben ausschließlich auf die Bilanzschrift stützen. Sie ordnet die bislang einzeln dokumentierten Vorhaben erstmals in einen Rahmen: Über die </w:t>
      </w:r>
      <w:r>
        <w:rPr>
          <w:rFonts w:ascii="Arial" w:hAnsi="Arial"/>
          <w:b w:val="0"/>
          <w:i/>
          <w:sz w:val="19"/>
        </w:rPr>
        <w:t>InvestAI</w:t>
      </w:r>
      <w:r>
        <w:rPr>
          <w:rFonts w:ascii="Arial" w:hAnsi="Arial"/>
          <w:b w:val="0"/>
          <w:i w:val="0"/>
          <w:sz w:val="19"/>
        </w:rPr>
        <w:t xml:space="preserve">-Initiative sollen 200 Milliarden Euro öffentlichen und privaten Kapitals mobilisiert werden; eine </w:t>
      </w:r>
      <w:r>
        <w:rPr>
          <w:rFonts w:ascii="Arial" w:hAnsi="Arial"/>
          <w:b w:val="0"/>
          <w:i/>
          <w:sz w:val="19"/>
        </w:rPr>
        <w:t>Apply-AI</w:t>
      </w:r>
      <w:r>
        <w:rPr>
          <w:rFonts w:ascii="Arial" w:hAnsi="Arial"/>
          <w:b w:val="0"/>
          <w:i w:val="0"/>
          <w:sz w:val="19"/>
        </w:rPr>
        <w:t xml:space="preserve">-Strategie soll die Übernahme von KI in Schlüsselsektoren von der Gesundheitsversorgung über die fortgeschrittene Fertigung bis zur Pharmaindustrie unterstützen; neunzehn </w:t>
      </w:r>
      <w:r>
        <w:rPr>
          <w:rFonts w:ascii="Arial" w:hAnsi="Arial"/>
          <w:b w:val="0"/>
          <w:i/>
          <w:sz w:val="19"/>
        </w:rPr>
        <w:t>AI factories</w:t>
      </w:r>
      <w:r>
        <w:rPr>
          <w:rFonts w:ascii="Arial" w:hAnsi="Arial"/>
          <w:b w:val="0"/>
          <w:i w:val="0"/>
          <w:sz w:val="19"/>
        </w:rPr>
        <w:t xml:space="preserve"> befänden sich im Aufbau, und die in der Grundfassung dieses Abschnitts dokumentierte Ausschreibung der ersten </w:t>
      </w:r>
      <w:r>
        <w:rPr>
          <w:rFonts w:ascii="Arial" w:hAnsi="Arial"/>
          <w:b w:val="0"/>
          <w:i/>
          <w:sz w:val="19"/>
        </w:rPr>
        <w:t>AI gigafactories</w:t>
      </w:r>
      <w:r>
        <w:rPr>
          <w:rFonts w:ascii="Arial" w:hAnsi="Arial"/>
          <w:b w:val="0"/>
          <w:i w:val="0"/>
          <w:sz w:val="19"/>
        </w:rPr>
        <w:t xml:space="preserve"> wird mit dem Zeitpunkt Juli 2026 bestätigt, womit die dort aus der Pressemitteilung IP/26/1708 übernommene Datierung (30. Juli 2026) amtlich gedeckt ist. Das im Juni 2026 vorgelegte </w:t>
      </w:r>
      <w:r>
        <w:rPr>
          <w:rFonts w:ascii="Arial" w:hAnsi="Arial"/>
          <w:b w:val="0"/>
          <w:i/>
          <w:sz w:val="19"/>
        </w:rPr>
        <w:t>Tech Sovereignty Package</w:t>
      </w:r>
      <w:r>
        <w:rPr>
          <w:rFonts w:ascii="Arial" w:hAnsi="Arial"/>
          <w:b w:val="0"/>
          <w:i w:val="0"/>
          <w:sz w:val="19"/>
        </w:rPr>
        <w:t xml:space="preserve"> umfasst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eine </w:t>
      </w:r>
      <w:r>
        <w:rPr>
          <w:rFonts w:ascii="Arial" w:hAnsi="Arial"/>
          <w:b w:val="0"/>
          <w:i/>
          <w:sz w:val="19"/>
        </w:rPr>
        <w:t>Strategic Roadmap for Digitalisation and AI in Energy</w:t>
      </w:r>
      <w:r>
        <w:rPr>
          <w:rFonts w:ascii="Arial" w:hAnsi="Arial"/>
          <w:b w:val="0"/>
          <w:i w:val="0"/>
          <w:sz w:val="19"/>
        </w:rPr>
        <w:t xml:space="preserve"> (rechtliche Einordnung in § 4.4); für den bisherigen </w:t>
      </w:r>
      <w:r>
        <w:rPr>
          <w:rFonts w:ascii="Arial" w:hAnsi="Arial"/>
          <w:b w:val="0"/>
          <w:i/>
          <w:sz w:val="19"/>
        </w:rPr>
        <w:t>Chips Act</w:t>
      </w:r>
      <w:r>
        <w:rPr>
          <w:rFonts w:ascii="Arial" w:hAnsi="Arial"/>
          <w:b w:val="0"/>
          <w:i w:val="0"/>
          <w:sz w:val="19"/>
        </w:rPr>
        <w:t xml:space="preserve"> nennt die Bilanzschrift ein ausgelöstes Halbleiter-Investitionsvolumen von mehr als 52 Milliarden Euro. Sämtliche Angaben sind Selbstauskünfte der Kommission über eigene Vorhaben und deshalb nach § 4.2 im Konjunktiv referiert.</w:t>
      </w:r>
    </w:p>
    <w:p>
      <w:pPr>
        <w:jc w:val="both"/>
      </w:pPr>
      <w:r>
        <w:rPr>
          <w:rFonts w:ascii="Arial" w:hAnsi="Arial"/>
          <w:b w:val="0"/>
          <w:i w:val="0"/>
          <w:sz w:val="19"/>
        </w:rPr>
        <w:t xml:space="preserve">Für die Deutschland-These ist weniger der Bestand dieser Vorhaben aufschlussreich als die Art, wie die Bilanzschrift die Arbeitsmarktfrage beantwortet. Sie benennt sie ausdrücklich — viele Beschäftigte fragten, was Künstliche Intelligenz und neue Technologien für ihre Zukunft bedeuteten, Unternehmen restrukturierten, Industrien stünden unter globalem Wettbewerbsdruck — und beantwortet sie vollständig über Qualifizierung: über die </w:t>
      </w:r>
      <w:r>
        <w:rPr>
          <w:rFonts w:ascii="Arial" w:hAnsi="Arial"/>
          <w:b w:val="0"/>
          <w:i/>
          <w:sz w:val="19"/>
        </w:rPr>
        <w:t>Union of Skills</w:t>
      </w:r>
      <w:r>
        <w:rPr>
          <w:rFonts w:ascii="Arial" w:hAnsi="Arial"/>
          <w:b w:val="0"/>
          <w:i w:val="0"/>
          <w:sz w:val="19"/>
        </w:rPr>
        <w:t xml:space="preserve">, über eine </w:t>
      </w:r>
      <w:r>
        <w:rPr>
          <w:rFonts w:ascii="Arial" w:hAnsi="Arial"/>
          <w:b w:val="0"/>
          <w:i/>
          <w:sz w:val="19"/>
        </w:rPr>
        <w:t>Skills Guarantee</w:t>
      </w:r>
      <w:r>
        <w:rPr>
          <w:rFonts w:ascii="Arial" w:hAnsi="Arial"/>
          <w:b w:val="0"/>
          <w:i w:val="0"/>
          <w:sz w:val="19"/>
        </w:rPr>
        <w:t>, die Beschäftigte aus tiefgreifend umgebauten Sektoren in wachsende Bereiche mit Arbeitskräftemangel begleiten soll, und über die Angabe, seit 2020 hätten mehr als zehn Millionen Menschen von Weiterbildungs- und Umschulungsmaßnahmen profitiert, davon 3,9 Millionen allein im Jahr 2025. Eine fiskalische oder verteilungspolitische Komponente enthält die Bilanzschrift dagegen nicht: Das Stichwort Besteuerung taucht in ihr allein als eines von zwölf Feldern der Verwaltungsvereinfachung auf (Entlastungsziel 37,5 Milliarden Euro bis zum Ende des Mandats, davon 17 Milliarden Euro bereits erreicht — vgl. die in der ersten Fortschreibung referierten Omnibus-Pakete) sowie im Zusammenhang mit Netzentgelten für Strom. Eine Abgabe, ein Beteiligungsfonds oder eine Anpassung der Sozialversicherungs-Bemessungsgrundlage mit Bezug auf KI-bedingte Substitution kommt nicht vor.</w:t>
      </w:r>
    </w:p>
    <w:p>
      <w:pPr>
        <w:jc w:val="both"/>
      </w:pPr>
      <w:r>
        <w:rPr>
          <w:rFonts w:ascii="Arial" w:hAnsi="Arial"/>
          <w:b w:val="0"/>
          <w:i w:val="0"/>
          <w:sz w:val="19"/>
        </w:rPr>
        <w:t xml:space="preserve">Damit liegt für die in § 4.5 im Zusammenhang mit dem OpenAI-Papier festgehaltene </w:t>
      </w:r>
      <w:r>
        <w:rPr>
          <w:rFonts w:ascii="Arial" w:hAnsi="Arial"/>
          <w:b w:val="0"/>
          <w:i/>
          <w:sz w:val="19"/>
        </w:rPr>
        <w:t>Europa-Leerstelle</w:t>
      </w:r>
      <w:r>
        <w:rPr>
          <w:rFonts w:ascii="Arial" w:hAnsi="Arial"/>
          <w:b w:val="0"/>
          <w:i w:val="0"/>
          <w:sz w:val="19"/>
        </w:rPr>
        <w:t xml:space="preserve"> erstmals ein datierter Primärbeleg aus der europäischen Ebene selbst vor — allerdings mit einer wichtigen Einschränkung, die der Fairness halber mitzuführen ist: Der Union fehlt für direkte Steuern die umfassende Kompetenz (§ 4.4), weshalb das Fehlen eines Abgabentatbestands in einem Kommissionsdokument nicht ohne Weiteres als politisches Versäumnis gelesen werden kann. Die Beobachtung bleibt gleichwohl substanziell, weil die Sozialversicherungsfinanzierung (§ 5.1, § 5.2) und die Teilhabefrage (§ 8.3) auf mitgliedstaatlicher Ebene liegen und die europäische Ebene sie in ihrer Jahresbilanz auch nicht als koordinierungsbedürftig markiert. Dieselbe Lücke ist sechs Tage vor der Rede unabhängig prognostiziert worden: In einer Vorschau des </w:t>
      </w:r>
      <w:r>
        <w:rPr>
          <w:rFonts w:ascii="Arial" w:hAnsi="Arial"/>
          <w:b w:val="0"/>
          <w:i/>
          <w:sz w:val="19"/>
        </w:rPr>
        <w:t>European Policy Centre</w:t>
      </w:r>
      <w:r>
        <w:rPr>
          <w:rFonts w:ascii="Arial" w:hAnsi="Arial"/>
          <w:b w:val="0"/>
          <w:i w:val="0"/>
          <w:sz w:val="19"/>
        </w:rPr>
        <w:t xml:space="preserve"> vom 10. September 2026 hat </w:t>
      </w:r>
      <w:r>
        <w:rPr>
          <w:rFonts w:ascii="Arial" w:hAnsi="Arial"/>
          <w:b w:val="0"/>
          <w:i/>
          <w:sz w:val="19"/>
        </w:rPr>
        <w:t>Elizabeth Kuiper</w:t>
      </w:r>
      <w:r>
        <w:rPr>
          <w:rFonts w:ascii="Arial" w:hAnsi="Arial"/>
          <w:b w:val="0"/>
          <w:i w:val="0"/>
          <w:sz w:val="19"/>
        </w:rPr>
        <w:t xml:space="preserve"> der Kommission vorgehalten, sie habe sich vorrangig auf das Verhältnis von KI-Regulierung und KI-Adoption konzentriert und dabei die tieferliegenden strukturellen Wirkungen der Technologie auf Beschäftigung, Einkommenssicherheit und territorialen Zusammenhalt in der Union übersehen. Für die drei Säulen der Deutschland-These (§ 8.5) folgt daraus keine Änderung der Position, wohl aber eine Präzisierung ihrer Arbeitsteilung: Die Veredelungsstrategie findet auf der europäischen Ebene einen zunehmend dicht besetzten institutionellen Rahmen vor, an den sie anschließen kann; Wertschöpfungsabgabe und Teilhabefonds finden dort bis auf Weiteres keinen Anknüpfungspunkt und bleiben national zu entwickeln (§ 9.5).</w:t>
      </w:r>
    </w:p>
    <w:p>
      <w:pPr>
        <w:jc w:val="both"/>
      </w:pPr>
      <w:r>
        <w:rPr>
          <w:rFonts w:ascii="Arial" w:hAnsi="Arial"/>
          <w:b/>
          <w:i w:val="0"/>
          <w:sz w:val="19"/>
        </w:rPr>
        <w:t>Zehnte Fortschreibung (handelsbasierte Vermessung der KI-Zulieferfähigkeit — Moon, Hwang, Hwang &amp; Jeong, 15. September 2026):</w:t>
      </w:r>
      <w:r>
        <w:rPr>
          <w:rFonts w:ascii="Arial" w:hAnsi="Arial"/>
          <w:b w:val="0"/>
          <w:i w:val="0"/>
          <w:sz w:val="19"/>
        </w:rPr>
        <w:t xml:space="preserve"> Die Rohstoff-Analogie dieses Abschnitts ist bislang entlang der Modell- und der Rechenschicht geführt worden. Ein arXiv-Preprint vom 15. September 2026 (2609.17200, ohne Begutachtung) vermisst die vorgelagerte </w:t>
      </w:r>
      <w:r>
        <w:rPr>
          <w:rFonts w:ascii="Arial" w:hAnsi="Arial"/>
          <w:b w:val="0"/>
          <w:i/>
          <w:sz w:val="19"/>
        </w:rPr>
        <w:t>Güterschicht</w:t>
      </w:r>
      <w:r>
        <w:rPr>
          <w:rFonts w:ascii="Arial" w:hAnsi="Arial"/>
          <w:b w:val="0"/>
          <w:i w:val="0"/>
          <w:sz w:val="19"/>
        </w:rPr>
        <w:t xml:space="preserve"> und liefert damit einen Bezugspunkt, der für die erste Säule der These — die Veredelungsstrategie — unmittelbar einschlägig ist. Die Autoren übertragen den Ansatz der ökonomischen Komplexität (ein handelsdatengestütztes Maß dafür, wie anspruchsvoll und wie breit das Exportbündel einer Volkswirtschaft ist) auf 103 als KI-ermöglichend eingestufte Warenpositionen und werten dafür die BACI-Handelsdaten der Jahre 2007 bis 2023 für 162 auswertbare Volkswirtschaften aus. Der Weltexport dieser Warengruppe sei nominal von 1,52 auf 2,82 Billionen US-Dollar gestiegen; die fünf größten Exporteure hielten 2023 zusammen 55,2 % davon. Die Warengruppe sei überdurchschnittlich anspruchsvoll: Ihr mittlerer Produktkomplexitätsindex liege bei 0,837 gegenüber rund null im gesamten Warenraum, 58,3 % der Positionen lägen im obersten Komplexitätsquartil. Für die Deutschland-These ist die Rangfolge des Jahres 2023 der eigentliche Befund: Beim komplexitätsgewichteten Spezialisierungsmaß (AECI) führe Japan mit 3,996 vor China mit 3,666 und </w:t>
      </w:r>
      <w:r>
        <w:rPr>
          <w:rFonts w:ascii="Arial" w:hAnsi="Arial"/>
          <w:b/>
          <w:i w:val="0"/>
          <w:sz w:val="19"/>
        </w:rPr>
        <w:t>Deutschland mit 3,535</w:t>
      </w:r>
      <w:r>
        <w:rPr>
          <w:rFonts w:ascii="Arial" w:hAnsi="Arial"/>
          <w:b w:val="0"/>
          <w:i w:val="0"/>
          <w:sz w:val="19"/>
        </w:rPr>
        <w:t>; die Vereinigten Staaten folgten mit 2,991 vor Taiwan mit 2,977, Südkorea erreiche 2,241 und Italien 1,643. Deutschland weise in 61 der 103 Positionen eine offenbarte Spezialisierung auf (Japan 64, China 66, Vereinigte Staaten 53) bei einer mittleren normierten Produktkomplexität von 0,654. Auch bei den verbleibenden Anschlussmöglichkeiten (AECP) stehe Deutschland mit 3,382 und 42 Kandidatenpositionen an dritter Stelle hinter China (4,144) und Italien (3,442). Das Bild fügt sich in die hier vertretene Position: Deutschland ist in der Modellschicht nachrangig (§ 8.2, erste bis neunte Fortschreibung), in der Schicht der Güter, ohne die diese Modelle nicht gebaut und betrieben werden können, aber unter den drei stärksten Volkswirtschaften. Genau dort setzt die Veredelungsstrategie an (§ 8.5). Die Autoren selbst schränken ein, ihre Kennzahlen seien eine vorläufige Ergänzung zu Publikations- und Patentindikatoren, kein umfassendes Maß nationaler KI-Leistungsfähigkeit und keine geprüfte Prognose künftiger Diversifizierung; der Zusammenhang zwischen dem anfänglichen Rohpotenzial und der späteren Veränderung von AECI und Spezialisierungszahl sei auf dem 5-Prozent-Niveau nicht signifikant. Mit diesem Vorbehalt ist der Befund hier als Standortbestimmung, nicht als Prognose zu lesen.</w:t>
      </w:r>
    </w:p>
    <w:p>
      <w:pPr>
        <w:jc w:val="both"/>
      </w:pPr>
      <w:r>
        <w:rPr>
          <w:rFonts w:ascii="Arial" w:hAnsi="Arial"/>
          <w:b/>
          <w:i w:val="0"/>
          <w:sz w:val="19"/>
        </w:rPr>
        <w:t>Elfte Fortschreibung (Strategiekreis für Technologie und Innovation des Bundeskanzlers, 16. September 2026 — die Veredelungsspur erhält eine Regierungsentsprechung, die Finanzierungsspur wieder nicht):</w:t>
      </w:r>
      <w:r>
        <w:rPr>
          <w:rFonts w:ascii="Arial" w:hAnsi="Arial"/>
          <w:b w:val="0"/>
          <w:i w:val="0"/>
          <w:sz w:val="19"/>
        </w:rPr>
        <w:t xml:space="preserve"> Am selben Tag, an dem die europäische Ebene ihre Gesamtbilanz gezogen hat (Neunte Fortschreibung), hat der Bundeskanzler den </w:t>
      </w:r>
      <w:r>
        <w:rPr>
          <w:rFonts w:ascii="Arial" w:hAnsi="Arial"/>
          <w:b w:val="0"/>
          <w:i/>
          <w:sz w:val="19"/>
        </w:rPr>
        <w:t>Strategiekreis für Technologie und Innovation</w:t>
      </w:r>
      <w:r>
        <w:rPr>
          <w:rFonts w:ascii="Arial" w:hAnsi="Arial"/>
          <w:b w:val="0"/>
          <w:i w:val="0"/>
          <w:sz w:val="19"/>
        </w:rPr>
        <w:t xml:space="preserve"> zu seiner dritten Sitzung im Bundeskanzleramt empfangen. Beteiligt waren neben der Leitung des Kanzleramts die Ressorts für Wirtschaft und Energie (BMWE), Forschung, Technologie und Raumfahrt (BMFTR), Digitales und Staatsmodernisierung (BMDS), Finanzen (BMF) und Verteidigung (BMVg) sowie acht Sachverständige aus Wirtschaft und Wissenschaft, darunter der Präsident der Deutschen Akademie der Technikwissenschaften (acatech), der Präsident der Fraunhofer-Gesellschaft sowie Unternehmensvertreterinnen und -vertreter aus der Sprachtechnologie und der Biotechnologie. Zwei Schwerpunkte standen auf der Tagesordnung: die Stärkung des nationalen KI-Ökosystems und Innovationspotenziale im Verteidigungsbereich. Zur ersten Frage kommt das Gremium zu dem Ergebnis, dass gerade die </w:t>
      </w:r>
      <w:r>
        <w:rPr>
          <w:rFonts w:ascii="Arial" w:hAnsi="Arial"/>
          <w:b w:val="0"/>
          <w:i/>
          <w:sz w:val="19"/>
        </w:rPr>
        <w:t>industrielle</w:t>
      </w:r>
      <w:r>
        <w:rPr>
          <w:rFonts w:ascii="Arial" w:hAnsi="Arial"/>
          <w:b w:val="0"/>
          <w:i w:val="0"/>
          <w:sz w:val="19"/>
        </w:rPr>
        <w:t xml:space="preserve"> Künstliche Intelligenz eine besondere Chance biete, Deutschland als KI-Nation zu etablieren; empfohlen werden eine Verzahnung der </w:t>
      </w:r>
      <w:r>
        <w:rPr>
          <w:rFonts w:ascii="Arial" w:hAnsi="Arial"/>
          <w:b w:val="0"/>
          <w:i/>
          <w:sz w:val="19"/>
        </w:rPr>
        <w:t>Hightech Agenda Deutschland</w:t>
      </w:r>
      <w:r>
        <w:rPr>
          <w:rFonts w:ascii="Arial" w:hAnsi="Arial"/>
          <w:b w:val="0"/>
          <w:i w:val="0"/>
          <w:sz w:val="19"/>
        </w:rPr>
        <w:t xml:space="preserve"> mit den europäischen Vorhaben von gemeinsamem europäischem Interesse (Important Projects of Common European Interest, IPCEI) sowie der Einsatz einer KI-Taskforce der Bundesregierung. Erörtert wurden ferner das Potenzial Künstlicher Intelligenz für die nächste Robotikgeneration (vgl. § 2.2) und der Schutz geistigen Eigentums.</w:t>
      </w:r>
    </w:p>
    <w:p>
      <w:pPr>
        <w:jc w:val="both"/>
      </w:pPr>
      <w:r>
        <w:rPr>
          <w:rFonts w:ascii="Arial" w:hAnsi="Arial"/>
          <w:b w:val="0"/>
          <w:i w:val="0"/>
          <w:sz w:val="19"/>
        </w:rPr>
        <w:t xml:space="preserve">Für die erste Säule der These — die Veredelungsstrategie — ist der Vorgang in drei Hinsichten aufschlussreich. </w:t>
      </w:r>
      <w:r>
        <w:rPr>
          <w:rFonts w:ascii="Arial" w:hAnsi="Arial"/>
          <w:b w:val="0"/>
          <w:i/>
          <w:sz w:val="19"/>
        </w:rPr>
        <w:t>Erstens</w:t>
      </w:r>
      <w:r>
        <w:rPr>
          <w:rFonts w:ascii="Arial" w:hAnsi="Arial"/>
          <w:b w:val="0"/>
          <w:i w:val="0"/>
          <w:sz w:val="19"/>
        </w:rPr>
        <w:t xml:space="preserve"> formuliert ein Beratungsgremium der Regierungsspitze eine Zielbestimmung, die strukturell mit der in diesem Abschnitt vertretenen Position übereinstimmt: Der deutsche Zugriff wird nicht auf der Ebene des Basismodells, sondern auf der industriellen Anwendungs- und Veredelungsschicht gesucht. </w:t>
      </w:r>
      <w:r>
        <w:rPr>
          <w:rFonts w:ascii="Arial" w:hAnsi="Arial"/>
          <w:b w:val="0"/>
          <w:i/>
          <w:sz w:val="19"/>
        </w:rPr>
        <w:t>Zweitens</w:t>
      </w:r>
      <w:r>
        <w:rPr>
          <w:rFonts w:ascii="Arial" w:hAnsi="Arial"/>
          <w:b w:val="0"/>
          <w:i w:val="0"/>
          <w:sz w:val="19"/>
        </w:rPr>
        <w:t xml:space="preserve"> reproduziert der Beschluss zugleich die Leerstelle, die in § 4.5 gegenüber dem OpenAI-Papier und in der Neunten Fortschreibung gegenüber der europäischen Bilanz festgehalten worden ist: Die Antwort bleibt vollständig industrie- und förderpolitisch; Finanzierung, Bemessungsgrundlage und Teilhabe (§ 8.3) kommen nicht vor, obwohl mit dem Bundesfinanzministerium das dafür zuständige Ressort am Tisch saß. Die Veredelungsspur und die Finanzierungsspur der These werden damit auf Regierungsebene weiterhin getrennt geführt. </w:t>
      </w:r>
      <w:r>
        <w:rPr>
          <w:rFonts w:ascii="Arial" w:hAnsi="Arial"/>
          <w:b w:val="0"/>
          <w:i/>
          <w:sz w:val="19"/>
        </w:rPr>
        <w:t>Drittens</w:t>
      </w:r>
      <w:r>
        <w:rPr>
          <w:rFonts w:ascii="Arial" w:hAnsi="Arial"/>
          <w:b w:val="0"/>
          <w:i w:val="0"/>
          <w:sz w:val="19"/>
        </w:rPr>
        <w:t xml:space="preserve"> handelt es sich um Empfehlungen eines Beratungsgremiums, nicht um Beschlusslage; sie wären erst über die </w:t>
      </w:r>
      <w:r>
        <w:rPr>
          <w:rFonts w:ascii="Arial" w:hAnsi="Arial"/>
          <w:b w:val="0"/>
          <w:i/>
          <w:sz w:val="19"/>
        </w:rPr>
        <w:t>Hightech Agenda Deutschland</w:t>
      </w:r>
      <w:r>
        <w:rPr>
          <w:rFonts w:ascii="Arial" w:hAnsi="Arial"/>
          <w:b w:val="0"/>
          <w:i w:val="0"/>
          <w:sz w:val="19"/>
        </w:rPr>
        <w:t>, die Haushaltsaufstellung und gegebenenfalls ein IPCEI-Verfahren umzusetzen (Konjunktivpflicht nach § 4.2 `Claude.md`). Ein Verfahrensvermerk ist mitzuführen: Die amtliche Meldung des Bundeskanzlers enthält lediglich die Terminankündigung mit den beiden Themenschwerpunkten; der inhaltliche Bericht mit den oben referierten Empfehlungen stammt von acatech, das den Strategiekreis wissenschaftlich begleitet — also von einem Beteiligten und nicht von einer unabhängigen Instanz. Zahlenangaben zu Investitionsvolumina oder Förderhöhen enthält keine der beiden Quellen.</w:t>
      </w:r>
    </w:p>
    <w:p>
      <w:pPr>
        <w:jc w:val="both"/>
      </w:pPr>
      <w:r>
        <w:rPr>
          <w:rFonts w:ascii="Arial" w:hAnsi="Arial"/>
          <w:b/>
          <w:i w:val="0"/>
          <w:sz w:val="19"/>
        </w:rPr>
        <w:t>Zwölfte Fortschreibung (Hintergrundpapier des Internationalen Währungsfonds für den informellen Rat der Wirtschafts- und Finanzminister, Dublin, 18./19. September 2026 — die Rohstoff-Analogie erhält eine institutionelle Entsprechung):</w:t>
      </w:r>
      <w:r>
        <w:rPr>
          <w:rFonts w:ascii="Arial" w:hAnsi="Arial"/>
          <w:b w:val="0"/>
          <w:i w:val="0"/>
          <w:sz w:val="19"/>
        </w:rPr>
        <w:t xml:space="preserve"> Die in § 3.3 referierte Positionsbestimmung des Fonds vom April 2026 ist global angelegt. Am </w:t>
      </w:r>
      <w:r>
        <w:rPr>
          <w:rFonts w:ascii="Arial" w:hAnsi="Arial"/>
          <w:b w:val="0"/>
          <w:i/>
          <w:sz w:val="19"/>
        </w:rPr>
        <w:t>18. und 19. September 2026</w:t>
      </w:r>
      <w:r>
        <w:rPr>
          <w:rFonts w:ascii="Arial" w:hAnsi="Arial"/>
          <w:b w:val="0"/>
          <w:i w:val="0"/>
          <w:sz w:val="19"/>
        </w:rPr>
        <w:t xml:space="preserve"> hat der Fonds diese Linie erstmals ausdrücklich auf Europa angewandt: Für den informellen Rat der Wirtschafts- und Finanzminister der Europäischen Union in Dublin, dessen zweite Arbeitssitzung unter dem Titel </w:t>
      </w:r>
      <w:r>
        <w:rPr>
          <w:rFonts w:ascii="Arial" w:hAnsi="Arial"/>
          <w:b w:val="0"/>
          <w:i/>
          <w:sz w:val="19"/>
        </w:rPr>
        <w:t>Preparing the Economy for the Future — The Impact of Artificial Intelligence</w:t>
      </w:r>
      <w:r>
        <w:rPr>
          <w:rFonts w:ascii="Arial" w:hAnsi="Arial"/>
          <w:b w:val="0"/>
          <w:i w:val="0"/>
          <w:sz w:val="19"/>
        </w:rPr>
        <w:t xml:space="preserve"> stand, hat er ein Hintergrundpapier vorgelegt. Nach der Berichterstattung der Nachrichtenagentur Reuters vom 19./20. September 2026 hebe Künstliche Intelligenz die europäische Produktivität um rund ein Prozent über fünf Jahre — eine Größenordnung, die mit der bereits veröffentlichten Schätzung des Fonds von rund 1,1 Prozent kumuliert über fünf Jahre übereinstimmt —, drohe aber zugleich die Ungleichheit zu vergrößern, die Stromnetze zu belasten und die Abhängigkeit von ausländischer Technologie zu erhöhen, sofern die Mitgliedstaaten die wirtschaftliche Integration nicht vertieften. Nutzen und Kosten seien voraussichtlich ungleich über Länder, Regionen und Beschäftigte verteilt; rund 60 Prozent der Beschäftigten in den fortgeschrittenen europäischen Volkswirtschaften arbeiteten in Berufen mit hoher KI-Exposition. Die europäischen Rechenzentren verbrauchten bereits rund drei Prozent des Stroms des Kontinents, mit besonderer Belastung der Ballungsräume Frankfurt, London, Amsterdam, Paris und Dublin. Empfohlen werden die Vollendung des Binnenmarktes, Investitionen in grenzüberschreitende Netzinfrastruktur und eine tiefere Integration des europäischen Energiemarktes.</w:t>
      </w:r>
    </w:p>
    <w:p>
      <w:pPr>
        <w:jc w:val="both"/>
      </w:pPr>
      <w:r>
        <w:rPr>
          <w:rFonts w:ascii="Arial" w:hAnsi="Arial"/>
          <w:b w:val="0"/>
          <w:i w:val="0"/>
          <w:sz w:val="19"/>
        </w:rPr>
        <w:t xml:space="preserve">Für die Rohstoff-Analogie dieses Abschnitts ist die letzte Aussage des Papiers die wichtigste: Europa laufe Gefahr, eine weitere strategische Abhängigkeit auszubilden, weil die Vereinigten Staaten und die Volksrepublik China die Entwicklung der Modelle beherrschten, und müsse erheblich in eine eigene KI-Industrie investieren, um nicht auf ausländische Technologie angewiesen zu sein. Damit formuliert eine internationale Finanzinstitution für Europa genau jene Lagebeschreibung, die dieser Abschnitt für Deutschland aus der Rohstoff-Analogie ableitet — Verarbeiter, nicht Förderer (§ 8.2). Die Übereinstimmung reicht allerdings nur bis zur Diagnose. In der Therapie bleibt das Papier auf der Angebotsseite: Binnenmarkt, Netze, Energie, eigene Industrie. Die beiden übrigen Säulen der These — die Umstellung der Sozialstaatsfinanzierung von Lohn auf Wertschöpfung (§ 5.1, § 8.5) und die Teilhabekomponente (§ 8.3) — kommen darin nicht vor, obwohl das Papier mit der 60-Prozent-Expositionsquote und der ungleichen Verteilung über Beschäftigte hinweg die Voraussetzungen dafür selbst benennt. Es ist damit das dritte Dokument in Folge — nach der Rede zur Lage der Union (Neunte Fortschreibung) und dem Strategiekreis des Bundeskanzlers (Elfte Fortschreibung) —, das die Souveränitäts- und Veredelungsspur ausbaut und die Finanzierungs- und Teilhabespur ausspart. Dass diese Lücke nunmehr auch im Vorbereitungsmaterial eines Finanzministerrats auftritt, ist für die in § 4.5 festgehaltene </w:t>
      </w:r>
      <w:r>
        <w:rPr>
          <w:rFonts w:ascii="Arial" w:hAnsi="Arial"/>
          <w:b w:val="0"/>
          <w:i/>
          <w:sz w:val="19"/>
        </w:rPr>
        <w:t>Europa-Leerstelle</w:t>
      </w:r>
      <w:r>
        <w:rPr>
          <w:rFonts w:ascii="Arial" w:hAnsi="Arial"/>
          <w:b w:val="0"/>
          <w:i w:val="0"/>
          <w:sz w:val="19"/>
        </w:rPr>
        <w:t xml:space="preserve"> ein eigenständiger Befund: Sie ist nicht nur eine Leerstelle der Technologiepolitik, sondern reicht bis in das Gremium hinein, das für die Finanzierungsfrage zuständig wäre.</w:t>
      </w:r>
    </w:p>
    <w:p>
      <w:pPr>
        <w:jc w:val="both"/>
      </w:pPr>
      <w:r>
        <w:rPr>
          <w:rFonts w:ascii="Arial" w:hAnsi="Arial"/>
          <w:b w:val="0"/>
          <w:i/>
          <w:sz w:val="19"/>
        </w:rPr>
        <w:t>Verfahrensvermerk zur Quellenlage:</w:t>
      </w:r>
      <w:r>
        <w:rPr>
          <w:rFonts w:ascii="Arial" w:hAnsi="Arial"/>
          <w:b w:val="0"/>
          <w:i w:val="0"/>
          <w:sz w:val="19"/>
        </w:rPr>
        <w:t xml:space="preserve"> Das Hintergrundpapier selbst ist nicht veröffentlicht und war nicht zu beschaffen; die Seite der irischen Ratspräsidentschaft weist für die Sitzung nur Ablauf und Sitzungstitel aus. Die inhaltliche Wiedergabe stützt sich deshalb auf die Agenturberichterstattung, die hier ausnahmsweise inhaltstragend ist; alle Aussagen sind entsprechend im Konjunktiv referiert. Der Produktivitätswert ist zusätzlich gegen eine veröffentlichte Arbeit des Fonds abgeglichen worden (</w:t>
      </w:r>
      <w:r>
        <w:rPr>
          <w:rFonts w:ascii="Arial" w:hAnsi="Arial"/>
          <w:b w:val="0"/>
          <w:i/>
          <w:sz w:val="19"/>
        </w:rPr>
        <w:t>Artificial Intelligence and Productivity in Europe</w:t>
      </w:r>
      <w:r>
        <w:rPr>
          <w:rFonts w:ascii="Arial" w:hAnsi="Arial"/>
          <w:b w:val="0"/>
          <w:i w:val="0"/>
          <w:sz w:val="19"/>
        </w:rPr>
        <w:t>, IMF Working Paper 2025/067), die ihn als kumulativen Fünfjahreswert von rund 1,1 Prozent ausweist; die von Reuters berichtete Rundung auf „rund ein Prozent" ist damit belegt, aber nicht als eigenständige neue Schätzung zu lesen. Zahlenangaben zu fiskalischen Größen — Aufkommenswirkungen, Beitragssätze, Steuersätze — enthält die Berichterstattung nicht.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jc w:val="both"/>
      </w:pPr>
      <w:r>
        <w:rPr>
          <w:rFonts w:ascii="Arial" w:hAnsi="Arial"/>
          <w:b/>
          <w:i w:val="0"/>
          <w:sz w:val="19"/>
        </w:rPr>
        <w:t>Nachtrag (14. September 2026) — die Ertragskennzahlen des Modellanbieters sind selbst definitionsabhängig:</w:t>
      </w:r>
      <w:r>
        <w:rPr>
          <w:rFonts w:ascii="Arial" w:hAnsi="Arial"/>
          <w:b w:val="0"/>
          <w:i w:val="0"/>
          <w:sz w:val="19"/>
        </w:rPr>
        <w:t xml:space="preserve"> Gut drei Wochen nach der vorstehend referierten Berichterstattung über die Risikofaktoren des Entwurfs hat dasselbe Registrierungsverfahren erstmals Ertragsgrößen sichtbar gemacht. Nach einem Bericht der </w:t>
      </w:r>
      <w:r>
        <w:rPr>
          <w:rFonts w:ascii="Arial" w:hAnsi="Arial"/>
          <w:b w:val="0"/>
          <w:i/>
          <w:sz w:val="19"/>
        </w:rPr>
        <w:t>Financial Times</w:t>
      </w:r>
      <w:r>
        <w:rPr>
          <w:rFonts w:ascii="Arial" w:hAnsi="Arial"/>
          <w:b w:val="0"/>
          <w:i w:val="0"/>
          <w:sz w:val="19"/>
        </w:rPr>
        <w:t xml:space="preserve"> vom 14. September 2026 (über </w:t>
      </w:r>
      <w:r>
        <w:rPr>
          <w:rFonts w:ascii="Arial" w:hAnsi="Arial"/>
          <w:b w:val="0"/>
          <w:i/>
          <w:sz w:val="19"/>
        </w:rPr>
        <w:t>The Irish Times</w:t>
      </w:r>
      <w:r>
        <w:rPr>
          <w:rFonts w:ascii="Arial" w:hAnsi="Arial"/>
          <w:b w:val="0"/>
          <w:i w:val="0"/>
          <w:sz w:val="19"/>
        </w:rPr>
        <w:t xml:space="preserve"> verbreitet, in den Grundzahlen übereinstimmend referiert von </w:t>
      </w:r>
      <w:r>
        <w:rPr>
          <w:rFonts w:ascii="Arial" w:hAnsi="Arial"/>
          <w:b w:val="0"/>
          <w:i/>
          <w:sz w:val="19"/>
        </w:rPr>
        <w:t>Business Standard</w:t>
      </w:r>
      <w:r>
        <w:rPr>
          <w:rFonts w:ascii="Arial" w:hAnsi="Arial"/>
          <w:b w:val="0"/>
          <w:i w:val="0"/>
          <w:sz w:val="19"/>
        </w:rPr>
        <w:t xml:space="preserve">, </w:t>
      </w:r>
      <w:r>
        <w:rPr>
          <w:rFonts w:ascii="Arial" w:hAnsi="Arial"/>
          <w:b w:val="0"/>
          <w:i/>
          <w:sz w:val="19"/>
        </w:rPr>
        <w:t>Cryptonomist</w:t>
      </w:r>
      <w:r>
        <w:rPr>
          <w:rFonts w:ascii="Arial" w:hAnsi="Arial"/>
          <w:b w:val="0"/>
          <w:i w:val="0"/>
          <w:sz w:val="19"/>
        </w:rPr>
        <w:t xml:space="preserve"> und </w:t>
      </w:r>
      <w:r>
        <w:rPr>
          <w:rFonts w:ascii="Arial" w:hAnsi="Arial"/>
          <w:b w:val="0"/>
          <w:i/>
          <w:sz w:val="19"/>
        </w:rPr>
        <w:t>Analytics Insight</w:t>
      </w:r>
      <w:r>
        <w:rPr>
          <w:rFonts w:ascii="Arial" w:hAnsi="Arial"/>
          <w:b w:val="0"/>
          <w:i w:val="0"/>
          <w:sz w:val="19"/>
        </w:rPr>
        <w:t xml:space="preserve">; die Quartalszahlen selbst waren bereits am 15. August 2026 von </w:t>
      </w:r>
      <w:r>
        <w:rPr>
          <w:rFonts w:ascii="Arial" w:hAnsi="Arial"/>
          <w:b w:val="0"/>
          <w:i/>
          <w:sz w:val="19"/>
        </w:rPr>
        <w:t>CNBC</w:t>
      </w:r>
      <w:r>
        <w:rPr>
          <w:rFonts w:ascii="Arial" w:hAnsi="Arial"/>
          <w:b w:val="0"/>
          <w:i w:val="0"/>
          <w:sz w:val="19"/>
        </w:rPr>
        <w:t xml:space="preserve"> berichtet worden) habe </w:t>
      </w:r>
      <w:r>
        <w:rPr>
          <w:rFonts w:ascii="Arial" w:hAnsi="Arial"/>
          <w:b w:val="0"/>
          <w:i/>
          <w:sz w:val="19"/>
        </w:rPr>
        <w:t>Anthropic PBC</w:t>
      </w:r>
      <w:r>
        <w:rPr>
          <w:rFonts w:ascii="Arial" w:hAnsi="Arial"/>
          <w:b w:val="0"/>
          <w:i w:val="0"/>
          <w:sz w:val="19"/>
        </w:rPr>
        <w:t xml:space="preserve"> den Prospektentwurf nicht wie erwartet veröffentlicht, sondern ihn einem ausgewählten Kreis von Anteilseignern vorab zugänglich gemacht, um vor einer breiteren Vorlage Rückmeldungen einzuholen, und diesem Kreis mitgeteilt,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Genannt würden ein Quartalsumsatz von über 11,5 Mrd. US-Dollar (rund das Vierzehnfache des Vorjahresquartals), ein annualisierter Umsatz von 65 Mrd. US-Dollar Ende Juli 2026 gegenüber 9 Mrd. US-Dollar Ende 2025 sowie Bruttomargen von über 80 % — letztere ausdrücklich </w:t>
      </w:r>
      <w:r>
        <w:rPr>
          <w:rFonts w:ascii="Arial" w:hAnsi="Arial"/>
          <w:b w:val="0"/>
          <w:i/>
          <w:sz w:val="19"/>
        </w:rPr>
        <w:t>vor</w:t>
      </w:r>
      <w:r>
        <w:rPr>
          <w:rFonts w:ascii="Arial" w:hAnsi="Arial"/>
          <w:b w:val="0"/>
          <w:i w:val="0"/>
          <w:sz w:val="19"/>
        </w:rPr>
        <w:t xml:space="preserve"> den an Vertriebspartner einschließlich </w:t>
      </w:r>
      <w:r>
        <w:rPr>
          <w:rFonts w:ascii="Arial" w:hAnsi="Arial"/>
          <w:b w:val="0"/>
          <w:i/>
          <w:sz w:val="19"/>
        </w:rPr>
        <w:t>Amazon</w:t>
      </w:r>
      <w:r>
        <w:rPr>
          <w:rFonts w:ascii="Arial" w:hAnsi="Arial"/>
          <w:b w:val="0"/>
          <w:i w:val="0"/>
          <w:sz w:val="19"/>
        </w:rPr>
        <w:t xml:space="preserve"> abgeführten Umsatzanteilen und </w:t>
      </w:r>
      <w:r>
        <w:rPr>
          <w:rFonts w:ascii="Arial" w:hAnsi="Arial"/>
          <w:b w:val="0"/>
          <w:i/>
          <w:sz w:val="19"/>
        </w:rPr>
        <w:t>vor</w:t>
      </w:r>
      <w:r>
        <w:rPr>
          <w:rFonts w:ascii="Arial" w:hAnsi="Arial"/>
          <w:b w:val="0"/>
          <w:i w:val="0"/>
          <w:sz w:val="19"/>
        </w:rPr>
        <w:t xml:space="preserve"> den Kosten des Modelltrainings. Die Konjunktivpflicht nach § 4.2 `Claude.md` gilt hier in verschärfter Form: Es handelt sich um die journalistische Wiedergabe einer nicht öffentlichen Investorenkommunikation, nicht um einen testierten Abschluss und nicht um eine veröffentlichte Registrierungserklärung.</w:t>
      </w:r>
    </w:p>
    <w:p>
      <w:pPr>
        <w:jc w:val="both"/>
      </w:pPr>
      <w:r>
        <w:rPr>
          <w:rFonts w:ascii="Arial" w:hAnsi="Arial"/>
          <w:b w:val="0"/>
          <w:i w:val="0"/>
          <w:sz w:val="19"/>
        </w:rPr>
        <w:t xml:space="preserve">Für die in diesem Abschnitt entwickelte Teilhabearchitektur ist weniger die Höhe dieser Zahlen erheblich als ihre </w:t>
      </w:r>
      <w:r>
        <w:rPr>
          <w:rFonts w:ascii="Arial" w:hAnsi="Arial"/>
          <w:b/>
          <w:i w:val="0"/>
          <w:sz w:val="19"/>
        </w:rPr>
        <w:t>Bauart</w:t>
      </w:r>
      <w:r>
        <w:rPr>
          <w:rFonts w:ascii="Arial" w:hAnsi="Arial"/>
          <w:b w:val="0"/>
          <w:i w:val="0"/>
          <w:sz w:val="19"/>
        </w:rPr>
        <w:t xml:space="preserve">. Von den drei tragenden Kennzahlen ist nur der Umsatz eine Messgröße; die beiden anderen sind Abgrenzungsentscheidungen des Berichtenden. Das </w:t>
      </w:r>
      <w:r>
        <w:rPr>
          <w:rFonts w:ascii="Arial" w:hAnsi="Arial"/>
          <w:b w:val="0"/>
          <w:i/>
          <w:sz w:val="19"/>
        </w:rPr>
        <w:t>bereinigte</w:t>
      </w:r>
      <w:r>
        <w:rPr>
          <w:rFonts w:ascii="Arial" w:hAnsi="Arial"/>
          <w:b w:val="0"/>
          <w:i w:val="0"/>
          <w:sz w:val="19"/>
        </w:rPr>
        <w:t xml:space="preserve"> Betriebsergebnis ist eine unternehmenseigene, nicht normierte Kennzahl, und die Bruttomarge wird ausdrücklich vor zwei der größten Aufwandsblöcke des Geschäftsmodells ausgewiesen. Damit trifft die in § 9.2 für die Verdrängungsseite belegte Definitionsabhängigkeit die Ertragsseite in gleicher Weise. Die vier oben genannten Zugriffspfade sind davon unterschiedlich stark betroffen: Der Pfad „Anteil an der Unternehmensbesteuerung" und, je nach Ausgestaltung, auch der Pfad „Digitalabgaben auf importierte KI-Dienste" knüpften an Gewinn- und Margengrößen an, deren Abgrenzung der Steuerpflichtige selbst setzt; der Pfad „fiskalische Abschöpfung inländischer KI-Nutzung" über eine zweckgebundene Wertschöpfungskomponente (§ 5.1) knüpfte dagegen an Umsatz minus Vorleistungen an — eine Größe, die im Rechnungswesen ohnehin geführt wird und die gerade jene Posten einschließt, die die bereinigten Kennzahlen ausklammern. Hinzu tritt ein Arbitrageaspekt (§ 9.3): Soweit ein Teil der Erlöse vertraglich an Vertriebspartner abgeführt wird, entsteht die zugehörige Wertschöpfung auf einer anderen Marktstufe und regelmäßig in einer anderen Jurisdiktion als beim Modellanbieter selbst; eine allein am Modellanbieter ansetzende Abgabe erfasste sie nicht. Der Befund trägt ausdrücklich </w:t>
      </w:r>
      <w:r>
        <w:rPr>
          <w:rFonts w:ascii="Arial" w:hAnsi="Arial"/>
          <w:b/>
          <w:i w:val="0"/>
          <w:sz w:val="19"/>
        </w:rPr>
        <w:t>nicht</w:t>
      </w:r>
      <w:r>
        <w:rPr>
          <w:rFonts w:ascii="Arial" w:hAnsi="Arial"/>
          <w:b w:val="0"/>
          <w:i w:val="0"/>
          <w:sz w:val="19"/>
        </w:rPr>
        <w:t xml:space="preserve"> die Schlussfolgerung, im Frontier-Segment seien keine abschöpfbaren Renten vorhanden — die berichteten Größenordnungen legen das Gegenteil nahe. Er stützt vielmehr die in § 8.3 und § 8.5 vertretene Präferenz, den steuerlichen Anknüpfungspunkt im inländischen Anwendungsraum und an der Wertschöpfung zu wählen statt an Bestands-, Gewinn- oder Margengrößen des Anbieters.</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jc w:val="both"/>
      </w:pPr>
      <w:r>
        <w:rPr>
          <w:rFonts w:ascii="Arial" w:hAnsi="Arial"/>
          <w:b/>
          <w:i w:val="0"/>
          <w:sz w:val="19"/>
        </w:rPr>
        <w:t>Nachtrag (18. September 2026) — Automatisierung ohne Entlassungsereignis:</w:t>
      </w:r>
      <w:r>
        <w:rPr>
          <w:rFonts w:ascii="Arial" w:hAnsi="Arial"/>
          <w:b w:val="0"/>
          <w:i w:val="0"/>
          <w:sz w:val="19"/>
        </w:rPr>
        <w:t xml:space="preserve"> Am 17. September 2026 hat mit </w:t>
      </w:r>
      <w:r>
        <w:rPr>
          <w:rFonts w:ascii="Arial" w:hAnsi="Arial"/>
          <w:b w:val="0"/>
          <w:i/>
          <w:sz w:val="19"/>
        </w:rPr>
        <w:t>Anthropic</w:t>
      </w:r>
      <w:r>
        <w:rPr>
          <w:rFonts w:ascii="Arial" w:hAnsi="Arial"/>
          <w:b w:val="0"/>
          <w:i w:val="0"/>
          <w:sz w:val="19"/>
        </w:rPr>
        <w:t xml:space="preserve"> erstmals ein Anbieter von Basismodellen drei Messgrößen zum eigenen Entwicklungsprozess veröffentlicht: wie viel der eigenen KI-Forschung und -Entwicklung von KI selbst erbracht werde, wie die Handlungen der eingesetzten Agenten überwacht würden und wie die Rechenleistung verteilt sei. Das Unternehmen bezeichnet die Angaben als Prototypen und kündigt an, unabhängige Dritte mit ihrer Überprüfung zu betrauen. Die Zahlen sind Selbstauskunft und im Folgenden entsprechend im Konjunktiv referiert. Für die Frage dieses Abschnitts — was genau ein Steuertatbestand erfassen soll — sind sie gleichwohl der bislang präziseste öffentlich verfügbare Beleg. Gemessen worden sei mit einem </w:t>
      </w:r>
      <w:r>
        <w:rPr>
          <w:rFonts w:ascii="Arial" w:hAnsi="Arial"/>
          <w:b w:val="0"/>
          <w:i/>
          <w:sz w:val="19"/>
        </w:rPr>
        <w:t>Automationsindex</w:t>
      </w:r>
      <w:r>
        <w:rPr>
          <w:rFonts w:ascii="Arial" w:hAnsi="Arial"/>
          <w:b w:val="0"/>
          <w:i w:val="0"/>
          <w:sz w:val="19"/>
        </w:rPr>
        <w:t xml:space="preserve">: Aus den Arbeitsaufzeichnungen einer wöchentlichen Zufallsstichprobe von 20 % der Beschäftigten der am Modellbau beteiligten Abteilungen seien für den Juli 2026 rund 15.000 einzelne Arbeitsaufgaben erhoben und zu einem eingefrorenen Baum aus 542 Knoten, davon 378 Endknoten, verdichtet worden; jeder Knoten sei anschließend auf der von </w:t>
      </w:r>
      <w:r>
        <w:rPr>
          <w:rFonts w:ascii="Arial" w:hAnsi="Arial"/>
          <w:b w:val="0"/>
          <w:i/>
          <w:sz w:val="19"/>
        </w:rPr>
        <w:t>Epoch AI</w:t>
      </w:r>
      <w:r>
        <w:rPr>
          <w:rFonts w:ascii="Arial" w:hAnsi="Arial"/>
          <w:b w:val="0"/>
          <w:i w:val="0"/>
          <w:sz w:val="19"/>
        </w:rPr>
        <w:t xml:space="preserve"> entwickelten Skala der Automatisierungsgrade AL0 bis AL5 eingestuft worden, die von „keine KI-Beteiligung" bis „vollständig autonomer Betrieb ohne Menschen in der Schleife" reicht. Stand August 2026 arbeite das Modell in keinem gemessenen Teilbereich vollständig autonom; es </w:t>
      </w:r>
      <w:r>
        <w:rPr>
          <w:rFonts w:ascii="Arial" w:hAnsi="Arial"/>
          <w:b w:val="0"/>
          <w:i/>
          <w:sz w:val="19"/>
        </w:rPr>
        <w:t>führe</w:t>
      </w:r>
      <w:r>
        <w:rPr>
          <w:rFonts w:ascii="Arial" w:hAnsi="Arial"/>
          <w:b w:val="0"/>
          <w:i w:val="0"/>
          <w:sz w:val="19"/>
        </w:rPr>
        <w:t xml:space="preserve"> 26 % der KI-Forschungs- und Entwicklungsarbeit des Unternehmens, und der Anteil der Arbeit, bei der es mindestens </w:t>
      </w:r>
      <w:r>
        <w:rPr>
          <w:rFonts w:ascii="Arial" w:hAnsi="Arial"/>
          <w:b w:val="0"/>
          <w:i/>
          <w:sz w:val="19"/>
        </w:rPr>
        <w:t>mitarbeite</w:t>
      </w:r>
      <w:r>
        <w:rPr>
          <w:rFonts w:ascii="Arial" w:hAnsi="Arial"/>
          <w:b w:val="0"/>
          <w:i w:val="0"/>
          <w:sz w:val="19"/>
        </w:rPr>
        <w:t>, liege über 90 %. Auf der meistgenutzten internen Plattform seien zu jedem Zeitpunkt rund 30.000 Agenten mit Forschungs- und Entwicklungsarbeit befasst, deren Handlungen sämtlich vor der Ausführung einen Überwachungsdienst durchliefen. Von der Rechenleistung, die in der Woche vom 13. bis 20. Juli 2026 auf KI-Forschung und -Entwicklung entfallen sei, seien rund 6 % auf Sicherheitsarbeit entfallen, bezogen allein auf die KI-getriebene Forschung rund 12 %.</w:t>
      </w:r>
    </w:p>
    <w:p>
      <w:pPr>
        <w:jc w:val="both"/>
      </w:pPr>
      <w:r>
        <w:rPr>
          <w:rFonts w:ascii="Arial" w:hAnsi="Arial"/>
          <w:b w:val="0"/>
          <w:i w:val="0"/>
          <w:sz w:val="19"/>
        </w:rPr>
        <w:t xml:space="preserve">Drei Folgerungen ergeben sich daraus für die Wahl des Anknüpfungspunktes. </w:t>
      </w:r>
      <w:r>
        <w:rPr>
          <w:rFonts w:ascii="Arial" w:hAnsi="Arial"/>
          <w:b w:val="0"/>
          <w:i/>
          <w:sz w:val="19"/>
        </w:rPr>
        <w:t>Erstens</w:t>
      </w:r>
      <w:r>
        <w:rPr>
          <w:rFonts w:ascii="Arial" w:hAnsi="Arial"/>
          <w:b w:val="0"/>
          <w:i w:val="0"/>
          <w:sz w:val="19"/>
        </w:rPr>
        <w:t xml:space="preserve"> beschreibt die Angabe genau den Fall, den eine displacement-basierte Anknüpfung nicht erfassen würde: Ein Viertel der Forschungs- und Entwicklungsarbeit eines Unternehmens wird von einem KI-System geführt, ohne dass dem ein Entlassungsereignis gegenüberstünde. Es gibt keine Massenentlassungsanzeige, keine Meldung an die Börsenaufsicht und folglich auch keinen Eintrag in irgendeinem der in § 1.1 verglichenen Zählwerke. Die Substitution vollzieht sich in der Aufgabenstruktur, nicht an der Beschäftigungsschwelle — und ist damit für jede Bemessungsgrundlage unsichtbar, die auf beobachtete Stellenstreichungen abstellt. </w:t>
      </w:r>
      <w:r>
        <w:rPr>
          <w:rFonts w:ascii="Arial" w:hAnsi="Arial"/>
          <w:b w:val="0"/>
          <w:i/>
          <w:sz w:val="19"/>
        </w:rPr>
        <w:t>Zweitens</w:t>
      </w:r>
      <w:r>
        <w:rPr>
          <w:rFonts w:ascii="Arial" w:hAnsi="Arial"/>
          <w:b w:val="0"/>
          <w:i w:val="0"/>
          <w:sz w:val="19"/>
        </w:rPr>
        <w:t xml:space="preserve"> zeigt die Veröffentlichung, dass die Messung technisch möglich ist, aber in der vorliegenden Form die Merkmale trägt, die ein Besteuerungsverfahren nicht hinnehmen könnte: Sie ist Selbstauskunft, sie beruht auf einer nicht standardisierten Methodik, und das prüfende Modell stammt vom selben Anbieter wie das geprüfte. Das Unternehmen benennt beide Einwände selbst und schlägt Prüfung durch Dritte vor. Für einen Steuertatbestand hieße das, dass der Aufgabenautomatisierungsgrad erst dann Bemessungsgrundlage sein könnte, wenn eine verbindliche Methodik und eine von der Selbstauskunft unabhängige Feststellung vorlägen — beides liegt nicht vor. </w:t>
      </w:r>
      <w:r>
        <w:rPr>
          <w:rFonts w:ascii="Arial" w:hAnsi="Arial"/>
          <w:b w:val="0"/>
          <w:i/>
          <w:sz w:val="19"/>
        </w:rPr>
        <w:t>Drittens</w:t>
      </w:r>
      <w:r>
        <w:rPr>
          <w:rFonts w:ascii="Arial" w:hAnsi="Arial"/>
          <w:b w:val="0"/>
          <w:i w:val="0"/>
          <w:sz w:val="19"/>
        </w:rPr>
        <w:t xml:space="preserve"> stützt die dritte Messgröße die bereits in § 3.3 getroffene Unterscheidung: Rechenleistung ist von allen genannten Anknüpfungspunkten der am besten nachprüfbare, weil sie technisch gezählt wird; sie misst aber einen </w:t>
      </w:r>
      <w:r>
        <w:rPr>
          <w:rFonts w:ascii="Arial" w:hAnsi="Arial"/>
          <w:b w:val="0"/>
          <w:i/>
          <w:sz w:val="19"/>
        </w:rPr>
        <w:t>Einsatzfaktor</w:t>
      </w:r>
      <w:r>
        <w:rPr>
          <w:rFonts w:ascii="Arial" w:hAnsi="Arial"/>
          <w:b w:val="0"/>
          <w:i w:val="0"/>
          <w:sz w:val="19"/>
        </w:rPr>
        <w:t xml:space="preserve"> und nicht die Verdrängung. Ein an ihr anknüpfender Tatbestand wäre erhebbar, träfe jedoch Kapazitätsaufbau und Sicherheitsforschung in gleicher Weise wie den Ersatz menschlicher Arbeit.</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jc w:val="both"/>
      </w:pPr>
      <w:r>
        <w:rPr>
          <w:rFonts w:ascii="Arial" w:hAnsi="Arial"/>
          <w:b/>
          <w:i w:val="0"/>
          <w:sz w:val="19"/>
        </w:rPr>
        <w:t>Nachtrag (14. September 2026) — die Definitionsabhängigkeit tritt auch *innerhalb* eines Zählwerks auf:</w:t>
      </w:r>
      <w:r>
        <w:rPr>
          <w:rFonts w:ascii="Arial" w:hAnsi="Arial"/>
          <w:b w:val="0"/>
          <w:i w:val="0"/>
          <w:sz w:val="19"/>
        </w:rPr>
        <w:t xml:space="preserve"> Der in § 1.1 dokumentierte Folgeabgleich vom 14. September 2026 präzisiert den vorstehenden Befund in einem für den Steuertatbestand erheblichen Punkt. Bislang ließ sich die Spreizung noch als Folge davon lesen, dass drei verschiedene Betreiber drei verschiedene Datenbanken führen. Der Tracker </w:t>
      </w:r>
      <w:r>
        <w:rPr>
          <w:rFonts w:ascii="Arial" w:hAnsi="Arial"/>
          <w:b w:val="0"/>
          <w:i/>
          <w:sz w:val="19"/>
        </w:rPr>
        <w:t>AskTheRecruiter</w:t>
      </w:r>
      <w:r>
        <w:rPr>
          <w:rFonts w:ascii="Arial" w:hAnsi="Arial"/>
          <w:b w:val="0"/>
          <w:i w:val="0"/>
          <w:sz w:val="19"/>
        </w:rPr>
        <w:t xml:space="preserve"> weist jedoch am selben Stichtag, aus derselben Datenbasis und für denselben Zeitraum </w:t>
      </w:r>
      <w:r>
        <w:rPr>
          <w:rFonts w:ascii="Arial" w:hAnsi="Arial"/>
          <w:b w:val="0"/>
          <w:i/>
          <w:sz w:val="19"/>
        </w:rPr>
        <w:t>zwei</w:t>
      </w:r>
      <w:r>
        <w:rPr>
          <w:rFonts w:ascii="Arial" w:hAnsi="Arial"/>
          <w:b w:val="0"/>
          <w:i w:val="0"/>
          <w:sz w:val="19"/>
        </w:rPr>
        <w:t xml:space="preserve"> KI-Quoten nebeneinander aus: 66.853 Streichungen nach der strengen Regel, die eine Nennung durch den Arbeitgeber selbst verlangt, und 122.186 nach einer weiter gefassten Regel, die auch die journalistische Rahmung einbezieht — ein Faktor von 1,8 allein aus der Zuschreibungsvorschrift, bei identischer Erhebung. Damit ist die Unbestimmtheit nicht mehr nur als Erhebungs-, sondern als reines Definitionsproblem isoliert: Selbst wenn der Gesetzgeber eine einzige Erhebungsstelle mit einer einzigen Datenbasis betraute, müsste er die Zuschreibungsregel — Mitgrund oder Hauptursache, Erklärung des Unternehmens oder äußere Zurechnung — im Tatbestand selbst und abschließend entscheiden; und diese Entscheidung verdoppelte oder halbierte die Bemessungsgrundlage, ohne dass sich am tatsächlichen Geschehen etwas änderte. Für ein Steuerrecht, das an Bestimmtheit und Gleichmäßigkeit der Besteuerung gebunden ist (§ 4.3), ist das eine andere Qualität von Problem als Abgrenzungs- oder Vollzugsaufwand. Der Befund stützt zugleich eine gegenläufige Beobachtung, die gegen eine vorschnelle Verwerfung der Tracker spricht: Dasselbe Zählwerk legt für seine strenge Zählung eine Vollständigkeitsprüfung offen (55 von 57 einschlägigen SEC-Meldungen eines Jahres, 96 %, Konfidenzintervall 88 % bis 99 %) und begrenzt deren Reichweite ausdrücklich auf diese eine Quellenfamilie. Belastbare Erfassung und belastbare Zuschreibung sind mithin zwei verschiedene Dinge — die Erfassung lässt sich prüfen und verbessern, die Zuschreibung nicht, weil sie keine Messgröße, sondern eine Setzung ist. Genau diese Trennung spricht dafür, den Steuertatbestand an der Wertschöpfung und nicht an der Verdrängung auszurichten (§ 5.1, § 8.5).</w:t>
      </w:r>
    </w:p>
    <w:p>
      <w:pPr>
        <w:jc w:val="both"/>
      </w:pPr>
      <w:r>
        <w:rPr>
          <w:rFonts w:ascii="Arial" w:hAnsi="Arial"/>
          <w:b/>
          <w:i w:val="0"/>
          <w:sz w:val="19"/>
        </w:rPr>
        <w:t>Nachtrag (15. September 2026) — Definitionsabhängigkeit auf beiden Seiten des Steuertatbestands:</w:t>
      </w:r>
      <w:r>
        <w:rPr>
          <w:rFonts w:ascii="Arial" w:hAnsi="Arial"/>
          <w:b w:val="0"/>
          <w:i w:val="0"/>
          <w:sz w:val="19"/>
        </w:rPr>
        <w:t xml:space="preserve"> Der Trackerabgleich vom 15. September 2026 (§ 1.1) und die am Vortag berichteten Ertragskennzahlen eines Frontier-Anbieters (§ 8.3) ergänzen den vorstehenden Befund um zwei Punkte.</w:t>
      </w:r>
    </w:p>
    <w:p>
      <w:pPr>
        <w:jc w:val="both"/>
      </w:pPr>
      <w:r>
        <w:rPr>
          <w:rFonts w:ascii="Arial" w:hAnsi="Arial"/>
          <w:b w:val="0"/>
          <w:i/>
          <w:sz w:val="19"/>
        </w:rPr>
        <w:t>Erstens reproduziert sich die Spreizung im Zufluss.</w:t>
      </w:r>
      <w:r>
        <w:rPr>
          <w:rFonts w:ascii="Arial" w:hAnsi="Arial"/>
          <w:b w:val="0"/>
          <w:i w:val="0"/>
          <w:sz w:val="19"/>
        </w:rPr>
        <w:t xml:space="preserve"> Nachdem zwei der drei Zählwerke ihren Stillstand beendet haben, lassen sich erstmals nicht nur Bestände, sondern Zuwächse desselben Beobachtungszeitraums vergleichen: Für dieselben vierundzwanzig Stunden weisen die drei Zählwerke Zuwächse von 1.709, 3.213 und null Betroffenen aus und schreiben davon 83 %, 32 % und 0 % der Künstlichen Intelligenz zu. Die Divergenz ist damit kein Rückstandsartefakt, das sich beim Nachtragen der Ereignisse auflösen würde, sondern eine Eigenschaft der laufenden Erhebung. Für einen verdrängungsbezogenen Steuertatbestand heißt das, dass auch ein tagesaktuelles und vollständig nachgeführtes Zählwerk die Bemessungsgrundlage nicht stabilisieren würde — die Zuschreibungsregel bliebe die bestimmende Größe.</w:t>
      </w:r>
    </w:p>
    <w:p>
      <w:pPr>
        <w:jc w:val="both"/>
      </w:pPr>
      <w:r>
        <w:rPr>
          <w:rFonts w:ascii="Arial" w:hAnsi="Arial"/>
          <w:b w:val="0"/>
          <w:i/>
          <w:sz w:val="19"/>
        </w:rPr>
        <w:t>Zweitens ist die Definitionsabhängigkeit nicht auf die Verdrängungsseite beschränkt.</w:t>
      </w:r>
      <w:r>
        <w:rPr>
          <w:rFonts w:ascii="Arial" w:hAnsi="Arial"/>
          <w:b w:val="0"/>
          <w:i w:val="0"/>
          <w:sz w:val="19"/>
        </w:rPr>
        <w:t xml:space="preserve"> Die in § 8.3 referierten Angaben zeigen dieselbe Struktur auf der Ertragsseite: Ein </w:t>
      </w:r>
      <w:r>
        <w:rPr>
          <w:rFonts w:ascii="Arial" w:hAnsi="Arial"/>
          <w:b w:val="0"/>
          <w:i/>
          <w:sz w:val="19"/>
        </w:rPr>
        <w:t>bereinigtes</w:t>
      </w:r>
      <w:r>
        <w:rPr>
          <w:rFonts w:ascii="Arial" w:hAnsi="Arial"/>
          <w:b w:val="0"/>
          <w:i w:val="0"/>
          <w:sz w:val="19"/>
        </w:rPr>
        <w:t xml:space="preserve"> Betriebsergebnis und eine Bruttomarge, die ausdrücklich vor den an Vertriebspartner abgeführten Umsatzanteilen und vor den Trainingskosten ausgewiesen wird, sind Setzungen des Berichtenden und keine Messgrößen. Für beide denkbaren Anknüpfungspunkte einer KI-spezifischen Abgabe — die verdrängte Arbeit und der erzielte Gewinn — gilt damit dasselbe Grundproblem: Die Größe, an die der Tatbestand anknüpfte, entstünde erst durch eine Abgrenzungsentscheidung, die entweder der Steuerpflichtige oder ein privates Zählwerk trifft, und wäre der Verwaltung nicht unabhängig zugänglich. Die Wertschöpfung im Sinne von Umsatz minus Vorleistungen (§ 5.1) ist demgegenüber die einzige der drei Größen, die im Rechnungswesen bereits zu anderen Zwecken geführt, umsatzsteuerlich abgeglichen und dadurch einer nachträglichen Umdefinition weitgehend entzogen ist. Das ist kein Argument für die Höhe einer Wertschöpfungsabgabe, wohl aber eines für ihre Anknüpfung (§ 5.1, § 8.5, § 9.4).</w:t>
      </w:r>
    </w:p>
    <w:p>
      <w:pPr>
        <w:jc w:val="both"/>
      </w:pPr>
      <w:r>
        <w:rPr>
          <w:rFonts w:ascii="Arial" w:hAnsi="Arial"/>
          <w:b/>
          <w:i w:val="0"/>
          <w:sz w:val="19"/>
        </w:rPr>
        <w:t>Nachtrag (16. September 2026) — die Bemessungsgrundlage wäre auch vom Stichtag abhängig:</w:t>
      </w:r>
      <w:r>
        <w:rPr>
          <w:rFonts w:ascii="Arial" w:hAnsi="Arial"/>
          <w:b w:val="0"/>
          <w:i w:val="0"/>
          <w:sz w:val="19"/>
        </w:rPr>
        <w:t xml:space="preserve"> Der Trackerabgleich vom 16. September 2026 (§ 1.1) fügt dem Befund eine verwaltungspraktisch unmittelbar erhebliche Dimension hinzu. Bislang war gezeigt, dass die Größe „KI-bedingt verdrängte Arbeit" davon abhängt, </w:t>
      </w:r>
      <w:r>
        <w:rPr>
          <w:rFonts w:ascii="Arial" w:hAnsi="Arial"/>
          <w:b w:val="0"/>
          <w:i/>
          <w:sz w:val="19"/>
        </w:rPr>
        <w:t>welches</w:t>
      </w:r>
      <w:r>
        <w:rPr>
          <w:rFonts w:ascii="Arial" w:hAnsi="Arial"/>
          <w:b w:val="0"/>
          <w:i w:val="0"/>
          <w:sz w:val="19"/>
        </w:rPr>
        <w:t xml:space="preserve"> Register man liest (13. September 2026) und dass sich diese Abhängigkeit im laufenden Zufluss fortsetzt (15. September 2026). Der Folgetag zeigt, dass sie zusätzlich davon abhängt, </w:t>
      </w:r>
      <w:r>
        <w:rPr>
          <w:rFonts w:ascii="Arial" w:hAnsi="Arial"/>
          <w:b w:val="0"/>
          <w:i/>
          <w:sz w:val="19"/>
        </w:rPr>
        <w:t>wann</w:t>
      </w:r>
      <w:r>
        <w:rPr>
          <w:rFonts w:ascii="Arial" w:hAnsi="Arial"/>
          <w:b w:val="0"/>
          <w:i w:val="0"/>
          <w:sz w:val="19"/>
        </w:rPr>
        <w:t xml:space="preserve"> man liest: Dasselbe Zählwerk schreibt am 15. September 2026 noch 32 % seines Tageszuwachses der Künstlichen Intelligenz zu und am 16. September 2026 bei mehr als der anderthalbfachen Zuwachsmenge null Prozent, während das Register, das am Vortag die höchste Quote lieferte, an diesem Tag stillsteht. Für einen an der Verdrängung anknüpfenden Steuertatbestand hieße das, dass nicht nur die Wahl der Erkenntnisquelle, sondern auch die Wahl des Erhebungsstichtags über die Höhe der Bemessungsgrundlage entschiede — eine Eigenschaft, die ein Besteuerungstatbestand nach den Anforderungen der Tatbestandsbestimmtheit gerade nicht aufweisen darf (§ 4.3). Verstärkt wird der Befund dadurch, dass die Zählwerke selbst keine Revisionsregel veröffentlichen: Ein Bestand, der an vier aufeinanderfolgenden Stichtagen unverändert bleibt, ist von außen nicht davon zu unterscheiden, ob im Beobachtungszeitraum tatsächlich keine Ereignisse eintraten oder ob lediglich nicht nachgetragen wurde (Stand 16. September 2026; diese Aussage ist am 17. September 2026 zu präzisieren — siehe den folgenden Nachtrag). Eine periodengerechte Abgrenzung, wie sie jede Veranlagung voraussetzt, ließe sich auf dieser Grundlage nicht herstellen. Für die Wertschöpfung im Sinne von Umsatz minus Vorleistungen stellt sich das Problem nicht in gleicher Weise, weil sie an den ohnehin geführten und umsatzsteuerlich abgeglichenen Periodenabschluss anknüpft (§ 5.1). Das bleibt ein Argument über die Anknüpfung und nicht über die Höhe; es besagt insbesondere nicht, dass eine KI-bedingte Verdrängung nicht stattfände — die Zählwerke stimmen darin überein, dass sie stattfindet, und divergieren allein in ihrem Ausmaß.</w:t>
      </w:r>
    </w:p>
    <w:p>
      <w:pPr>
        <w:jc w:val="both"/>
      </w:pPr>
      <w:r>
        <w:rPr>
          <w:rFonts w:ascii="Arial" w:hAnsi="Arial"/>
          <w:b/>
          <w:i w:val="0"/>
          <w:sz w:val="19"/>
        </w:rPr>
        <w:t>Nachtrag (17. September 2026) — der Bestand selbst ist revidierbar, und für Deutschland ist er am schwächsten belegt:</w:t>
      </w:r>
      <w:r>
        <w:rPr>
          <w:rFonts w:ascii="Arial" w:hAnsi="Arial"/>
          <w:b w:val="0"/>
          <w:i w:val="0"/>
          <w:sz w:val="19"/>
        </w:rPr>
        <w:t xml:space="preserve"> Der Trackerabgleich vom 17. September 2026 (§ 1.1) zwingt zu einer Präzisierung des vorstehenden Absatzes und liefert zugleich den bislang härtesten Punkt der Reihe.</w:t>
      </w:r>
    </w:p>
    <w:p>
      <w:pPr>
        <w:jc w:val="both"/>
      </w:pPr>
      <w:r>
        <w:rPr>
          <w:rFonts w:ascii="Arial" w:hAnsi="Arial"/>
          <w:b w:val="0"/>
          <w:i/>
          <w:sz w:val="19"/>
        </w:rPr>
        <w:t>Zur Präzisierung.</w:t>
      </w:r>
      <w:r>
        <w:rPr>
          <w:rFonts w:ascii="Arial" w:hAnsi="Arial"/>
          <w:b w:val="0"/>
          <w:i w:val="0"/>
          <w:sz w:val="19"/>
        </w:rPr>
        <w:t xml:space="preserve"> Die Aussage, die Zählwerke veröffentlichten keine Revisionsregel, trifft in dieser Allgemeinheit nicht zu. Eines der drei Register führt einen datierten Korrekturenlog, in dem jede Änderung mit Grund und Zeilenkennung erscheint, markiert korrigierte Zeilen in seiner Schnittstelle und stellt einen maschinenlesbaren Statusendpunkt bereit (§ 1.1). Das ist kein Mangel, sondern ein Qualitätsmerkmal: Ein Register, das seine Korrekturen offenlegt, ist belastbarer als eines, das es nicht tut. Die Aussage des Vortages gilt daher nur noch für die beiden übrigen Zählwerke, bei denen ein unveränderter Bestand von außen weiterhin nicht von einem nicht nachgetragenen Bestand zu unterscheiden ist.</w:t>
      </w:r>
    </w:p>
    <w:p>
      <w:pPr>
        <w:jc w:val="both"/>
      </w:pPr>
      <w:r>
        <w:rPr>
          <w:rFonts w:ascii="Arial" w:hAnsi="Arial"/>
          <w:b w:val="0"/>
          <w:i/>
          <w:sz w:val="19"/>
        </w:rPr>
        <w:t>Zum eigentlichen Befund.</w:t>
      </w:r>
      <w:r>
        <w:rPr>
          <w:rFonts w:ascii="Arial" w:hAnsi="Arial"/>
          <w:b w:val="0"/>
          <w:i w:val="0"/>
          <w:sz w:val="19"/>
        </w:rPr>
        <w:t xml:space="preserve"> Gerade die Offenlegung zeigt jedoch, was ein verdrängungsbezogener Steuertatbestand aushalten müsste. Der Jahresbestand desselben Registers sinkt binnen eines Tages um 14.204 Streichungen oder 2,2 %, während die Zahl der meldenden Unternehmen steigt. Die dokumentierten Korrekturgründe sind dabei genau diejenigen, die in einem Besteuerungsverfahren streitig würden: dieselbe Ankündigung unter vier Schreibweisen des Unternehmensnamens mehrfach erfasst (Mehrfachzählung desselben Lebenssachverhalts), die Projektion eines Dritten über regionale Beschäftigungsfolgen anstelle einer Erklärung des Arbeitgebers geführt (unzutreffender Zurechnungsgegenstand) und ein Geldbetrag aus einer Ergebnisrechnung als Kopfzahl verbucht (unzutreffende Maßeinheit). Bislang war gezeigt, dass die Bemessungsgrundlage von der Wahl des Registers und vom Erhebungsstichtag abhinge; nun zeigt sich, dass auch der einmal erhobene Bestand nicht endgültig ist. Eine Veranlagung setzt voraus, dass ein Besteuerungszeitraum abgeschlossen werden kann; die privaten Zählwerke kennen für ihre Bestände weder eine Festsetzungsfrist noch eine der Bestandskraft vergleichbare Grenze, und der Log erlaubt wegen gegenläufiger Zugänge nicht einmal eine vollständige Überleitung von einem Stichtag auf den nächsten.</w:t>
      </w:r>
    </w:p>
    <w:p>
      <w:pPr>
        <w:jc w:val="both"/>
      </w:pPr>
      <w:r>
        <w:rPr>
          <w:rFonts w:ascii="Arial" w:hAnsi="Arial"/>
          <w:b w:val="0"/>
          <w:i/>
          <w:sz w:val="19"/>
        </w:rPr>
        <w:t>Hinzu tritt eine Spreizung innerhalb desselben Registers.</w:t>
      </w:r>
      <w:r>
        <w:rPr>
          <w:rFonts w:ascii="Arial" w:hAnsi="Arial"/>
          <w:b w:val="0"/>
          <w:i w:val="0"/>
          <w:sz w:val="19"/>
        </w:rPr>
        <w:t xml:space="preserve"> Die am 13. September 2026 zwischen den Zählwerken gemessene Divergenz hat eine Entsprechung im Inneren eines einzelnen: Je nachdem, ob nur belegte oder auch angekündigte Streichungen gezählt werden, weist dasselbe Register für denselben Zeitraum 629.819 oder 1.107.468 Streichungen aus — das 1,76-Fache —, und für die KI-bezogene Teilmenge 66.853, 114.736 oder 123.451, je nach Zählstufe und Zuschreibungsstrenge, also bis zum 1,85-Fachen. Eine interne Konsistenzprobe nach der Verfahrensregel zu Cluster F legt überdies offen, dass die Übersichtstabelle desselben Registers für das laufende Jahr 605.745 Betroffene ausweist, während die Leitkennzahl derselben Seite für denselben Zeitraum 629.819 nennt — eine Differenz von 24.074, für die die Seite keine Erläuterung gibt.</w:t>
      </w:r>
    </w:p>
    <w:p>
      <w:pPr>
        <w:jc w:val="both"/>
      </w:pPr>
      <w:r>
        <w:rPr>
          <w:rFonts w:ascii="Arial" w:hAnsi="Arial"/>
          <w:b w:val="0"/>
          <w:i/>
          <w:sz w:val="19"/>
        </w:rPr>
        <w:t>Für die deutsche Frage ist ein weiterer Punkt entscheidend.</w:t>
      </w:r>
      <w:r>
        <w:rPr>
          <w:rFonts w:ascii="Arial" w:hAnsi="Arial"/>
          <w:b w:val="0"/>
          <w:i w:val="0"/>
          <w:sz w:val="19"/>
        </w:rPr>
        <w:t xml:space="preserve"> Das Register legt seine Abdeckungslücken selbst offen und benennt dabei Deutschland ausdrücklich: Die Identität des Arbeitgebers in Massenentlassungsmeldungen werde hier — wie auch in Mexiko — vertraulich behandelt, weshalb an ihre Stelle die Auswertung von Presseberichterstattung trete. Ferner erschienen Streichungen, die unterhalb jeder Meldeschwelle und unterhalb der Schwelle von 100 Stellen des europäischen Beobachtungsinstruments blieben, in keinem Zählwerk. Damit ist die Erkenntnislage ausgerechnet in der Rechtsordnung am dünnsten, die einen solchen Steuertatbestand erheben müsste, und sie ist dort zudem an eine Quelle gebunden — die Presse —, die keiner Mitwirkungspflicht unterliegt und deren Vollständigkeit die Finanzverwaltung nicht erzwingen könnte. Nach § 4.3 wäre eine Bemessungsgrundlage, die im Inland nur mittelbar über Medienberichte ermittelbar ist, weder mit der Tatbestandsbestimmtheit noch mit dem Gebot gleichmäßiger Erhebung zu vereinbaren.</w:t>
      </w:r>
    </w:p>
    <w:p>
      <w:pPr>
        <w:jc w:val="both"/>
      </w:pPr>
      <w:r>
        <w:rPr>
          <w:rFonts w:ascii="Arial" w:hAnsi="Arial"/>
          <w:b w:val="0"/>
          <w:i w:val="0"/>
          <w:sz w:val="19"/>
        </w:rPr>
        <w:t>Der Befund stützt damit erneut die Anknüpfung an die Wertschöpfung im Sinne von Umsatz minus Vorleistungen (§ 5.1): Diese Größe entsteht im Periodenabschluss des Unternehmens selbst, unterliegt der steuerlichen Mitwirkungspflicht und kennt mit Festsetzungsfrist und Bestandskraft die Abschlussregeln, die den privaten Zählwerken fehlen. Wie bei den vorangegangenen Nachträgen gilt der Vorbehalt: Dies ist ein Argument über die Anknüpfung des Steuertatbestands und nicht über das Ausmaß der Verdrängung — dass sie stattfindet, ist unter den Zählwerken unstreitig.</w:t>
      </w:r>
    </w:p>
    <w:p>
      <w:pPr>
        <w:jc w:val="both"/>
      </w:pPr>
      <w:r>
        <w:rPr>
          <w:rFonts w:ascii="Arial" w:hAnsi="Arial"/>
          <w:b/>
          <w:i w:val="0"/>
          <w:sz w:val="19"/>
        </w:rPr>
        <w:t>Nachtrag (18. September 2026) — die Erfassungsquote ist nur dort gemessen, wo eine Meldepflicht besteht:</w:t>
      </w:r>
      <w:r>
        <w:rPr>
          <w:rFonts w:ascii="Arial" w:hAnsi="Arial"/>
          <w:b w:val="0"/>
          <w:i w:val="0"/>
          <w:sz w:val="19"/>
        </w:rPr>
        <w:t xml:space="preserve"> Der Trackerabgleich vom 18. September 2026 (§ 1.1) fügt der Beweisführung ihre fünfte Stufe hinzu, und zwar an der für ein Besteuerungsverfahren entscheidenden Stelle. Erstmals beziffert eines der Register seine eigene Vollständigkeit: Von den 57 Meldungen an die US-Börsenaufsicht, die im Zwölfmonatszeitraum bis zum 30. Juni 2026 den Posten </w:t>
      </w:r>
      <w:r>
        <w:rPr>
          <w:rFonts w:ascii="Arial" w:hAnsi="Arial"/>
          <w:b w:val="0"/>
          <w:i/>
          <w:sz w:val="19"/>
        </w:rPr>
        <w:t>Item 2.05</w:t>
      </w:r>
      <w:r>
        <w:rPr>
          <w:rFonts w:ascii="Arial" w:hAnsi="Arial"/>
          <w:b w:val="0"/>
          <w:i w:val="0"/>
          <w:sz w:val="19"/>
        </w:rPr>
        <w:t xml:space="preserve"> führten und eine absolute Beschäftigtenzahl nannten, erscheinen 55 im Bestand — 96 % bei einem Konfidenzintervall von 88 % bis 99 % —, und alle 36 daraufhin geprüften Zahlenangaben stimmen wörtlich mit der zitierten Quelle überein. Das ist ein sehr gutes Ergebnis, und es ist zugleich das Gegenteil einer Entwarnung. Denn gemessen worden ist die Quote ausschließlich auf demjenigen Ausschnitt, in dem eine gesetzliche Meldepflicht mit standardisiertem Formular und maschinenlesbarem Meldungskopf besteht. Der Betreiber sagt selbst, die Messung treffe keine Aussage über private Arbeitgeber, über Streichungen außerhalb der Vereinigten Staaten und über die beiden anderen Zuflusswege des Registers. Damit ist die Vollständigkeit genau dort bekannt und hoch, wo ohnehin eine Mitwirkungspflicht besteht, und genau dort unbekannt, wo der deutsche Gesetzgeber einen solchen Tatbestand erheben müsste — ein Befund, der die am Vortag dokumentierte deutsche Quellenlage nicht wiederholt, sondern erklärt. Hinzu tritt die nun bezifferte Gegenrichtung: Die Differenz zu Ankündigungserhebungen bestehe wesentlich aus Trennungen ohne benannten Arbeitgeber — Aufhebungsangebote, aufgeschobene Kündigungen, Fluktuation und Reduktionen im öffentlichen Dienst —, die für 2025 allein rund 250.000 bis 300.000 Stellen ausgemacht hätten. Beides zusammen ergibt für die Ausgestaltung eine klare Richtung: Eine Bemessungsgrundlage ist nur so belastbar wie die Mitwirkungspflicht, die sie trägt. Die Wertschöpfung im Sinne von Umsatz minus Vorleistungen (§ 5.1) bringt diese Pflicht mit; die Verdrängung bringt sie nicht mit und könnte sie, wie der in § 9.1 nachgetragene Fall der unternehmensinternen Aufgabenautomatisierung zeigt, auch durch eine Meldepflicht nicht vollständig herstellen.</w:t>
      </w:r>
    </w:p>
    <w:p>
      <w:pPr>
        <w:jc w:val="both"/>
      </w:pPr>
      <w:r>
        <w:rPr>
          <w:rFonts w:ascii="Arial" w:hAnsi="Arial"/>
          <w:b/>
          <w:i w:val="0"/>
          <w:sz w:val="19"/>
        </w:rPr>
        <w:t>Nachtrag (23. September 2026) — die Zahl widerspricht sich selbst, und die Zähldefinition verschmilzt Finanzierung mit Substitution:</w:t>
      </w:r>
      <w:r>
        <w:rPr>
          <w:rFonts w:ascii="Arial" w:hAnsi="Arial"/>
          <w:b w:val="0"/>
          <w:i w:val="0"/>
          <w:sz w:val="19"/>
        </w:rPr>
        <w:t xml:space="preserve"> Der Trackerabgleich vom 23. September 2026 (§ 1.1) trägt zwei Befunde nach, die die bisherige Argumentation nicht wiederholen, sondern an zwei Stellen zuspitzen. </w:t>
      </w:r>
      <w:r>
        <w:rPr>
          <w:rFonts w:ascii="Arial" w:hAnsi="Arial"/>
          <w:b w:val="0"/>
          <w:i/>
          <w:sz w:val="19"/>
        </w:rPr>
        <w:t>Erstens</w:t>
      </w:r>
      <w:r>
        <w:rPr>
          <w:rFonts w:ascii="Arial" w:hAnsi="Arial"/>
          <w:b w:val="0"/>
          <w:i w:val="0"/>
          <w:sz w:val="19"/>
        </w:rPr>
        <w:t xml:space="preserve"> verlagert sich die Divergenz vom Verhältnis zwischen den Registern in das Innere eines einzelnen. Bislang war das Problem, dass mehrere unabhängig geführte Zählwerke dieselbe Größe unterschiedlich beziffern, weil sie unterschiedlich zählen; darauf ließe sich ein Gesetzgeber einstellen, indem er die Zähldefinition selbst festlegt. Der Abgleich dieses Tages zeigt jedoch, dass ein Register bei einem Abruf zwei verschiedene Werte für dieselbe Größe ausweist — 613.328 gegen 641.829 belegte Streichungen des Jahreslaufs und 66.861 gegen 123.459 bei der weit gefassten KI-Kennzahl —, obwohl es für beide Darstellungen dieselbe Zählweise in Anspruch nimmt und die Abweichung nicht ausweist. Für einen Steuertatbestand ist das eine andere Qualität von Mangel als die Definitionsabhängigkeit: Diese ließe sich durch gesetzliche Festlegung beheben, jene nicht, weil sie im Erhebungsvorgang selbst entsteht und von außen nicht erkennbar ist. Ein Steuerpflichtiger, der den auf ihn entfallenden Betrag anhand der veröffentlichten Größe nachrechnen wollte, käme je nach herangezogener Darstellung derselben Quelle zu einem um 4,4 % beziehungsweise um den Faktor 1,85 abweichenden Ergebnis — ein Zustand, der mit dem Bestimmtheitsgebot des Steuerrechts nicht vereinbar wäre. </w:t>
      </w:r>
      <w:r>
        <w:rPr>
          <w:rFonts w:ascii="Arial" w:hAnsi="Arial"/>
          <w:b w:val="0"/>
          <w:i/>
          <w:sz w:val="19"/>
        </w:rPr>
        <w:t>Zweitens</w:t>
      </w:r>
      <w:r>
        <w:rPr>
          <w:rFonts w:ascii="Arial" w:hAnsi="Arial"/>
          <w:b w:val="0"/>
          <w:i w:val="0"/>
          <w:sz w:val="19"/>
        </w:rPr>
        <w:t xml:space="preserve"> legt die erstmals erhobene Zähldefinition des sechsten Registers offen, dass die Verschmelzung nicht erst bei der Zahl, sondern schon beim Begriff beginnt: Gezählt werden Streichungen, die der Finanzierung von KI-Investitionen dienen, Streichungen, die Menschen durch KI ersetzen, und Streichungen, die auf eine durch KI veränderte Marktlage reagieren. Nur die zweite Gruppe erfüllt den Tatbestand, den eine verdrängungsbezogene Abgabe treffen soll. Die erste erfüllt ihn nicht nur nicht, sie kehrt ihn um — wer Personal abbaut, um Rechenkapazität zu bezahlen, substituiert im Zeitpunkt des Abbaus nichts, sondern finanziert eine Investition, deren Substitutionswirkung erst später und möglicherweise gar nicht eintritt. Eine an solchen Zahlen anknüpfende Abgabe besteuerte damit auch die Investitionsentscheidung selbst und wirkte in die Richtung, die die Optimalsteuerliteratur (§ 3.3) gerade als wohlfahrtsmindernd ausweist. Beide Befunde stützen erneut die Anknüpfung an die Wertschöpfung im Sinne von Umsatz minus Vorleistungen (§ 5.1): Diese Größe wird im Rechnungswesen des Steuerpflichtigen selbst gebildet, ist nachprüfbar und setzt keine Zuschreibungsentscheidung über die Ursache eines Stellenabbaus voraus.</w:t>
      </w:r>
    </w:p>
    <w:p>
      <w:pPr>
        <w:jc w:val="both"/>
      </w:pPr>
      <w:r>
        <w:rPr>
          <w:rFonts w:ascii="Arial" w:hAnsi="Arial"/>
          <w:b/>
          <w:i w:val="0"/>
          <w:sz w:val="19"/>
        </w:rPr>
        <w:t>Nachtrag (24. September 2026) — der Widerspruch ist dauerhaft, und die Mitnennung ist messbar:</w:t>
      </w:r>
      <w:r>
        <w:rPr>
          <w:rFonts w:ascii="Arial" w:hAnsi="Arial"/>
          <w:b w:val="0"/>
          <w:i w:val="0"/>
          <w:sz w:val="19"/>
        </w:rPr>
        <w:t xml:space="preserve"> Der Trackerabgleich vom 24. September 2026 (§ 1.1) fügt der Beweisführung zwei Punkte hinzu, von denen der zweite den Kern des Tatbestandsproblems quantifiziert.</w:t>
      </w:r>
    </w:p>
    <w:p>
      <w:pPr>
        <w:jc w:val="both"/>
      </w:pPr>
      <w:r>
        <w:rPr>
          <w:rFonts w:ascii="Arial" w:hAnsi="Arial"/>
          <w:b w:val="0"/>
          <w:i/>
          <w:sz w:val="19"/>
        </w:rPr>
        <w:t>Erstens ist der am Vortag beschriebene Selbstwiderspruch kein Tagesausreißer.</w:t>
      </w:r>
      <w:r>
        <w:rPr>
          <w:rFonts w:ascii="Arial" w:hAnsi="Arial"/>
          <w:b w:val="0"/>
          <w:i w:val="0"/>
          <w:sz w:val="19"/>
        </w:rPr>
        <w:t xml:space="preserve"> Dieselbe Seite weist die Differenz zwischen Übersichtstafel und Kopfzeile erneut aus, nunmehr mit 612.940 gegen 641.773 belegte Streichungen (28.833 Personen oder 4,7 % gegenüber 4,4 % am Vortag), und die betragsgleiche Ausweisung der engen und der weiten KI-Kennzahl auf der Tafel erstreckt sich jetzt auf sämtliche sechs Zeitspalten, während die Kachel darunter unverändert den 1,82-fachen Wert nennt. Auch die Abweichungen bei Länder- und Bundesstaatenzahl bestehen fort, haben aber das Vorzeichen gewechselt (82 gegen 81 statt 82 gegen 83). Verwaltungsrechtlich ist die Dauerhaftigkeit erheblicher als die Höhe: Ein einmaliger Anzeigefehler wäre korrigierbar und im Festsetzungsverfahren beherrschbar; eine über Tage fortbestehende, in ihrer Richtung wechselnde Doppelbezifferung derselben Größe bedeutet, dass die Quelle keinen bestimmten Wert trägt, an den ein Tatbestand anknüpfen könnte. Hinzu tritt der Befund zum Rhythmus: Die seit fünf Tagen unbewegte KI-Zuschreibung springt an diesem Tag um exakt 2.500 in allen vier Kennzahlen zugleich, vollständig der laufenden Woche zugeschrieben. Eine Bemessungsgrundlage, die sich in Blöcken und nicht mit dem Ereignis fortschreibt, ließe sich einer Besteuerungsperiode nicht verlässlich zuordnen (vgl. den Nachtrag vom 16. September 2026 zur Stichtagsabhängigkeit).</w:t>
      </w:r>
    </w:p>
    <w:p>
      <w:pPr>
        <w:jc w:val="both"/>
      </w:pPr>
      <w:r>
        <w:rPr>
          <w:rFonts w:ascii="Arial" w:hAnsi="Arial"/>
          <w:b w:val="0"/>
          <w:i/>
          <w:sz w:val="19"/>
        </w:rPr>
        <w:t>Zweitens lässt sich die Vermengung von Mitgrund und Hauptursache nun beziffern.</w:t>
      </w:r>
      <w:r>
        <w:rPr>
          <w:rFonts w:ascii="Arial" w:hAnsi="Arial"/>
          <w:b w:val="0"/>
          <w:i w:val="0"/>
          <w:sz w:val="19"/>
        </w:rPr>
        <w:t xml:space="preserve"> Der Nachtrag vom 23. September 2026 hatte gezeigt, dass eine Zähldefinition drei kausal verschiedene Sachverhalte unter einem Begriff führt. Die eigene Summenprobe an einem zweiten Zählwerk (§ 1.1) zeigt, wie stark das wirkt: Dessen Gründeübersicht summiert sich für dasselbe Jahr auf 527.144 Betroffene bei einer Gesamtzahl von 225.122, also auf das 2,34-Fache — jedem Betroffenen sind im Mittel mehr als zwei Gründe zugeordnet, und die Einzelfälle weisen das im Wortlaut aus („AI Restructuring", „AI Strategic Pivot Cost Cutting"). Die verbreitet zitierte Quote, 41 % der Ereignisse nennten Künstliche Intelligenz, misst damit nachweislich die Mitnennung und nicht die Ursächlichkeit; eine Ursächlichkeitsquote lässt sich aus den veröffentlichten Zahlen nicht gewinnen, weil die Mehrfachzuordnung nicht aufgelöst wird. Für einen Steuertatbestand, der die Verdrängung menschlicher Arbeit durch Künstliche Intelligenz treffen soll (§ 2.3), ist das die unmittelbar entscheidende Größe: Der Tatbestand verlangt eine Ursache, die Datengrundlage liefert eine Nennung unter mehreren. Der Faktor 2,34 beziffert den Abstand zwischen beidem. Die Konsequenz bleibt die in diesem Abschnitt durchgehend gezogene: Eine Wertschöpfungsabgabe (§ 5.1) muss diese Zurechnung nicht leisten, weil ihre Bemessungsgrundlage ohne Ursachenzuschreibung auskommt.</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jc w:val="both"/>
      </w:pPr>
      <w:r>
        <w:rPr>
          <w:rFonts w:ascii="Arial" w:hAnsi="Arial"/>
          <w:b/>
          <w:i w:val="0"/>
          <w:sz w:val="19"/>
        </w:rPr>
        <w:t>Nachtrag (September 2026) — die Umsetzungshürde ist instrumentenabhängig, und die Inferenzschicht wird teilbar.</w:t>
      </w:r>
      <w:r>
        <w:rPr>
          <w:rFonts w:ascii="Arial" w:hAnsi="Arial"/>
          <w:b w:val="0"/>
          <w:i w:val="0"/>
          <w:sz w:val="19"/>
        </w:rPr>
        <w:t xml:space="preserve"> Zwei Beobachtungen aus dem laufenden Jahr präzisieren die Arbitragefrage in entgegengesetzte Richtungen.</w:t>
      </w:r>
    </w:p>
    <w:p>
      <w:pPr>
        <w:jc w:val="both"/>
      </w:pPr>
      <w:r>
        <w:rPr>
          <w:rFonts w:ascii="Arial" w:hAnsi="Arial"/>
          <w:b w:val="0"/>
          <w:i/>
          <w:sz w:val="19"/>
        </w:rPr>
        <w:t>Zur Umsetzbarkeit:</w:t>
      </w:r>
      <w:r>
        <w:rPr>
          <w:rFonts w:ascii="Arial" w:hAnsi="Arial"/>
          <w:b w:val="0"/>
          <w:i w:val="0"/>
          <w:sz w:val="19"/>
        </w:rPr>
        <w:t xml:space="preserve"> Die in § 5.1 referierten US-Vorschläge werden von ihren Autoren selbst nach dem erforderlichen Rechtsetzungsaufwand geordnet, und diese Rangfolge ist auf die deutsche Debatte gedanklich übertragbar, auch wenn die Rechtsgrundlagen andere sind. Änderungen an Sätzen und Struktur </w:t>
      </w:r>
      <w:r>
        <w:rPr>
          <w:rFonts w:ascii="Arial" w:hAnsi="Arial"/>
          <w:b w:val="0"/>
          <w:i/>
          <w:sz w:val="19"/>
        </w:rPr>
        <w:t>bestehender</w:t>
      </w:r>
      <w:r>
        <w:rPr>
          <w:rFonts w:ascii="Arial" w:hAnsi="Arial"/>
          <w:b w:val="0"/>
          <w:i w:val="0"/>
          <w:sz w:val="19"/>
        </w:rPr>
        <w:t xml:space="preserve"> Steuern — also etwa der Wechsel von der Lohnsumme auf eine andere Bemessungsgrundlage — verlangten lediglich ein einfaches Gesetz und keine neue Erhebungsinfrastruktur. Eine bundesstaatliche Mehrwertsteuer verlangte in den Vereinigten Staaten dagegen einen vollständig neuen Erhebungsapparat, eine Bundesvermögensteuer darüber hinaus eine Verfassungsänderung, weil sie höchstrichterlich als verfassungswidrig eingestuft worden ist. Für die deutsche Lage kehrt sich das erste Verhältnis um: Eine Umsatzsteuer besteht bereits, so dass der in den Vereinigten Staaten teuerste Baustein hier der wohlfeilste wäre — während die verfassungsrechtlichen Fragen einer Wertschöpfungsabgabe in § 4.3 gesondert behandelt sind. Die Autoren benennen zugleich die Gegenseite ihres eigenen Vorschlags: Soweit Kapital mobil sei, könnten höhere Unternehmens- oder Kapitalbelastungen Verlagerungen in andere Jurisdiktionen auslösen und die Wettbewerbsfähigkeit als Standort für international nachgefragte Fachkräfte beeinträchtigen; diese Abwägung sei in ihrer Arbeit nicht quantifiziert und künftiger Forschung vorbehalten. Damit bestätigt die US-Diskussion die oben formulierte Einschätzung aus unabhängiger Quelle, ohne sie aufzulösen.</w:t>
      </w:r>
    </w:p>
    <w:p>
      <w:pPr>
        <w:jc w:val="both"/>
      </w:pPr>
      <w:r>
        <w:rPr>
          <w:rFonts w:ascii="Arial" w:hAnsi="Arial"/>
          <w:b w:val="0"/>
          <w:i/>
          <w:sz w:val="19"/>
        </w:rPr>
        <w:t>Zur Verlagerbarkeit:</w:t>
      </w:r>
      <w:r>
        <w:rPr>
          <w:rFonts w:ascii="Arial" w:hAnsi="Arial"/>
          <w:b w:val="0"/>
          <w:i w:val="0"/>
          <w:sz w:val="19"/>
        </w:rPr>
        <w:t xml:space="preserve"> Die Rechenschicht selbst wird kleinteiliger und damit beweglicher. Nach Recherchen von </w:t>
      </w:r>
      <w:r>
        <w:rPr>
          <w:rFonts w:ascii="Arial" w:hAnsi="Arial"/>
          <w:b w:val="0"/>
          <w:i/>
          <w:sz w:val="19"/>
        </w:rPr>
        <w:t>CNBC</w:t>
      </w:r>
      <w:r>
        <w:rPr>
          <w:rFonts w:ascii="Arial" w:hAnsi="Arial"/>
          <w:b w:val="0"/>
          <w:i w:val="0"/>
          <w:sz w:val="19"/>
        </w:rPr>
        <w:t xml:space="preserve"> vom 18. September 2026, die von </w:t>
      </w:r>
      <w:r>
        <w:rPr>
          <w:rFonts w:ascii="Arial" w:hAnsi="Arial"/>
          <w:b w:val="0"/>
          <w:i/>
          <w:sz w:val="19"/>
        </w:rPr>
        <w:t>Quartz</w:t>
      </w:r>
      <w:r>
        <w:rPr>
          <w:rFonts w:ascii="Arial" w:hAnsi="Arial"/>
          <w:b w:val="0"/>
          <w:i w:val="0"/>
          <w:sz w:val="19"/>
        </w:rPr>
        <w:t xml:space="preserve"> am selben Tag aufgenommen worden sind, suchen zwei führende Anbieter von Basismodellen — </w:t>
      </w:r>
      <w:r>
        <w:rPr>
          <w:rFonts w:ascii="Arial" w:hAnsi="Arial"/>
          <w:b w:val="0"/>
          <w:i/>
          <w:sz w:val="19"/>
        </w:rPr>
        <w:t>Anthropic</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 neben ihren Vorhaben im Gigawattmaßstab inzwischen gezielt Rechenzentrumsverträge im Bereich von 20 bis 30 Megawatt; </w:t>
      </w:r>
      <w:r>
        <w:rPr>
          <w:rFonts w:ascii="Arial" w:hAnsi="Arial"/>
          <w:b w:val="0"/>
          <w:i/>
          <w:sz w:val="19"/>
        </w:rPr>
        <w:t>Anthropic</w:t>
      </w:r>
      <w:r>
        <w:rPr>
          <w:rFonts w:ascii="Arial" w:hAnsi="Arial"/>
          <w:b w:val="0"/>
          <w:i w:val="0"/>
          <w:sz w:val="19"/>
        </w:rPr>
        <w:t xml:space="preserve"> sondiert solche Abschlüsse den Berichten zufolge im Vereinigten Königreich und in den nordischen Ländern, </w:t>
      </w:r>
      <w:r>
        <w:rPr>
          <w:rFonts w:ascii="Arial" w:hAnsi="Arial"/>
          <w:b w:val="0"/>
          <w:i/>
          <w:sz w:val="19"/>
        </w:rPr>
        <w:t>OpenAI</w:t>
      </w:r>
      <w:r>
        <w:rPr>
          <w:rFonts w:ascii="Arial" w:hAnsi="Arial"/>
          <w:b w:val="0"/>
          <w:i w:val="0"/>
          <w:sz w:val="19"/>
        </w:rPr>
        <w:t xml:space="preserve"> ebenfalls in Nordeuropa. Der technische Grund ist berichtenswert, weil er die steuerliche Anknüpfung unmittelbar betrifft: Das </w:t>
      </w:r>
      <w:r>
        <w:rPr>
          <w:rFonts w:ascii="Arial" w:hAnsi="Arial"/>
          <w:b w:val="0"/>
          <w:i/>
          <w:sz w:val="19"/>
        </w:rPr>
        <w:t>Training</w:t>
      </w:r>
      <w:r>
        <w:rPr>
          <w:rFonts w:ascii="Arial" w:hAnsi="Arial"/>
          <w:b w:val="0"/>
          <w:i w:val="0"/>
          <w:sz w:val="19"/>
        </w:rPr>
        <w:t xml:space="preserve"> eines Modells verlangt eine enge Kopplung sehr vieler Prozessoren an einem Ort, die </w:t>
      </w:r>
      <w:r>
        <w:rPr>
          <w:rFonts w:ascii="Arial" w:hAnsi="Arial"/>
          <w:b w:val="0"/>
          <w:i/>
          <w:sz w:val="19"/>
        </w:rPr>
        <w:t>Inferenz</w:t>
      </w:r>
      <w:r>
        <w:rPr>
          <w:rFonts w:ascii="Arial" w:hAnsi="Arial"/>
          <w:b w:val="0"/>
          <w:i w:val="0"/>
          <w:sz w:val="19"/>
        </w:rPr>
        <w:t xml:space="preserve"> — der Betrieb des fertigen Modells für Endnutzer — lässt sich dagegen ohne Leistungsverlust auf viele kleine, räumlich getrennte Rechnerverbünde verteilen. Zum Vergleich: Dieselben Anbieter haben zuvor Verträge im Gigawattbereich geschlossen, darunter ein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und Ausbauzusagen von </w:t>
      </w:r>
      <w:r>
        <w:rPr>
          <w:rFonts w:ascii="Arial" w:hAnsi="Arial"/>
          <w:b w:val="0"/>
          <w:i/>
          <w:sz w:val="19"/>
        </w:rPr>
        <w:t>OpenAI</w:t>
      </w:r>
      <w:r>
        <w:rPr>
          <w:rFonts w:ascii="Arial" w:hAnsi="Arial"/>
          <w:b w:val="0"/>
          <w:i w:val="0"/>
          <w:sz w:val="19"/>
        </w:rPr>
        <w:t xml:space="preserve"> über zusätzliche 3 Gigawatt in Georgia und 8 Gigawatt in Ohio. Die Größenordnung zwischen beiden Vertragsarten unterscheidet sich damit um den Faktor zwanzig bis vierhundert. Für die Arbitragefrage folgt daraus eine Präzisierung in beide Richtungen. </w:t>
      </w:r>
      <w:r>
        <w:rPr>
          <w:rFonts w:ascii="Arial" w:hAnsi="Arial"/>
          <w:b w:val="0"/>
          <w:i/>
          <w:sz w:val="19"/>
        </w:rPr>
        <w:t>Einerseits</w:t>
      </w:r>
      <w:r>
        <w:rPr>
          <w:rFonts w:ascii="Arial" w:hAnsi="Arial"/>
          <w:b w:val="0"/>
          <w:i w:val="0"/>
          <w:sz w:val="19"/>
        </w:rPr>
        <w:t xml:space="preserve"> verschärft die Teilbarkeit das Problem: Ein Steuertatbestand, der an Rechenzentrumsstandorte, installierte Rechenleistung oder Energieverbrauch anknüpft (→ § 9.2), trifft auf eine Schicht, die sich künftig nicht mehr nur zwischen Staaten, sondern in kleinen Einheiten </w:t>
      </w:r>
      <w:r>
        <w:rPr>
          <w:rFonts w:ascii="Arial" w:hAnsi="Arial"/>
          <w:b w:val="0"/>
          <w:i/>
          <w:sz w:val="19"/>
        </w:rPr>
        <w:t>innerhalb</w:t>
      </w:r>
      <w:r>
        <w:rPr>
          <w:rFonts w:ascii="Arial" w:hAnsi="Arial"/>
          <w:b w:val="0"/>
          <w:i w:val="0"/>
          <w:sz w:val="19"/>
        </w:rPr>
        <w:t xml:space="preserve"> von Regionen verschieben lässt; die Erhebungsschwellen solcher Abgaben würden dadurch umgehbar, ohne dass ein Anbieter ein Land verlassen müsste. </w:t>
      </w:r>
      <w:r>
        <w:rPr>
          <w:rFonts w:ascii="Arial" w:hAnsi="Arial"/>
          <w:b w:val="0"/>
          <w:i/>
          <w:sz w:val="19"/>
        </w:rPr>
        <w:t>Andererseits</w:t>
      </w:r>
      <w:r>
        <w:rPr>
          <w:rFonts w:ascii="Arial" w:hAnsi="Arial"/>
          <w:b w:val="0"/>
          <w:i w:val="0"/>
          <w:sz w:val="19"/>
        </w:rPr>
        <w:t xml:space="preserve"> verbessert sie die europäische Ausgangslage in einem Punkt, der für die in § 8.2 entwickelte Rohstoff-Analogie zählt: Wenn die wertschöpfungsnahe Betriebsschicht in Einheiten nachgefragt wird, die europäische Netz- und Flächenverhältnisse tatsächlich hergeben, verliert der in § 8.2 dokumentierte Kapazitätsrückstand gegenüber den Vereinigten Staaten für die </w:t>
      </w:r>
      <w:r>
        <w:rPr>
          <w:rFonts w:ascii="Arial" w:hAnsi="Arial"/>
          <w:b w:val="0"/>
          <w:i/>
          <w:sz w:val="19"/>
        </w:rPr>
        <w:t>Anwendungs</w:t>
      </w:r>
      <w:r>
        <w:rPr>
          <w:rFonts w:ascii="Arial" w:hAnsi="Arial"/>
          <w:b w:val="0"/>
          <w:i w:val="0"/>
          <w:sz w:val="19"/>
        </w:rPr>
        <w:t xml:space="preserve">-Ebene an Bindungskraft — der Rückstand bleibt beim Training bestehen, nicht notwendig beim Betrieb. Beide Folgerungen stützen dieselbe Zugriffslogik, die in § 8.3 begründet wird: Die Anknüpfung an die </w:t>
      </w:r>
      <w:r>
        <w:rPr>
          <w:rFonts w:ascii="Arial" w:hAnsi="Arial"/>
          <w:b w:val="0"/>
          <w:i/>
          <w:sz w:val="19"/>
        </w:rPr>
        <w:t>Wertschöpfung</w:t>
      </w:r>
      <w:r>
        <w:rPr>
          <w:rFonts w:ascii="Arial" w:hAnsi="Arial"/>
          <w:b w:val="0"/>
          <w:i w:val="0"/>
          <w:sz w:val="19"/>
        </w:rPr>
        <w:t xml:space="preserve"> aus dem Einsatz eines Systems ist gegenüber der Anknüpfung an Bestände, Standorte oder Anlagen die robustere Konstruktion, weil sie von der physischen Teilbarkeit der Rechenschicht unabhängig ist. Die genannten Vertragssondierungen sind Presseberichte unter Berufung auf ungenannte Quellen und werden deshalb im Konjunktiv referiert; eine Bestätigung durch die beteiligten Unternehmen liegt zum Stichtag nicht vor. Hinzu kommt eine Einschränkung der Belegkette selbst: Ein Direktabruf der Originalfassungen ist an Zugriffssperren der Anbieter gescheitert, so dass die Angaben nur über übereinstimmende Inhaltszusammenfassungen mehrerer Fundstellen gesichert sind (Prüfvermerk in § 11.5). Die hier gezogene Folgerung ist deshalb bewusst qualitativ gehalten — sie stützt sich darauf, </w:t>
      </w:r>
      <w:r>
        <w:rPr>
          <w:rFonts w:ascii="Arial" w:hAnsi="Arial"/>
          <w:b w:val="0"/>
          <w:i/>
          <w:sz w:val="19"/>
        </w:rPr>
        <w:t>dass</w:t>
      </w:r>
      <w:r>
        <w:rPr>
          <w:rFonts w:ascii="Arial" w:hAnsi="Arial"/>
          <w:b w:val="0"/>
          <w:i w:val="0"/>
          <w:sz w:val="19"/>
        </w:rPr>
        <w:t xml:space="preserve"> die Betriebsschicht in kleinen Einheiten nachgefragt wird, nicht auf die genaue Megawattzahl.</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Saez, E. (2002). Optimal Income Transfer Programs: Intensive versus Extensive Labor Supply Responses. </w:t>
      </w:r>
      <w:r>
        <w:rPr>
          <w:rFonts w:ascii="Arial" w:hAnsi="Arial"/>
          <w:b w:val="0"/>
          <w:i/>
          <w:sz w:val="19"/>
        </w:rPr>
        <w:t>Quarterly Journal of Economics</w:t>
      </w:r>
      <w:r>
        <w:rPr>
          <w:rFonts w:ascii="Arial" w:hAnsi="Arial"/>
          <w:b w:val="0"/>
          <w:i w:val="0"/>
          <w:sz w:val="19"/>
        </w:rPr>
        <w:t xml:space="preserve">, 117(3), 1039-1073. Begründet die Modellierung des Arbeitsangebots an der </w:t>
      </w:r>
      <w:r>
        <w:rPr>
          <w:rFonts w:ascii="Arial" w:hAnsi="Arial"/>
          <w:b w:val="0"/>
          <w:i/>
          <w:sz w:val="19"/>
        </w:rPr>
        <w:t>extensiven Marge</w:t>
      </w:r>
      <w:r>
        <w:rPr>
          <w:rFonts w:ascii="Arial" w:hAnsi="Arial"/>
          <w:b w:val="0"/>
          <w:i w:val="0"/>
          <w:sz w:val="19"/>
        </w:rPr>
        <w:t xml:space="preserve"> — die Entscheidung über die Erwerbsbeteiligung statt über die Stundenzahl — und damit die Form des Partizipationssteuertarifs. Im vorliegenden Papier als Bezugspunkt der Arbeit von Kleven &amp; Zidar (2026) in § 3.3 genannt; Angaben am 14. September 2026 anhand des Literaturverzeichnisses von NBER Working Paper 35747 geprüft.</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jc w:val="both"/>
      </w:pPr>
      <w:r>
        <w:rPr>
          <w:rFonts w:ascii="Arial" w:hAnsi="Arial"/>
          <w:b w:val="0"/>
          <w:i w:val="0"/>
          <w:sz w:val="19"/>
        </w:rPr>
        <w:t xml:space="preserve">Kleven, H., &amp; Zidar, O. M. (September 2026). </w:t>
      </w:r>
      <w:r>
        <w:rPr>
          <w:rFonts w:ascii="Arial" w:hAnsi="Arial"/>
          <w:b w:val="0"/>
          <w:i/>
          <w:sz w:val="19"/>
        </w:rPr>
        <w:t>Automation and Optimal Taxation: A Task-Based Theory.</w:t>
      </w:r>
      <w:r>
        <w:rPr>
          <w:rFonts w:ascii="Arial" w:hAnsi="Arial"/>
          <w:b w:val="0"/>
          <w:i w:val="0"/>
          <w:sz w:val="19"/>
        </w:rPr>
        <w:t xml:space="preserve"> NBER Working Paper 35747, September 2026. DOI 10.3386/w35747. JEL H21, H31, H32, J21, J31. Aufgabenbasiertes Modell optimaler Arbeits- und Kapitaleinkommensbesteuerung: Arbeit und Maschinen sind in automatisierbaren Aufgaben — vom unteren Ende der Qualifikationsverteilung bis zu einer Schwelle — vollkommene Substitute; Arbeitsangebot an der extensiven Marge nach Saez (2002); Kapitalangebot mit endlicher Elastizität. Zentrales theoretisches Ergebnis: Die optimalen Steuerformeln behalten im allgemeinen Gleichgewicht ihre partialanalytische Gestalt (hergeleitet über einen </w:t>
      </w:r>
      <w:r>
        <w:rPr>
          <w:rFonts w:ascii="Arial" w:hAnsi="Arial"/>
          <w:b w:val="0"/>
          <w:i/>
          <w:sz w:val="19"/>
        </w:rPr>
        <w:t>compensated perturbation approach</w:t>
      </w:r>
      <w:r>
        <w:rPr>
          <w:rFonts w:ascii="Arial" w:hAnsi="Arial"/>
          <w:b w:val="0"/>
          <w:i w:val="0"/>
          <w:sz w:val="19"/>
        </w:rPr>
        <w:t>), die optimalen Steuer</w:t>
      </w:r>
      <w:r>
        <w:rPr>
          <w:rFonts w:ascii="Arial" w:hAnsi="Arial"/>
          <w:b w:val="0"/>
          <w:i/>
          <w:sz w:val="19"/>
        </w:rPr>
        <w:t>sätze</w:t>
      </w:r>
      <w:r>
        <w:rPr>
          <w:rFonts w:ascii="Arial" w:hAnsi="Arial"/>
          <w:b w:val="0"/>
          <w:i w:val="0"/>
          <w:sz w:val="19"/>
        </w:rPr>
        <w:t xml:space="preserve"> ändern sich jedoch erheblich. Kalibrierung auf die US-Lohnverteilung und -Automatisierungsexposition (Anteil automatisierbarer Aufgaben 26 %): Lohnsubvention am unteren Ende (</w:t>
      </w:r>
      <w:r>
        <w:rPr>
          <w:rFonts w:ascii="Arial" w:hAnsi="Arial"/>
          <w:b w:val="0"/>
          <w:i/>
          <w:sz w:val="19"/>
        </w:rPr>
        <w:t>Earned Income Tax Credit</w:t>
      </w:r>
      <w:r>
        <w:rPr>
          <w:rFonts w:ascii="Arial" w:hAnsi="Arial"/>
          <w:b w:val="0"/>
          <w:i w:val="0"/>
          <w:sz w:val="19"/>
        </w:rPr>
        <w:t>) 77 % statt 36 % des Erwerbseinkommens, Geltungsbereich unterstes Viertel statt unterste 7 % der Lohnverteilung; Partizipationssteuersätze oberhalb der Automatisierungsschwelle rund 47 % statt rund 38 %; Maschinenintensität mit einem Wertschöpfungsanteil von rund 56 % am 41. Perzentil am höchsten (</w:t>
      </w:r>
      <w:r>
        <w:rPr>
          <w:rFonts w:ascii="Arial" w:hAnsi="Arial"/>
          <w:b w:val="0"/>
          <w:i/>
          <w:sz w:val="19"/>
        </w:rPr>
        <w:t>„hollowing out of the middle class"</w:t>
      </w:r>
      <w:r>
        <w:rPr>
          <w:rFonts w:ascii="Arial" w:hAnsi="Arial"/>
          <w:b w:val="0"/>
          <w:i w:val="0"/>
          <w:sz w:val="19"/>
        </w:rPr>
        <w:t>); optimale Kapitaleinkommensteuer von der Automatisierung unberührt und allein von der Kapitalangebotselastizität abhängig — 50 % bei Elastizität eins (Jakobsen et al. 2020), 67 % bei 0,5 und 17 % bei fünf, mit einem Anteil am Gesamtaufkommen von 21 % beziehungsweise 8 %. Die Autoren ordnen diesen Satz ausdrücklich nicht der Robotersteuer-Logik zu (Rentenabschöpfung statt Verletzung der Produktionseffizienz) und heben hervor, dass er die dort ermittelten Größenordnungen (Guerreiro/Rebelo/Teles 2022; Thuemmel 2023; Costinot &amp; Werning 2023 mit rund 4 %) deutlich übersteige. Selbstbenannte Einschränkungen: US-Kalibrierung, keine Berufswechsel oder Umschulung, ausschließlich extensive Arbeitsangebotsmarge, Sprungstelle des Tarifs an der Automatisierungsschwelle als Artefakt dieser Vereinfachung. Volltext am 14. September 2026 direkt abgerufen und ausgewertet. Aufnahme in § 3.3 (Weitere zentrale Beiträge) und § 3.5 (Zusammenfassung), mit Rückverweis auf § 2.1 (Typ 4) und § 8.1 (mittlere Einkommensschicht). Keine Übertragung auf deutsche Verhältnisse ohne eigene Kalibrierung (§ 4.3 Claude.md). https://www.nber.org/papers/w35747 | Volltext (PDF): https://www.nber.org/system/files/working_papers/w35747/w35747.pdf</w:t>
      </w:r>
    </w:p>
    <w:p>
      <w:pPr>
        <w:jc w:val="both"/>
      </w:pPr>
      <w:r>
        <w:rPr>
          <w:rFonts w:ascii="Arial" w:hAnsi="Arial"/>
          <w:b w:val="0"/>
          <w:i w:val="0"/>
          <w:sz w:val="19"/>
        </w:rPr>
        <w:t xml:space="preserve">Growiec, J., Prettner, K., &amp; Szkróbka, M. (13. September 2026). </w:t>
      </w:r>
      <w:r>
        <w:rPr>
          <w:rFonts w:ascii="Arial" w:hAnsi="Arial"/>
          <w:b w:val="0"/>
          <w:i/>
          <w:sz w:val="19"/>
        </w:rPr>
        <w:t>Redistributive Policies for the Times of Transformative AI.</w:t>
      </w:r>
      <w:r>
        <w:rPr>
          <w:rFonts w:ascii="Arial" w:hAnsi="Arial"/>
          <w:b w:val="0"/>
          <w:i w:val="0"/>
          <w:sz w:val="19"/>
        </w:rPr>
        <w:t xml:space="preserve"> arXiv-Preprint 2609.14750 [econ.GN], Lizenz CC BY 4.0. Systematisierende Übersicht (kein eigenes Kalibrierungsmodell) der für eine Ära transformativer Künstlicher Intelligenz vorgeschlagenen Umverteilungsinstrumente in einem gemeinsamen theoretischen Rahmen. Ausgangsannahme: Breit angelegte Automatisierung senke nach Eintritt transformativer KI die Lohnquote und erhöhe Einkommens- und Vermögensungleichheit; das Wachstum beschleunige sich voraussichtlich, der Zugewinn falle jedoch überwiegend einem schmalen Kreis von Personen und Unternehmen zu, so dass die Ungleichheit ohne umverteilende Politik auf ein in der Industrieökonomie unbekanntes Niveau steigen könne. Geprüfter Instrumentenkatalog im Wortlaut: </w:t>
      </w:r>
      <w:r>
        <w:rPr>
          <w:rFonts w:ascii="Arial" w:hAnsi="Arial"/>
          <w:b w:val="0"/>
          <w:i/>
          <w:sz w:val="19"/>
        </w:rPr>
        <w:t>„universal basic income (UBI), universal basic capital (UBC), state-issued compute and robot permits, and taxes on capital, compute, robots, tokens, land, energy, consumption, and wealth"</w:t>
      </w:r>
      <w:r>
        <w:rPr>
          <w:rFonts w:ascii="Arial" w:hAnsi="Arial"/>
          <w:b w:val="0"/>
          <w:i w:val="0"/>
          <w:sz w:val="19"/>
        </w:rPr>
        <w:t>. Ergebnis: Instrumente, die die Renten aus dem Kapital einschließlich Rechenleistung und Robotern breit verteilten — ein allgemeines Basiskapital oder ein über Kapitalsteuern finanziertes Grundeinkommen —, erreichten am ehesten eine dauerhafte Verringerung der Ungleichheit in einer Welt mit an menschlichen Zielsetzungen ausgerichteter transformativer KI. Aufgenommen in § 3.3 (Weitere zentrale Beiträge) mit Querverweisen auf § 2.1 (mengensteuernde Instrumente außerhalb der fünf Typen), § 9.1 (Rechenleistung und Token als Bemessungsgrundlagen), § 5.3, § 5.4 und § 8.3 (Teilhabe am Kapitalertrag) sowie § 5.1 (abweichender Finanzierungsweg gegenüber der Wertschöpfungsabgabe). Belastbarkeit: Preprint ohne Begutachtung; Aussagen unter der doppelten Annahme des Eintritts transformativer KI und ihrer Zielausrichtung, daher durchgängig im Konjunktiv referiert (§ 4.2 Claude.md). Abruf und Volltextprüfung der Zusammenfassung am 17. September 2026 erfolgreich. https://arxiv.org/abs/2609.14750</w:t>
      </w:r>
    </w:p>
    <w:p>
      <w:pPr>
        <w:jc w:val="both"/>
      </w:pPr>
      <w:r>
        <w:rPr>
          <w:rFonts w:ascii="Arial" w:hAnsi="Arial"/>
          <w:b w:val="0"/>
          <w:i w:val="0"/>
          <w:sz w:val="19"/>
        </w:rPr>
        <w:t xml:space="preserve">Rashidi, M., Ugolini, C., &amp; Fiorentini, G. (11. September 2026). </w:t>
      </w:r>
      <w:r>
        <w:rPr>
          <w:rFonts w:ascii="Arial" w:hAnsi="Arial"/>
          <w:b w:val="0"/>
          <w:i/>
          <w:sz w:val="19"/>
        </w:rPr>
        <w:t>Complements or Substitutes? Technology Adoption and the Demand for Clinical Care: Evidence from Automated Insulin Delivery.</w:t>
      </w:r>
      <w:r>
        <w:rPr>
          <w:rFonts w:ascii="Arial" w:hAnsi="Arial"/>
          <w:b w:val="0"/>
          <w:i w:val="0"/>
          <w:sz w:val="19"/>
        </w:rPr>
        <w:t xml:space="preserve"> arXiv-Preprint 2609.12976 [econ.GN]. Quasi-experimentelle Untersuchung der Einführung automatisierter Insulinabgabe (</w:t>
      </w:r>
      <w:r>
        <w:rPr>
          <w:rFonts w:ascii="Arial" w:hAnsi="Arial"/>
          <w:b w:val="0"/>
          <w:i/>
          <w:sz w:val="19"/>
        </w:rPr>
        <w:t>automated insulin delivery</w:t>
      </w:r>
      <w:r>
        <w:rPr>
          <w:rFonts w:ascii="Arial" w:hAnsi="Arial"/>
          <w:b w:val="0"/>
          <w:i w:val="0"/>
          <w:sz w:val="19"/>
        </w:rPr>
        <w:t xml:space="preserve">, AID) bei 1.608 Erwachsenen mit Typ-1-Diabetes in vier Spezialambulanzen des italienischen Nationalen Gesundheitsdienstes; 283 Personen übernahmen ein solches System, 181 davon konnten mit vergleichbaren Kontrollpersonen zusammengeführt werden. Methodik: </w:t>
      </w:r>
      <w:r>
        <w:rPr>
          <w:rFonts w:ascii="Arial" w:hAnsi="Arial"/>
          <w:b w:val="0"/>
          <w:i/>
          <w:sz w:val="19"/>
        </w:rPr>
        <w:t>risk-set coarsened exact matching</w:t>
      </w:r>
      <w:r>
        <w:rPr>
          <w:rFonts w:ascii="Arial" w:hAnsi="Arial"/>
          <w:b w:val="0"/>
          <w:i w:val="0"/>
          <w:sz w:val="19"/>
        </w:rPr>
        <w:t xml:space="preserve"> verbunden mit einem gestaffelten Ereignisstudiendesign (</w:t>
      </w:r>
      <w:r>
        <w:rPr>
          <w:rFonts w:ascii="Arial" w:hAnsi="Arial"/>
          <w:b w:val="0"/>
          <w:i/>
          <w:sz w:val="19"/>
        </w:rPr>
        <w:t>staggered event-study design</w:t>
      </w:r>
      <w:r>
        <w:rPr>
          <w:rFonts w:ascii="Arial" w:hAnsi="Arial"/>
          <w:b w:val="0"/>
          <w:i w:val="0"/>
          <w:sz w:val="19"/>
        </w:rPr>
        <w:t>) und einer Korrektur für unterschiedliche Vorverläufe durch Fortschreibung der unbehandelten Verlaufskurve in Ereigniszeit. Zentrale Ergebnisse im Wortlaut der Zusammenfassung: „The estimated effect on the probability of a diabetologist visit is 16.3 percentage points one semester after adoption and 39.3 percentage points four semesters after adoption, relative to a 55.2% visit probability in the semester before adoption"; HbA1c-Testung und ein breiterer Prozessindex zeigen dasselbe Vorzeichen bei geringerer Präzision. Eigene Einschränkung der Autoren: „The visit estimates remain sensitive to the trend-extrapolation assumption and should therefore be interpreted conditionally on that restriction." Einordnung durch die Autoren in den aufgabenbasierten Rahmen: Automatisierung ersetze die Routineentscheidung über die Dosierung und ergänze zugleich die klinische Arbeit in deutenden, anpassenden und überwachenden Aufgaben — patientennahe Automatisierung könne die Inanspruchnahme daher eher umorganisieren als verringern. Aufgenommen in § 7.1 als empirische Gegenprobe zur dort beschriebenen Gleichzeitigkeit von Substitution und Ergänzung, mit Querverweisen auf § 3.1 (task-based framework), § 7.3 und § 9.1. Belastbarkeit: Preprint ohne Begutachtung; Beobachtungsstudie mit ausdrücklich benannter Abhängigkeit von der Fortschreibungsannahme; Übertragbarkeit auf deutsche Versorgungssettings nicht geprüft. https://arxiv.org/abs/2609.12976</w:t>
      </w:r>
    </w:p>
    <w:p>
      <w:pPr>
        <w:jc w:val="both"/>
      </w:pPr>
      <w:r>
        <w:rPr>
          <w:rFonts w:ascii="Arial" w:hAnsi="Arial"/>
          <w:b w:val="0"/>
          <w:i w:val="0"/>
          <w:sz w:val="19"/>
        </w:rPr>
        <w:t xml:space="preserve">Moon, D., Hwang, Y., Hwang, J., &amp; Jeong, D. (15. September 2026). </w:t>
      </w:r>
      <w:r>
        <w:rPr>
          <w:rFonts w:ascii="Arial" w:hAnsi="Arial"/>
          <w:b w:val="0"/>
          <w:i/>
          <w:sz w:val="19"/>
        </w:rPr>
        <w:t>Mapping AI Economic Complexity.</w:t>
      </w:r>
      <w:r>
        <w:rPr>
          <w:rFonts w:ascii="Arial" w:hAnsi="Arial"/>
          <w:b w:val="0"/>
          <w:i w:val="0"/>
          <w:sz w:val="19"/>
        </w:rPr>
        <w:t xml:space="preserve"> arXiv-Preprint 2609.17200 [physics.soc-ph; econ.GN]. Übertragung des Ansatzes der ökonomischen Komplexität auf 103 als KI-ermöglichend eingestufte Warenpositionen (</w:t>
      </w:r>
      <w:r>
        <w:rPr>
          <w:rFonts w:ascii="Arial" w:hAnsi="Arial"/>
          <w:b w:val="0"/>
          <w:i/>
          <w:sz w:val="19"/>
        </w:rPr>
        <w:t>AI-enabling goods</w:t>
      </w:r>
      <w:r>
        <w:rPr>
          <w:rFonts w:ascii="Arial" w:hAnsi="Arial"/>
          <w:b w:val="0"/>
          <w:i w:val="0"/>
          <w:sz w:val="19"/>
        </w:rPr>
        <w:t>) im gesamten Produktraum, ausgewertet auf BACI-Handelsdaten der Jahre 2007 bis 2023 für 162 auswertbare Volkswirtschaften. Kennzahlen: AECI (komplexitätsgewichtete Spezialisierung), AIAP (produktnahe Anschlussmöglichkeiten) und AECP (mittlere komplexitätsgewichtete Verwandtschaft der verbleibenden Kandidaten). Befunde für 2023: Weltexport der Warengruppe nominal 2,82 Bio. US-Dollar gegenüber 1,52 Bio. US-Dollar 2007; Anteil der fünf größten Exporteure 55,2 %; mittlerer Produktkomplexitätsindex der Warengruppe 0,837 gegenüber rund null im Gesamtwarenraum, 58,3 % der Positionen im obersten Komplexitätsquartil. AECI-Rangfolge 2023 (Tabelle 1): Japan 3,996 (64 spezialisierte Positionen, mittlere normierte Komplexität 0,691, 39 verbleibende Kandidaten, AECP 1,516), China 3,666 (66; 0,623; 37; 4,144), Deutschland 3,535 (61; 0,654; 42; 3,382), Vereinigte Staaten 2,991 (53; 0,656; 50; 1,918), Taiwan 2,977 (52; 0,666; 51; 0,836); als Vergleichsgrößen Südkorea 2,241 und Italien 1,643. Bei AECP führt China vor Italien und Deutschland. Eigene Einschränkung der Autoren im Wortlaut: „The results and public dashboard provide a preliminary complement to publication and patent indicators, not a comprehensive measure of national AI performance or a validated forecast of diversification"; die Zusammenhänge zwischen anfänglichem Rohpotenzial und späterer Veränderung von AECI und Spezialisierungszahl sind auf dem 5-Prozent-Niveau nicht signifikant. Aufgenommen in § 8.2 als zehnte Fortschreibung (handelsbasierte Vermessung der KI-Zulieferfähigkeit) mit Querverweis auf § 8.5 (Veredelungsstrategie). Belastbarkeit: Preprint ohne Begutachtung; Handelsdaten messen Warenströme der gelisteten Kategorien, nicht deren ausschließliche KI-Verwendung. https://arxiv.org/abs/2609.17200</w:t>
      </w:r>
    </w:p>
    <w:p>
      <w:pPr>
        <w:jc w:val="both"/>
      </w:pPr>
      <w:r>
        <w:rPr>
          <w:rFonts w:ascii="Arial" w:hAnsi="Arial"/>
          <w:b w:val="0"/>
          <w:i w:val="0"/>
          <w:sz w:val="19"/>
        </w:rPr>
        <w:t xml:space="preserve">Price, C. C., &amp; Wenger, J. B. (August 2026). </w:t>
      </w:r>
      <w:r>
        <w:rPr>
          <w:rFonts w:ascii="Arial" w:hAnsi="Arial"/>
          <w:b w:val="0"/>
          <w:i/>
          <w:sz w:val="19"/>
        </w:rPr>
        <w:t>Tax Policy Options to Promote Employment and Mitigate Federal Revenue Impacts in the Age of AI.</w:t>
      </w:r>
      <w:r>
        <w:rPr>
          <w:rFonts w:ascii="Arial" w:hAnsi="Arial"/>
          <w:b w:val="0"/>
          <w:i w:val="0"/>
          <w:sz w:val="19"/>
        </w:rPr>
        <w:t xml:space="preserve"> RAND Corporation, Expert Insights / Perspective PE-A4392-3, Santa Monica, CA. Volltext beschafft und ausgewertet (Verfahrensregel Cluster A, `Suchthemen.md`). Ausgangsbefund: Rund zwei Drittel — an anderer Stelle der Arbeit mit 65 Prozent beziffert — des US-Bundesaufkommens stammen aus dem Faktor Arbeit (Lohnsummensteuer und Bundeseinkommensteuer), der Rest aus Konsum und Kapital; Teile des Steuerkodex verschärfen das KI-bedingte Risiko zusätzlich, weil sie Beschäftigung belasten und Kapitaleinkommen begünstigen. Die Autoren entwickeln einen Sechs-Kategorien-Rahmen zur Einordnung der Vorschriften und leiten daraus sechs Gestaltungsoptionen ab, jeweils mit eigenen Zielkonflikten bei Aufkommen, Wachstum und Umsetzbarkeit — </w:t>
      </w:r>
      <w:r>
        <w:rPr>
          <w:rFonts w:ascii="Arial" w:hAnsi="Arial"/>
          <w:b w:val="0"/>
          <w:i/>
          <w:sz w:val="19"/>
        </w:rPr>
        <w:t>zur Erhöhung der Arbeitsnachfrage:</w:t>
      </w:r>
      <w:r>
        <w:rPr>
          <w:rFonts w:ascii="Arial" w:hAnsi="Arial"/>
          <w:b w:val="0"/>
          <w:i w:val="0"/>
          <w:sz w:val="19"/>
        </w:rPr>
        <w:t xml:space="preserve"> (i) Ersetzung der Arbeitgeber-Lohnsummensteuer durch Unternehmensteuern (nach Fußnote der Autoren müsste der effektive Körperschaftsteuersatz dafür etwa verdoppelt werden, also ungefähr auf den Nominalsatz von 21 Prozent steigen, und die Mittel müssten weiterhin den bislang lohnsummenfinanzierten Programmen </w:t>
      </w:r>
      <w:r>
        <w:rPr>
          <w:rFonts w:ascii="Arial" w:hAnsi="Arial"/>
          <w:b w:val="0"/>
          <w:i/>
          <w:sz w:val="19"/>
        </w:rPr>
        <w:t>Medicare</w:t>
      </w:r>
      <w:r>
        <w:rPr>
          <w:rFonts w:ascii="Arial" w:hAnsi="Arial"/>
          <w:b w:val="0"/>
          <w:i w:val="0"/>
          <w:sz w:val="19"/>
        </w:rPr>
        <w:t xml:space="preserve"> und </w:t>
      </w:r>
      <w:r>
        <w:rPr>
          <w:rFonts w:ascii="Arial" w:hAnsi="Arial"/>
          <w:b w:val="0"/>
          <w:i/>
          <w:sz w:val="19"/>
        </w:rPr>
        <w:t>Social Security</w:t>
      </w:r>
      <w:r>
        <w:rPr>
          <w:rFonts w:ascii="Arial" w:hAnsi="Arial"/>
          <w:b w:val="0"/>
          <w:i w:val="0"/>
          <w:sz w:val="19"/>
        </w:rPr>
        <w:t xml:space="preserve"> zweckgebunden zufließen), (ii) progressive Körperschaftsteuer auf den Gewinn je Beschäftigten; </w:t>
      </w:r>
      <w:r>
        <w:rPr>
          <w:rFonts w:ascii="Arial" w:hAnsi="Arial"/>
          <w:b w:val="0"/>
          <w:i/>
          <w:sz w:val="19"/>
        </w:rPr>
        <w:t>zum Ersatz entfallenden Arbeitsaufkommens:</w:t>
      </w:r>
      <w:r>
        <w:rPr>
          <w:rFonts w:ascii="Arial" w:hAnsi="Arial"/>
          <w:b w:val="0"/>
          <w:i w:val="0"/>
          <w:sz w:val="19"/>
        </w:rPr>
        <w:t xml:space="preserve"> (iii) Besteuerung langfristiger Veräußerungsgewinne zum Einkommensteuertarif statt zum Höchstsatz von 20 Prozent gegenüber 37 Prozent auf Arbeitseinkommen, geschätztes Mehraufkommen 100 Milliarden US-Dollar jährlich oder mehr, (iv) Einführung einer bundesstaatlichen Mehrwertsteuer — die Vereinigten Staaten sind nach Angabe der Autoren der einzige OECD-Staat ohne eine solche und damit ohne das KI-robusteste Aufkommensinstrument; bei Ausgestaltung nach dem Muster anderer Industriestaaten könnten knapp 20 Prozent des Bundesaufkommens erzielt werden, (v) Bundesvermögensteuer — als Vergleichsgröße nennen die Autoren 721 Milliarden US-Dollar Grund- und Vermögensteueraufkommen der Bundesstaaten und Kommunen 2024, rund 30 Prozent des Aufkommens der Bundeseinkommensteuer, (vi) Abschaffung oder Begrenzung der Wertaufstockung im Erbfall (</w:t>
      </w:r>
      <w:r>
        <w:rPr>
          <w:rFonts w:ascii="Arial" w:hAnsi="Arial"/>
          <w:b w:val="0"/>
          <w:i/>
          <w:sz w:val="19"/>
        </w:rPr>
        <w:t>step-up in basis</w:t>
      </w:r>
      <w:r>
        <w:rPr>
          <w:rFonts w:ascii="Arial" w:hAnsi="Arial"/>
          <w:b w:val="0"/>
          <w:i w:val="0"/>
          <w:sz w:val="19"/>
        </w:rPr>
        <w:t>), geschätzt zweistelliger Milliardenbetrag. Von den Autoren selbst benannte Einschränkungen: Eine Bundesvermögensteuer ist höchstrichterlich als verfassungswidrig eingestuft und erforderte eine Verfassungsänderung; Mehrwertsteuer und Vermögensteuer erforderten eine neue Erhebungsinfrastruktur, während Satz- und Strukturänderungen bestehender Steuern im ordentlichen Gesetzgebungsverfahren möglich wären; bei mobilem Kapital könnten höhere Unternehmens- oder Kapitalbelastungen Verlagerungen in andere Jurisdiktionen und Nachteile im Wettbewerb um international nachgefragte Fachkräfte auslösen — diese Abwägung sei nicht quantifiziert und künftiger Forschung vorbehalten. Zugrunde gelegte Verdrängungsschätzung (von den Autoren aus Acemoglu 2024 und einer Arbeit des Internationalen Währungsfonds — International Monetary Fund, IWF — von 2024 übernommen, nicht eigenständig erhoben): rund 10 bis 15 Prozent der Arbeitsstunden über einen Zeitraum von zehn bis fünfzehn Jahren, mit überproportionaler Betroffenheit gut bezahlter Bürotätigkeiten in der näheren Frist. Aufnahme in § 3.1 (Fortschreibung des Acemoglu-Manera-Restrepo-Befunds auf Instrumentenebene), § 5.1 (Gewinnprogression je Beschäftigten als spiegelbildliche Konstruktion zur Wertschöpfungsabgabe) und § 9.3 (Umsetzbarkeitsrangfolge und Kapitalmobilität). https://www.rand.org/pubs/perspectives/PEA4392-3.html</w:t>
      </w:r>
    </w:p>
    <w:p>
      <w:pPr>
        <w:jc w:val="both"/>
      </w:pPr>
      <w:r>
        <w:rPr>
          <w:rFonts w:ascii="Arial" w:hAnsi="Arial"/>
          <w:b w:val="0"/>
          <w:i w:val="0"/>
          <w:sz w:val="19"/>
        </w:rPr>
        <w:t xml:space="preserve">Price, C. C., &amp; Suresh, A. (25. August 2026). </w:t>
      </w:r>
      <w:r>
        <w:rPr>
          <w:rFonts w:ascii="Arial" w:hAnsi="Arial"/>
          <w:b w:val="0"/>
          <w:i/>
          <w:sz w:val="19"/>
        </w:rPr>
        <w:t>Federal Revenue When AI Replaces Labor: An Examination of Economic Scenarios with Highly Capable Artificial Intelligence.</w:t>
      </w:r>
      <w:r>
        <w:rPr>
          <w:rFonts w:ascii="Arial" w:hAnsi="Arial"/>
          <w:b w:val="0"/>
          <w:i w:val="0"/>
          <w:sz w:val="19"/>
        </w:rPr>
        <w:t xml:space="preserve"> RAND Corporation, Research Report RR-A4980-1, Santa Monica, CA. Vorfassung: dies. (November 2025), </w:t>
      </w:r>
      <w:r>
        <w:rPr>
          <w:rFonts w:ascii="Arial" w:hAnsi="Arial"/>
          <w:b w:val="0"/>
          <w:i/>
          <w:sz w:val="19"/>
        </w:rPr>
        <w:t>Federal Revenue When AI Replaces Labor</w:t>
      </w:r>
      <w:r>
        <w:rPr>
          <w:rFonts w:ascii="Arial" w:hAnsi="Arial"/>
          <w:b w:val="0"/>
          <w:i w:val="0"/>
          <w:sz w:val="19"/>
        </w:rPr>
        <w:t>, RAND Working Paper WR-A4443-1 (Volltext beschafft und ausgewertet; ausdrücklich als nicht begutachtete Vorabveröffentlichung gekennzeichnet). Methodik: Szenarienrahmen entlang zweier Achsen — ob verdrängte Beschäftigte wieder Arbeit finden und ob Künstliche Intelligenz monopolistisch oder zu Selbstkosten bepreist wird —, simuliert für einen hypothetischen Fall vollständiger Verdrängung und für ein Übergangsszenario mit 10 Prozent verdrängter Erwerbsbevölkerung. Kernbefunde als Modellergebnisse unter definierten Annahmen, nicht als Prognosen: 2024 stammten 84 Prozent des US-Bundesaufkommens aus Einkommen- oder Lohnsummensteuer, beide am Arbeitseinkommen erhoben; wegen der Einkommenskonzentration in gut bezahlten Bürotätigkeiten träfe deren Ersetzung das Aufkommen überproportional; selbst bei Wiederbeschäftigung zu vergleichbaren Bezügen entspräche der fiskalische Schock dem einer Rezession; Mehreinnahmen aus KI-bedingt höheren Unternehmensgewinnen glichen die Ausfälle nicht aus, weil der Körperschaftsteuersatz dafür etwa verdoppelt werden müsste; seien hochleistungsfähige Systeme breit zu Inferenzkosten verfügbar, könnten margenlose KI-Leistungen bestehende Anbieter unterbieten, so dass die resultierende Deflation auch das Körperschaftsteueraufkommen mindert. Empfehlungen der Autoren (im Konjunktiv referiert nach § 4.2 Claude.md): Verringerung der Abhängigkeit des Aufkommens vom Arbeitseinkommen durch Verlagerung auf Unternehmen- und Verbrauchsteuern, Schließung von Gestaltungswegen wie der Verlagerung geistigen Eigentums in ausländische Tochtergesellschaften, Stabilisierung der Nominalnachfrage im Deflationsfall sowie laufende Beobachtung einschlägiger Konjunkturindikatoren. Aufnahme in § 3.1 als fiskalische Gegenprobe zum Acemoglu-Manera-Restrepo-Befund, mit Rückwirkung auf § 8.3 (Zugriffslogik und Bemessungsgrundlage) und § 9.2 (Messbarkeit). https://www.rand.org/pubs/research_reports/RRA4980-1.html | https://www.rand.org/content/dam/rand/pubs/working_papers/WRA4400/WRA4443-1/RAND_WRA4443-1.pdf</w:t>
      </w:r>
    </w:p>
    <w:p>
      <w:pPr>
        <w:jc w:val="both"/>
      </w:pPr>
      <w:r>
        <w:rPr>
          <w:rFonts w:ascii="Arial" w:hAnsi="Arial"/>
          <w:b w:val="0"/>
          <w:i w:val="0"/>
          <w:sz w:val="19"/>
        </w:rPr>
        <w:t xml:space="preserve">Nakatani, R., &amp; Miyamoto, H. (19. März 2026; eingestellt 20. April 2026). </w:t>
      </w:r>
      <w:r>
        <w:rPr>
          <w:rFonts w:ascii="Arial" w:hAnsi="Arial"/>
          <w:b w:val="0"/>
          <w:i/>
          <w:sz w:val="19"/>
        </w:rPr>
        <w:t>Optimal Taxation in the Automation Era.</w:t>
      </w:r>
      <w:r>
        <w:rPr>
          <w:rFonts w:ascii="Arial" w:hAnsi="Arial"/>
          <w:b w:val="0"/>
          <w:i w:val="0"/>
          <w:sz w:val="19"/>
        </w:rPr>
        <w:t xml:space="preserve"> MPRA Paper No. 128480, Munich Personal RePEc Archive. Institutionelle Zuordnung laut Titelblatt: Internationaler Währungsfonds (Nakatani) und Hitotsubashi-Universität (Miyamoto); die Arbeitspapierreihe bindet den Fonds nicht. Allgemeines Gleichgewichtsmodell, auf die Vereinigten Staaten kalibriert; bestimmt simultan die wohlfahrtsmaximierenden Sätze von Kapitaleinkommensteuer, Lohnsteuer auf ungelernte Arbeit, Steuer auf Automatisierungskapital (Robotersteuer) und Konsumsteuer. Kernergebnis laut Zusammenfassung: Nach einem Produktivitätsschub des automatisierungsbezogenen Kapitals sind die wohlfahrtsmaximierenden Sätze der Kapitaleinkommensteuer und der Robotersteuer null, weil die langfristigen Investitionsverzerrungen den Umverteilungsnutzen überwiegen; im Grundszenario maximieren Senkungen der Lohnsteuer auf ungelernte Arbeit und vor allem der Konsumsteuer die Wohlfahrt, bei hoher Substituierbarkeit zwischen ungelernter Arbeit und Automatisierungskapital steigt hingegen der optimale Konsumsteuersatz, und das Mehraufkommen wird an die verdrängten ungelernten Beschäftigten umverteilt. Fortschreibung der in § 3.3 geführten Arbeit Nakatani (2024); eingearbeitet in § 3.3 und § 3.5. </w:t>
      </w:r>
      <w:r>
        <w:rPr>
          <w:rFonts w:ascii="Arial" w:hAnsi="Arial"/>
          <w:b w:val="0"/>
          <w:i/>
          <w:sz w:val="19"/>
        </w:rPr>
        <w:t>Prüfvermerk:</w:t>
      </w:r>
      <w:r>
        <w:rPr>
          <w:rFonts w:ascii="Arial" w:hAnsi="Arial"/>
          <w:b w:val="0"/>
          <w:i w:val="0"/>
          <w:sz w:val="19"/>
        </w:rPr>
        <w:t xml:space="preserve"> Bibliografische Angaben und Zusammenfassung sind von der Ablageseite wörtlich ausgelesen, die Titelseite des Volltextes maschinell verifiziert; eine maschinelle Textextraktion des Volltextkörpers ist an der Schrifteinbettung gescheitert, weshalb über die Zusammenfassung hinausgehende Einzelwerte, Elastizitäten und Kalibrierungsparameter nicht zitiert werden. Modellergebnis unter definierten Annahmen, keine politische Empfehlung, nicht auf deutsche Verhältnisse kalibriert. https://mpra.ub.uni-muenchen.de/128480/ | Volltext: https://mpra.ub.uni-muenchen.de/128480/1/MPRA_paper_128480.pdf</w:t>
      </w:r>
    </w:p>
    <w:p>
      <w:pPr>
        <w:jc w:val="both"/>
      </w:pPr>
      <w:r>
        <w:rPr>
          <w:rFonts w:ascii="Arial" w:hAnsi="Arial"/>
          <w:b w:val="0"/>
          <w:i w:val="0"/>
          <w:sz w:val="19"/>
        </w:rPr>
        <w:t xml:space="preserve">Misch, F., Park, B., Pizzinelli, C., &amp; Sher, G. (April 2025). </w:t>
      </w:r>
      <w:r>
        <w:rPr>
          <w:rFonts w:ascii="Arial" w:hAnsi="Arial"/>
          <w:b w:val="0"/>
          <w:i/>
          <w:sz w:val="19"/>
        </w:rPr>
        <w:t>Artificial Intelligence and Productivity in Europe.</w:t>
      </w:r>
      <w:r>
        <w:rPr>
          <w:rFonts w:ascii="Arial" w:hAnsi="Arial"/>
          <w:b w:val="0"/>
          <w:i w:val="0"/>
          <w:sz w:val="19"/>
        </w:rPr>
        <w:t xml:space="preserve"> IMF Working Paper WP/25/67, Internationaler Währungsfonds, Washington, D.C. Simulation der mittelfristigen Wirkung der KI-Einführung auf die totale Faktorproduktivität für 31 europäische Länder nach dem Ansatz von Acemoglu (2024), unter Berücksichtigung der heterogenen regulatorischen Beschränkungen nach Aufgaben, Berufen und Sektoren. Kernergebnis: Die mittelfristigen Produktivitätsgewinne für Europa insgesamt dürften mit rund 1 Prozent kumuliert über fünf Jahre bescheiden ausfallen. Herangezogen in § 8.2 als veröffentlichter Beleg für den von der Agenturberichterstattung aus dem Dubliner Hintergrundpapier referierten Produktivitätswert. Arbeitspapierreihe; bindet den Fonds nicht. </w:t>
      </w:r>
      <w:r>
        <w:rPr>
          <w:rFonts w:ascii="Arial" w:hAnsi="Arial"/>
          <w:b w:val="0"/>
          <w:i/>
          <w:sz w:val="19"/>
        </w:rPr>
        <w:t>Prüfvermerk nach § 2.4.4 `Validierung.md`:</w:t>
      </w:r>
      <w:r>
        <w:rPr>
          <w:rFonts w:ascii="Arial" w:hAnsi="Arial"/>
          <w:b w:val="0"/>
          <w:i w:val="0"/>
          <w:sz w:val="19"/>
        </w:rPr>
        <w:t xml:space="preserve"> Die Nachweisseite auf imf.org antwortet beim Direktabruf mit HTTP 403 (Zugriffssperre, kein toter Link — derselbe Befund wie bei der IMF-Nachweisseite in § 11.3); die frei ausgelieferte PDF-Fassung ist erreichbar und hier als zweite Adresse geführt. https://www.imf.org/en/publications/wp/issues/2025/04/04/ai-and-productivity-in-europe-565924 | Volltext: https://www.imf.org/-/media/files/publications/wp/2025/english/wpiea2025067-print-pdf.pdf</w:t>
      </w:r>
    </w:p>
    <w:p>
      <w:pPr>
        <w:jc w:val="both"/>
      </w:pPr>
      <w:r>
        <w:rPr>
          <w:rFonts w:ascii="Arial" w:hAnsi="Arial"/>
          <w:b w:val="0"/>
          <w:i w:val="0"/>
          <w:sz w:val="19"/>
        </w:rPr>
        <w:t xml:space="preserve">Kang, D., Lee, J. H., &amp; Quach, S. </w:t>
      </w:r>
      <w:r>
        <w:rPr>
          <w:rFonts w:ascii="Arial" w:hAnsi="Arial"/>
          <w:b w:val="0"/>
          <w:i/>
          <w:sz w:val="19"/>
        </w:rPr>
        <w:t>The Welfare Effects of a Robot Tax: Evidence from a Tax Credit for Automation Technologies in Korea.</w:t>
      </w:r>
      <w:r>
        <w:rPr>
          <w:rFonts w:ascii="Arial" w:hAnsi="Arial"/>
          <w:b w:val="0"/>
          <w:i w:val="0"/>
          <w:sz w:val="19"/>
        </w:rPr>
        <w:t xml:space="preserve"> SSRN Working Paper No. 5005128. Quasi-experimentelle Auswertung der südkoreanischen Reform von 2017 (Kürzung der Steuerabzüge für Investitionen in Automatisierungsausrüstung, größenabhängig gestaffelt) als politikinduziertes natürliches Experiment auf Grundlage koreanischer Verwaltungssteuerdaten. Berichtete Befunde: Rückgang der Automatisierungsinvestitionen und Anstieg der Beschäftigung in den betroffenen Unternehmen; Rückgang der Lohnungleichheit über langsameres Lohnwachstum in der oberen Hälfte der Einkommensverteilung; positive fiskalische Externalität des Abzugs, das heißt ein über den unmittelbaren rechnerischen Effekt hinausgehender Aufkommenszuwachs infolge der Verhaltensreaktionen. Ausgewertet in § 6.1. </w:t>
      </w:r>
      <w:r>
        <w:rPr>
          <w:rFonts w:ascii="Arial" w:hAnsi="Arial"/>
          <w:b/>
          <w:i w:val="0"/>
          <w:sz w:val="19"/>
        </w:rPr>
        <w:t>Prüfvermerk nach § 2.4.4 `Validierung.md` (Stand 23. September 2026):</w:t>
      </w:r>
      <w:r>
        <w:rPr>
          <w:rFonts w:ascii="Arial" w:hAnsi="Arial"/>
          <w:b w:val="0"/>
          <w:i w:val="0"/>
          <w:sz w:val="19"/>
        </w:rPr>
        <w:t xml:space="preserve"> Der Volltext ist über https://papers.ssrn.com/sol3/papers.cfm?abstract_id=5005128 maschinell nicht zu beschaffen (HTTP 403 sowohl im Rechercheverfahren als auch im Direktabruf mit Browser-Kennung); die Befunde sind deshalb nach der übereinstimmenden Wiedergabe in den beiden abrufbaren Quellen (Crimi 2026, § 11.5; Windfall Trust, § 11.3) referiert, ohne die von den Verfassern selbst benannten Einschränkungen und ohne Effektgrößen. Die Beschaffung des Volltextes bleibt für einen Folgelauf vorgemerkt; ebenso die im selben Lauf gefundene, gleichfalls nicht abrufbare Parallelarbeit </w:t>
      </w:r>
      <w:r>
        <w:rPr>
          <w:rFonts w:ascii="Arial" w:hAnsi="Arial"/>
          <w:b w:val="0"/>
          <w:i/>
          <w:sz w:val="19"/>
        </w:rPr>
        <w:t>Robot taxes and corporate cash holdings: evidence from a policy-induced natural experiment</w:t>
      </w:r>
      <w:r>
        <w:rPr>
          <w:rFonts w:ascii="Arial" w:hAnsi="Arial"/>
          <w:b w:val="0"/>
          <w:i w:val="0"/>
          <w:sz w:val="19"/>
        </w:rPr>
        <w:t xml:space="preserve"> (</w:t>
      </w:r>
      <w:r>
        <w:rPr>
          <w:rFonts w:ascii="Arial" w:hAnsi="Arial"/>
          <w:b w:val="0"/>
          <w:i/>
          <w:sz w:val="19"/>
        </w:rPr>
        <w:t>Applied Economics</w:t>
      </w:r>
      <w:r>
        <w:rPr>
          <w:rFonts w:ascii="Arial" w:hAnsi="Arial"/>
          <w:b w:val="0"/>
          <w:i w:val="0"/>
          <w:sz w:val="19"/>
        </w:rPr>
        <w:t>, DOI 10.1080/00036846.2025.2602950, HTTP 403).</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 — </w:t>
      </w:r>
      <w:r>
        <w:rPr>
          <w:rFonts w:ascii="Arial" w:hAnsi="Arial"/>
          <w:b/>
          <w:i w:val="0"/>
          <w:sz w:val="19"/>
        </w:rPr>
        <w:t>Prüfvermerk nach § 2.4.4 `Validierung.md` (Stichprobe vom 23. September 2026):</w:t>
      </w:r>
      <w:r>
        <w:rPr>
          <w:rFonts w:ascii="Arial" w:hAnsi="Arial"/>
          <w:b w:val="0"/>
          <w:i w:val="0"/>
          <w:sz w:val="19"/>
        </w:rPr>
        <w:t xml:space="preserve"> Der Nachweis `https://aicommission.org/2026/08/casar-introduces-bill-to-tax-ai-companies-create-jobs-amid-layoff-fears/` antwortet bei zwei Abrufen mit unterschiedlicher Browser-Kennung mit HTTP 404. Der Link bleibt nach § 4.5 `Claude.md` als zeitlich frühere Referenz erhalten; der Vorgang ist durch die übrigen Nachweise dieses Eintrags vollständig belegt.</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4.4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jc w:val="both"/>
      </w:pPr>
      <w:r>
        <w:rPr>
          <w:rFonts w:ascii="Arial" w:hAnsi="Arial"/>
          <w:b w:val="0"/>
          <w:i w:val="0"/>
          <w:sz w:val="19"/>
        </w:rPr>
        <w:t xml:space="preserve">Europäische Kommission, Generaldirektion Kommunikation. (16. September 2026). </w:t>
      </w:r>
      <w:r>
        <w:rPr>
          <w:rFonts w:ascii="Arial" w:hAnsi="Arial"/>
          <w:b w:val="0"/>
          <w:i/>
          <w:sz w:val="19"/>
        </w:rPr>
        <w:t>State of the Union 2026 — From promise to progress: second year in office.</w:t>
      </w:r>
      <w:r>
        <w:rPr>
          <w:rFonts w:ascii="Arial" w:hAnsi="Arial"/>
          <w:b w:val="0"/>
          <w:i w:val="0"/>
          <w:sz w:val="19"/>
        </w:rPr>
        <w:t xml:space="preserve"> Luxemburg: Amt für Veröffentlichungen der Europäischen Union. Print-ISBN 978-92-68-41058-5, doi:10.2775/5789065; PDF-ISBN 978-92-68-41057-8, doi:10.2775/1206124; Katalognummer NA-01-26-027-EN-N. Lizenz: Creative Commons Attribution 4.0 International (CC BY 4.0). Amtliche Bilanzschrift zur jährlichen </w:t>
      </w:r>
      <w:r>
        <w:rPr>
          <w:rFonts w:ascii="Arial" w:hAnsi="Arial"/>
          <w:b w:val="0"/>
          <w:i/>
          <w:sz w:val="19"/>
        </w:rPr>
        <w:t>Rede zur Lage der Union</w:t>
      </w:r>
      <w:r>
        <w:rPr>
          <w:rFonts w:ascii="Arial" w:hAnsi="Arial"/>
          <w:b w:val="0"/>
          <w:i w:val="0"/>
          <w:sz w:val="19"/>
        </w:rPr>
        <w:t xml:space="preserve"> der Kommissionspräsidentin vor dem Europäischen Parlament in Straßburg. Ausgewertete Angaben: </w:t>
      </w:r>
      <w:r>
        <w:rPr>
          <w:rFonts w:ascii="Arial" w:hAnsi="Arial"/>
          <w:b w:val="0"/>
          <w:i/>
          <w:sz w:val="19"/>
        </w:rPr>
        <w:t>InvestAI</w:t>
      </w:r>
      <w:r>
        <w:rPr>
          <w:rFonts w:ascii="Arial" w:hAnsi="Arial"/>
          <w:b w:val="0"/>
          <w:i w:val="0"/>
          <w:sz w:val="19"/>
        </w:rPr>
        <w:t xml:space="preserve"> mit einem Mobilisierungsziel von 200 Milliarden Euro öffentlichen und privaten Kapitals; </w:t>
      </w:r>
      <w:r>
        <w:rPr>
          <w:rFonts w:ascii="Arial" w:hAnsi="Arial"/>
          <w:b w:val="0"/>
          <w:i/>
          <w:sz w:val="19"/>
        </w:rPr>
        <w:t>Apply-AI</w:t>
      </w:r>
      <w:r>
        <w:rPr>
          <w:rFonts w:ascii="Arial" w:hAnsi="Arial"/>
          <w:b w:val="0"/>
          <w:i w:val="0"/>
          <w:sz w:val="19"/>
        </w:rPr>
        <w:t xml:space="preserve">-Strategie zur Unterstützung der KI-Übernahme in Schlüsselsektoren von der Gesundheitsversorgung über die fortgeschrittene Fertigung bis zur Pharmaindustrie; neunzehn </w:t>
      </w:r>
      <w:r>
        <w:rPr>
          <w:rFonts w:ascii="Arial" w:hAnsi="Arial"/>
          <w:b w:val="0"/>
          <w:i/>
          <w:sz w:val="19"/>
        </w:rPr>
        <w:t>AI factories</w:t>
      </w:r>
      <w:r>
        <w:rPr>
          <w:rFonts w:ascii="Arial" w:hAnsi="Arial"/>
          <w:b w:val="0"/>
          <w:i w:val="0"/>
          <w:sz w:val="19"/>
        </w:rPr>
        <w:t xml:space="preserve"> im Aufbau; Ausschreibung der ersten </w:t>
      </w:r>
      <w:r>
        <w:rPr>
          <w:rFonts w:ascii="Arial" w:hAnsi="Arial"/>
          <w:b w:val="0"/>
          <w:i/>
          <w:sz w:val="19"/>
        </w:rPr>
        <w:t>AI gigafactories</w:t>
      </w:r>
      <w:r>
        <w:rPr>
          <w:rFonts w:ascii="Arial" w:hAnsi="Arial"/>
          <w:b w:val="0"/>
          <w:i w:val="0"/>
          <w:sz w:val="19"/>
        </w:rPr>
        <w:t xml:space="preserve"> im Juli 2026 (amtliche Bestätigung der in § 8.2 aus IP/26/1708 übernommenen Datierung); </w:t>
      </w:r>
      <w:r>
        <w:rPr>
          <w:rFonts w:ascii="Arial" w:hAnsi="Arial"/>
          <w:b w:val="0"/>
          <w:i/>
          <w:sz w:val="19"/>
        </w:rPr>
        <w:t>Tech Sovereignty Package</w:t>
      </w:r>
      <w:r>
        <w:rPr>
          <w:rFonts w:ascii="Arial" w:hAnsi="Arial"/>
          <w:b w:val="0"/>
          <w:i w:val="0"/>
          <w:sz w:val="19"/>
        </w:rPr>
        <w:t xml:space="preserve"> vom Juni 2026 mit </w:t>
      </w:r>
      <w:r>
        <w:rPr>
          <w:rFonts w:ascii="Arial" w:hAnsi="Arial"/>
          <w:b w:val="0"/>
          <w:i/>
          <w:sz w:val="19"/>
        </w:rPr>
        <w:t>Chips Act 2.0</w:t>
      </w:r>
      <w:r>
        <w:rPr>
          <w:rFonts w:ascii="Arial" w:hAnsi="Arial"/>
          <w:b w:val="0"/>
          <w:i w:val="0"/>
          <w:sz w:val="19"/>
        </w:rPr>
        <w:t xml:space="preserve">, </w:t>
      </w:r>
      <w:r>
        <w:rPr>
          <w:rFonts w:ascii="Arial" w:hAnsi="Arial"/>
          <w:b w:val="0"/>
          <w:i/>
          <w:sz w:val="19"/>
        </w:rPr>
        <w:t>Cloud and AI Development Act</w:t>
      </w:r>
      <w:r>
        <w:rPr>
          <w:rFonts w:ascii="Arial" w:hAnsi="Arial"/>
          <w:b w:val="0"/>
          <w:i w:val="0"/>
          <w:sz w:val="19"/>
        </w:rPr>
        <w:t xml:space="preserve">, </w:t>
      </w:r>
      <w:r>
        <w:rPr>
          <w:rFonts w:ascii="Arial" w:hAnsi="Arial"/>
          <w:b w:val="0"/>
          <w:i/>
          <w:sz w:val="19"/>
        </w:rPr>
        <w:t>EU Open Source Strategy</w:t>
      </w:r>
      <w:r>
        <w:rPr>
          <w:rFonts w:ascii="Arial" w:hAnsi="Arial"/>
          <w:b w:val="0"/>
          <w:i w:val="0"/>
          <w:sz w:val="19"/>
        </w:rPr>
        <w:t xml:space="preserve"> und </w:t>
      </w:r>
      <w:r>
        <w:rPr>
          <w:rFonts w:ascii="Arial" w:hAnsi="Arial"/>
          <w:b w:val="0"/>
          <w:i/>
          <w:sz w:val="19"/>
        </w:rPr>
        <w:t>Strategic Roadmap for Digitalisation and AI in Energy</w:t>
      </w:r>
      <w:r>
        <w:rPr>
          <w:rFonts w:ascii="Arial" w:hAnsi="Arial"/>
          <w:b w:val="0"/>
          <w:i w:val="0"/>
          <w:sz w:val="19"/>
        </w:rPr>
        <w:t xml:space="preserve">, flankiert vom </w:t>
      </w:r>
      <w:r>
        <w:rPr>
          <w:rFonts w:ascii="Arial" w:hAnsi="Arial"/>
          <w:b w:val="0"/>
          <w:i/>
          <w:sz w:val="19"/>
        </w:rPr>
        <w:t>Digital Networks Act</w:t>
      </w:r>
      <w:r>
        <w:rPr>
          <w:rFonts w:ascii="Arial" w:hAnsi="Arial"/>
          <w:b w:val="0"/>
          <w:i w:val="0"/>
          <w:sz w:val="19"/>
        </w:rPr>
        <w:t xml:space="preserve">; mehr als 52 Milliarden Euro an Halbleiter-Investitionen durch den bisherigen </w:t>
      </w:r>
      <w:r>
        <w:rPr>
          <w:rFonts w:ascii="Arial" w:hAnsi="Arial"/>
          <w:b w:val="0"/>
          <w:i/>
          <w:sz w:val="19"/>
        </w:rPr>
        <w:t>Chips Act</w:t>
      </w:r>
      <w:r>
        <w:rPr>
          <w:rFonts w:ascii="Arial" w:hAnsi="Arial"/>
          <w:b w:val="0"/>
          <w:i w:val="0"/>
          <w:sz w:val="19"/>
        </w:rPr>
        <w:t xml:space="preserve">; </w:t>
      </w:r>
      <w:r>
        <w:rPr>
          <w:rFonts w:ascii="Arial" w:hAnsi="Arial"/>
          <w:b w:val="0"/>
          <w:i/>
          <w:sz w:val="19"/>
        </w:rPr>
        <w:t>Union of Skills</w:t>
      </w:r>
      <w:r>
        <w:rPr>
          <w:rFonts w:ascii="Arial" w:hAnsi="Arial"/>
          <w:b w:val="0"/>
          <w:i w:val="0"/>
          <w:sz w:val="19"/>
        </w:rPr>
        <w:t xml:space="preserve"> und </w:t>
      </w:r>
      <w:r>
        <w:rPr>
          <w:rFonts w:ascii="Arial" w:hAnsi="Arial"/>
          <w:b w:val="0"/>
          <w:i/>
          <w:sz w:val="19"/>
        </w:rPr>
        <w:t>Skills Guarantee</w:t>
      </w:r>
      <w:r>
        <w:rPr>
          <w:rFonts w:ascii="Arial" w:hAnsi="Arial"/>
          <w:b w:val="0"/>
          <w:i w:val="0"/>
          <w:sz w:val="19"/>
        </w:rPr>
        <w:t xml:space="preserve"> mit mehr als zehn Millionen Begünstigten von Weiterbildungs- und Umschulungsmaßnahmen seit 2020, davon 3,9 Millionen im Jahr 2025; zwölf Vereinfachungspakete mit einem Entlastungsziel von 37,5 Milliarden Euro bis zum Mandatsende, davon 17 Milliarden Euro erreicht. Belastbarkeit: Selbstauskunft der Kommission über eigene Vorhaben, deshalb nach § 4.2 `Claude.md` durchgängig im Konjunktiv referiert; keine testierte oder extern geprüfte Berichterstattung. Der gesprochene Redetext (SPEECH-Dokument des EU-Presscorners) war zum Redaktionsschluss des Laufs vom 16. September 2026 nicht abrufbar und ist für den Folgelauf vorgemerkt. Prüfvermerk nach § 2.4.4 `Validierung.md`: Direktabruf der PDF-Fassung erfolgreich, Volltext aller 88 Seiten ausgelesen; die Befundangabe, dass die Schrift außerhalb der Verwaltungsvereinfachung und der Netzentgelte keine steuerliche Regelung enthält, beruht auf einer maschinellen Volltextsuche über sämtliche Seiten. Aufnahme in § 4.4 (neuer Absatz zum </w:t>
      </w:r>
      <w:r>
        <w:rPr>
          <w:rFonts w:ascii="Arial" w:hAnsi="Arial"/>
          <w:b w:val="0"/>
          <w:i/>
          <w:sz w:val="19"/>
        </w:rPr>
        <w:t>Tech Sovereignty Package</w:t>
      </w:r>
      <w:r>
        <w:rPr>
          <w:rFonts w:ascii="Arial" w:hAnsi="Arial"/>
          <w:b w:val="0"/>
          <w:i w:val="0"/>
          <w:sz w:val="19"/>
        </w:rPr>
        <w:t xml:space="preserve"> und zum </w:t>
      </w:r>
      <w:r>
        <w:rPr>
          <w:rFonts w:ascii="Arial" w:hAnsi="Arial"/>
          <w:b w:val="0"/>
          <w:i/>
          <w:sz w:val="19"/>
        </w:rPr>
        <w:t>Cloud and AI Development Act</w:t>
      </w:r>
      <w:r>
        <w:rPr>
          <w:rFonts w:ascii="Arial" w:hAnsi="Arial"/>
          <w:b w:val="0"/>
          <w:i w:val="0"/>
          <w:sz w:val="19"/>
        </w:rPr>
        <w:t>) und § 8.2 (</w:t>
      </w:r>
      <w:r>
        <w:rPr>
          <w:rFonts w:ascii="Arial" w:hAnsi="Arial"/>
          <w:b w:val="0"/>
          <w:i/>
          <w:sz w:val="19"/>
        </w:rPr>
        <w:t>Neunte Fortschreibung</w:t>
      </w:r>
      <w:r>
        <w:rPr>
          <w:rFonts w:ascii="Arial" w:hAnsi="Arial"/>
          <w:b w:val="0"/>
          <w:i w:val="0"/>
          <w:sz w:val="19"/>
        </w:rPr>
        <w:t>), mit Rückwirkung auf § 4.5 (Europa-Leerstelle), § 5.1, § 5.2, § 8.5 und § 9.5. https://commission.europa.eu/document/download/367af55c-0045-46f1-a7fc-98418e209ad3_en?filename=State+of+the+Union+2026+-+From+promise+to+progress+second+year+in+office.pdf</w:t>
      </w:r>
    </w:p>
    <w:p>
      <w:pPr>
        <w:jc w:val="both"/>
      </w:pPr>
      <w:r>
        <w:rPr>
          <w:rFonts w:ascii="Arial" w:hAnsi="Arial"/>
          <w:b w:val="0"/>
          <w:i w:val="0"/>
          <w:sz w:val="19"/>
        </w:rPr>
        <w:t xml:space="preserve">European Policy Centre (Riekeles, G., Greubel, J., Maurice, E., Kuiper, E., Möller, A. &amp; Šipka, S.). (10. September 2026). </w:t>
      </w:r>
      <w:r>
        <w:rPr>
          <w:rFonts w:ascii="Arial" w:hAnsi="Arial"/>
          <w:b w:val="0"/>
          <w:i/>
          <w:sz w:val="19"/>
        </w:rPr>
        <w:t>State of the European Union 2026: EPC experts preview von der Leyen's SOTEU.</w:t>
      </w:r>
      <w:r>
        <w:rPr>
          <w:rFonts w:ascii="Arial" w:hAnsi="Arial"/>
          <w:b w:val="0"/>
          <w:i w:val="0"/>
          <w:sz w:val="19"/>
        </w:rPr>
        <w:t xml:space="preserve"> Brüssel: European Policy Centre. Vorschau eines Brüsseler Politik-Instituts sechs Tage vor der Rede zur Lage der Union. Ausgewertete Aussage (Kuiper): Die Kommission habe sich vorrangig auf das Verhältnis von KI-Regulierung und KI-Adoption konzentriert und dabei die tieferliegenden strukturellen Wirkungen der Technologie auf Beschäftigung, Einkommenssicherheit und territorialen Zusammenhalt in der Union übersehen; ein vermeintlicher Zielkonflikt zwischen technologischem Fortschritt und dem europäischen Sozialmodell sei zurückzuweisen. Belastbarkeit: Politikkommentar eines Think Tanks, keine Erhebung und keine amtliche Quelle; hier ausschließlich als unabhängige, vor der Rede datierte Gegenprobe zu der in § 8.2 aus der amtlichen Bilanzschrift abgeleiteten Beobachtung verwendet und nicht als Beleg einer ökonomischen Kernaussage. Prüfvermerk nach § 2.4.4 `Validierung.md`: Direktabruf erfolgreich, Autorenliste und Datum aus dem Volltext ausgelesen. Aufnahme in § 8.2 (</w:t>
      </w:r>
      <w:r>
        <w:rPr>
          <w:rFonts w:ascii="Arial" w:hAnsi="Arial"/>
          <w:b w:val="0"/>
          <w:i/>
          <w:sz w:val="19"/>
        </w:rPr>
        <w:t>Neunte Fortschreibung</w:t>
      </w:r>
      <w:r>
        <w:rPr>
          <w:rFonts w:ascii="Arial" w:hAnsi="Arial"/>
          <w:b w:val="0"/>
          <w:i w:val="0"/>
          <w:sz w:val="19"/>
        </w:rPr>
        <w:t>, dritter Absatz). https://www.epc.eu/publication/state-of-the-european-union-2026-epc-experts-preview-von-der-leyens-soteu/</w:t>
      </w:r>
    </w:p>
    <w:p>
      <w:pPr>
        <w:jc w:val="both"/>
      </w:pPr>
      <w:r>
        <w:rPr>
          <w:rFonts w:ascii="Arial" w:hAnsi="Arial"/>
          <w:b w:val="0"/>
          <w:i w:val="0"/>
          <w:sz w:val="19"/>
        </w:rPr>
        <w:t xml:space="preserve">Anthropic. (17. September 2026). </w:t>
      </w:r>
      <w:r>
        <w:rPr>
          <w:rFonts w:ascii="Arial" w:hAnsi="Arial"/>
          <w:b w:val="0"/>
          <w:i/>
          <w:sz w:val="19"/>
        </w:rPr>
        <w:t>Measurements for Understanding the Pace of AI Development Inside Frontier Labs.</w:t>
      </w:r>
      <w:r>
        <w:rPr>
          <w:rFonts w:ascii="Arial" w:hAnsi="Arial"/>
          <w:b w:val="0"/>
          <w:i w:val="0"/>
          <w:sz w:val="19"/>
        </w:rPr>
        <w:t xml:space="preserve"> Anthropic Institute / anthropic.com. Selbstauskunft eines Anbieters von Basismodellen mit drei prototypischen Messgrößen zum eigenen Entwicklungsprozess. (1) </w:t>
      </w:r>
      <w:r>
        <w:rPr>
          <w:rFonts w:ascii="Arial" w:hAnsi="Arial"/>
          <w:b w:val="0"/>
          <w:i/>
          <w:sz w:val="19"/>
        </w:rPr>
        <w:t>Anthropic R&amp;D Automation Index</w:t>
      </w:r>
      <w:r>
        <w:rPr>
          <w:rFonts w:ascii="Arial" w:hAnsi="Arial"/>
          <w:b w:val="0"/>
          <w:i w:val="0"/>
          <w:sz w:val="19"/>
        </w:rPr>
        <w:t xml:space="preserve">: Aus wöchentlichen Zufallsstichproben von 20 % der Beschäftigten der am Modellbau beteiligten Abteilungen wurden für Juli 2026 rund 15.000 einzelne Arbeitsaufgaben erhoben und zu einem eingefrorenen Baum aus 542 Knoten (davon 378 Endknoten, Beispiele: „eval platform defect diagnosis and fixes", „RL sandbox egress and network policy", „serving incident postmortems") verdichtet; Einstufung auf der von </w:t>
      </w:r>
      <w:r>
        <w:rPr>
          <w:rFonts w:ascii="Arial" w:hAnsi="Arial"/>
          <w:b w:val="0"/>
          <w:i/>
          <w:sz w:val="19"/>
        </w:rPr>
        <w:t>Epoch AI</w:t>
      </w:r>
      <w:r>
        <w:rPr>
          <w:rFonts w:ascii="Arial" w:hAnsi="Arial"/>
          <w:b w:val="0"/>
          <w:i w:val="0"/>
          <w:sz w:val="19"/>
        </w:rPr>
        <w:t xml:space="preserve"> entwickelten Skala der Automatisierungsgrade AL0 bis AL5. Stand August 2026: kein gemessener Teilbereich vollständig autonom (AL5); das Modell „führt" (AL4) 26 % der KI-Forschungs- und Entwicklungsarbeit; der Anteil der Arbeit auf oder oberhalb von „KI arbeitet mit" (AL3) liegt über 90 %. (2) Überwachung von Agenten: rund 30.000 Agenten mit Forschungs- und Entwicklungsarbeit zu jedem Zeitpunkt auf der meistgenutzten internen Plattform (Stand August 2026); 100 % ihrer Handlungen durchlaufen vor der Ausführung einen Echtzeit-Überwachungsdienst, 100 % werden zusätzlich nachgelagert erfasst. (3) Verteilung der Rechenleistung, Momentaufnahme 13. bis 20. Juli 2026: rund 6 % der auf KI-Forschung und -Entwicklung entfallenden Rechenleistung gingen an Sicherheitsarbeit, bezogen allein auf die KI-getriebene Forschung rund 12 %. Vom Anbieter selbst benannte Einwände: fehlende einheitliche Methodik für den Vergleich zwischen Laboren sowie die Verwendung eigener Modelle als Prüfinstanz für eigene Systeme; vorgeschlagen wird Prüfung durch Dritte. Aufgenommen in § 9.1 als Beleg für Aufgabenautomatisierung ohne Entlassungsereignis, mit Querverweisen auf § 1.1, § 3.3 und § 9.2. Belastbarkeit: Unternehmensveröffentlichung, keine unabhängige Verifikation; Kennzahlen ausdrücklich als Prototypen gekennzeichnet; durchgängig im Konjunktiv referiert. https://www.anthropic.com/institute/measuring-pace-of-ai-development</w:t>
      </w:r>
    </w:p>
    <w:p>
      <w:pPr>
        <w:jc w:val="both"/>
      </w:pPr>
      <w:r>
        <w:rPr>
          <w:rFonts w:ascii="Arial" w:hAnsi="Arial"/>
          <w:b w:val="0"/>
          <w:i w:val="0"/>
          <w:sz w:val="19"/>
        </w:rPr>
        <w:t xml:space="preserve">Internationaler Währungsfonds (Barhoumi, K., de Carvalho, F., Gorbanyov, M., Kido, Y., Koll, D., Nguyen, A. D. M., Ostojic, D., Shang, B., Tamirisa, N. [Leitung], Toms, S. &amp; Zhao, Y., unter der Leitung von Dabla-Norris, E.). (April 2026). </w:t>
      </w:r>
      <w:r>
        <w:rPr>
          <w:rFonts w:ascii="Arial" w:hAnsi="Arial"/>
          <w:b w:val="0"/>
          <w:i/>
          <w:sz w:val="19"/>
        </w:rPr>
        <w:t>Global Economic and Financial Implications of Artificial Intelligence: Lessons from a Scenario-Planning Exercise.</w:t>
      </w:r>
      <w:r>
        <w:rPr>
          <w:rFonts w:ascii="Arial" w:hAnsi="Arial"/>
          <w:b w:val="0"/>
          <w:i w:val="0"/>
          <w:sz w:val="19"/>
        </w:rPr>
        <w:t xml:space="preserve"> IMF Note 2026/002, International Monetary Fund, Washington, DC. ISBN 979-8-2290-4297-0 (webPDF). Ergebnisbericht eines Fachgesprächs vom 10./11. Dezember 2025, ausgerichtet gemeinsam mit der </w:t>
      </w:r>
      <w:r>
        <w:rPr>
          <w:rFonts w:ascii="Arial" w:hAnsi="Arial"/>
          <w:b w:val="0"/>
          <w:i/>
          <w:sz w:val="19"/>
        </w:rPr>
        <w:t>Economics of Transformative AI Initiative</w:t>
      </w:r>
      <w:r>
        <w:rPr>
          <w:rFonts w:ascii="Arial" w:hAnsi="Arial"/>
          <w:b w:val="0"/>
          <w:i w:val="0"/>
          <w:sz w:val="19"/>
        </w:rPr>
        <w:t xml:space="preserve"> (EconTAI, University of Virginia, Anton Korinek) unter der Chatham-House-Regel; Tag 1 mit Fachvorträgen, Tag 2 mit einer nichtöffentlichen Szenario-Planungsübung zu zwei Diffusionspfaden (Basispfad und „runaway diffusion") über einen Fünfjahreshorizont. Fiskalische Kernaussagen: Erosion der arbeitsbezogenen Steuerbasis auch bei steigenden Löhnen der verbleibenden Beschäftigten; nur teilweiser Ausgleich über höhere Unternehmensteuern wegen Kapitalmobilität, Marktkonzentration und Steuerwettbewerb; ausdrückliche Empfehlung, pauschale Robotersteuern („blunt robot taxes") zu vermeiden, die Systeme stattdessen auf die Erfassung ökonomischer Renten auszurichten, die Kapitaleinkommensbesteuerung auf Ebene der natürlichen Personen mit Sicherungen gegen Basiserosion zu stärken und die Steuerverwaltung KI-gestützt zu ertüchtigen; Wirksamkeitsverlust beschäftigungsgebundener Sozialversicherung und Entkopplung der Sicherung vom Erwerbsstatus, in zugespitzten Fällen bis hin zu Programmen nach Art eines bedingungslosen Grundeinkommens; ausdrückliche Asymmetrie zulasten von Ländern, die KI-Dienste konsumieren statt produzieren. Einschränkung: keine eigenen Punktschätzungen; die Ansichten werden ausdrücklich den Verfasserinnen und Verfassern und nicht dem Fonds zugerechnet. </w:t>
      </w:r>
      <w:r>
        <w:rPr>
          <w:rFonts w:ascii="Arial" w:hAnsi="Arial"/>
          <w:b/>
          <w:i w:val="0"/>
          <w:sz w:val="19"/>
        </w:rPr>
        <w:t>Prüfvermerk nach § 2.4.4 `Validierung.md`:</w:t>
      </w:r>
      <w:r>
        <w:rPr>
          <w:rFonts w:ascii="Arial" w:hAnsi="Arial"/>
          <w:b w:val="0"/>
          <w:i w:val="0"/>
          <w:sz w:val="19"/>
        </w:rPr>
        <w:t xml:space="preserve"> Der Direktabruf der Nachweisseite in der IMF-eLibrary ist mit HTTP-Statuscode 403 abgewiesen worden (Zugriffssperre, kein toter Link); der Volltext ist über die frei ausgelieferte PDF-Fassung auf imf.org vollständig beschafft und über alle 30 Seiten ausgewertet worden, sämtliche hier referierten Aussagen und wörtlichen Wendungen stammen aus dieser Fassung. Aufnahme in § 3.3 mit Querverweisen auf § 3.4, § 5.1, § 5.3, § 8.2 und § 9.3. https://www.elibrary.imf.org/view/journals/068/2026/002/article-A001-en.xml — Volltext: https://www.imf.org/-/media/files/publications/imf-notes/2026/english/insea2026002.pdf</w:t>
      </w:r>
    </w:p>
    <w:p>
      <w:pPr>
        <w:jc w:val="both"/>
      </w:pPr>
      <w:r>
        <w:rPr>
          <w:rFonts w:ascii="Arial" w:hAnsi="Arial"/>
          <w:b w:val="0"/>
          <w:i w:val="0"/>
          <w:sz w:val="19"/>
        </w:rPr>
        <w:t xml:space="preserve">Bundeskanzleramt / acatech – Deutsche Akademie der Technikwissenschaften. (16. September 2026). </w:t>
      </w:r>
      <w:r>
        <w:rPr>
          <w:rFonts w:ascii="Arial" w:hAnsi="Arial"/>
          <w:b w:val="0"/>
          <w:i/>
          <w:sz w:val="19"/>
        </w:rPr>
        <w:t>Sitzung des Strategiekreises für Technologie und Innovation</w:t>
      </w:r>
      <w:r>
        <w:rPr>
          <w:rFonts w:ascii="Arial" w:hAnsi="Arial"/>
          <w:b w:val="0"/>
          <w:i w:val="0"/>
          <w:sz w:val="19"/>
        </w:rPr>
        <w:t xml:space="preserve"> (amtliche Meldung) sowie </w:t>
      </w:r>
      <w:r>
        <w:rPr>
          <w:rFonts w:ascii="Arial" w:hAnsi="Arial"/>
          <w:b w:val="0"/>
          <w:i/>
          <w:sz w:val="19"/>
        </w:rPr>
        <w:t>Strategiekreis für Technologie und Innovation des Bundeskanzlers: Industrielle KI bietet eine große Chance für Deutschland</w:t>
      </w:r>
      <w:r>
        <w:rPr>
          <w:rFonts w:ascii="Arial" w:hAnsi="Arial"/>
          <w:b w:val="0"/>
          <w:i w:val="0"/>
          <w:sz w:val="19"/>
        </w:rPr>
        <w:t xml:space="preserve"> (Bericht der begleitenden Akademie). Dritte Sitzung des Gremiums im Bundeskanzleramt mit den Ressorts BMWE, BMFTR, BMDS, BMF und BMVg sowie acht Sachverständigen aus Wirtschaft und Wissenschaft; Schwerpunkte Stärkung des nationalen KI-Ökosystems und Innovationspotenziale im Verteidigungsbereich. Empfehlungen: industrielle Künstliche Intelligenz als besondere Chance, Deutschland als KI-Nation zu etablieren; Verzahnung der </w:t>
      </w:r>
      <w:r>
        <w:rPr>
          <w:rFonts w:ascii="Arial" w:hAnsi="Arial"/>
          <w:b w:val="0"/>
          <w:i/>
          <w:sz w:val="19"/>
        </w:rPr>
        <w:t>Hightech Agenda Deutschland</w:t>
      </w:r>
      <w:r>
        <w:rPr>
          <w:rFonts w:ascii="Arial" w:hAnsi="Arial"/>
          <w:b w:val="0"/>
          <w:i w:val="0"/>
          <w:sz w:val="19"/>
        </w:rPr>
        <w:t xml:space="preserve"> mit europäischen IPCEI-Vorhaben; Einsatz einer KI-Taskforce der Bundesregierung; ferner Robotik der nächsten Generation und Schutz geistigen Eigentums. Quellenlage: Die amtliche Meldung enthält nur die Terminankündigung mit den beiden Themenschwerpunkten; die inhaltlichen Empfehlungen sind dem Bericht der begleitenden Akademie — also eines Beteiligten — entnommen und entsprechend gekennzeichnet. Keine Zahlenangaben zu Investitionsvolumina oder Förderhöhen. Aufnahme als </w:t>
      </w:r>
      <w:r>
        <w:rPr>
          <w:rFonts w:ascii="Arial" w:hAnsi="Arial"/>
          <w:b w:val="0"/>
          <w:i/>
          <w:sz w:val="19"/>
        </w:rPr>
        <w:t>Elfte Fortschreibung</w:t>
      </w:r>
      <w:r>
        <w:rPr>
          <w:rFonts w:ascii="Arial" w:hAnsi="Arial"/>
          <w:b w:val="0"/>
          <w:i w:val="0"/>
          <w:sz w:val="19"/>
        </w:rPr>
        <w:t xml:space="preserve"> in § 8.2. https://www.bundeskanzler.de/bk-de/aktuelles/sitzung-des-strategiekreises-fuer-technologie-und-innovation-2452272 — https://www.acatech.de/allgemein/strategiekreis-industrielle-ki/</w:t>
      </w:r>
    </w:p>
    <w:p>
      <w:pPr>
        <w:jc w:val="both"/>
      </w:pPr>
      <w:r>
        <w:rPr>
          <w:rFonts w:ascii="Arial" w:hAnsi="Arial"/>
          <w:b w:val="0"/>
          <w:i w:val="0"/>
          <w:sz w:val="19"/>
        </w:rPr>
        <w:t xml:space="preserve">Rat der Europäischen Union / Irische Ratspräsidentschaft. (18./19. September 2026). </w:t>
      </w:r>
      <w:r>
        <w:rPr>
          <w:rFonts w:ascii="Arial" w:hAnsi="Arial"/>
          <w:b w:val="0"/>
          <w:i/>
          <w:sz w:val="19"/>
        </w:rPr>
        <w:t>Informal meeting of Economic and Financial Affairs ministers (ECOFIN), Dublin.</w:t>
      </w:r>
      <w:r>
        <w:rPr>
          <w:rFonts w:ascii="Arial" w:hAnsi="Arial"/>
          <w:b w:val="0"/>
          <w:i w:val="0"/>
          <w:sz w:val="19"/>
        </w:rPr>
        <w:t xml:space="preserve"> Amtliche Veranstaltungsseite der Präsidentschaft; belegt Datum, Ort und die Sitzungsstruktur des informellen Rates, darunter die zweite Arbeitssitzung der Finanzministerinnen und -minister am 19. September 2026 unter dem Titel </w:t>
      </w:r>
      <w:r>
        <w:rPr>
          <w:rFonts w:ascii="Arial" w:hAnsi="Arial"/>
          <w:b w:val="0"/>
          <w:i/>
          <w:sz w:val="19"/>
        </w:rPr>
        <w:t>Preparing the Economy for the Future — The Impact of Artificial Intelligence</w:t>
      </w:r>
      <w:r>
        <w:rPr>
          <w:rFonts w:ascii="Arial" w:hAnsi="Arial"/>
          <w:b w:val="0"/>
          <w:i w:val="0"/>
          <w:sz w:val="19"/>
        </w:rPr>
        <w:t>. Inhaltliche Angaben zur Sitzung enthält die Seite nicht; das vom Internationalen Währungsfonds vorgelegte Hintergrundpapier ist nicht veröffentlicht und war nicht zu beschaffen (</w:t>
      </w:r>
      <w:r>
        <w:rPr>
          <w:rFonts w:ascii="Arial" w:hAnsi="Arial"/>
          <w:b w:val="0"/>
          <w:i/>
          <w:sz w:val="19"/>
        </w:rPr>
        <w:t>Prüfvermerk</w:t>
      </w:r>
      <w:r>
        <w:rPr>
          <w:rFonts w:ascii="Arial" w:hAnsi="Arial"/>
          <w:b w:val="0"/>
          <w:i w:val="0"/>
          <w:sz w:val="19"/>
        </w:rPr>
        <w:t xml:space="preserve"> nach § 2.4.4 `Validierung.md`). Inhaltliche Wiedergabe deshalb über die Agenturberichterstattung (§ 11.5); eingearbeitet als </w:t>
      </w:r>
      <w:r>
        <w:rPr>
          <w:rFonts w:ascii="Arial" w:hAnsi="Arial"/>
          <w:b w:val="0"/>
          <w:i/>
          <w:sz w:val="19"/>
        </w:rPr>
        <w:t>Zwölfte Fortschreibung</w:t>
      </w:r>
      <w:r>
        <w:rPr>
          <w:rFonts w:ascii="Arial" w:hAnsi="Arial"/>
          <w:b w:val="0"/>
          <w:i w:val="0"/>
          <w:sz w:val="19"/>
        </w:rPr>
        <w:t xml:space="preserve"> in § 8.2. https://irish-presidency.consilium.europa.eu/en/events/informal-meeting-of-economic-and-financial-affairs-ministers-ecofin/</w:t>
      </w:r>
    </w:p>
    <w:p>
      <w:pPr>
        <w:jc w:val="both"/>
      </w:pPr>
      <w:r>
        <w:rPr>
          <w:rFonts w:ascii="Arial" w:hAnsi="Arial"/>
          <w:b w:val="0"/>
          <w:i w:val="0"/>
          <w:sz w:val="19"/>
        </w:rPr>
        <w:t xml:space="preserve">International Federation of Robotics (IFR) / Bieller, S. (21. September 2026; Berichtsveröffentlichung angekündigt für den 24. September 2026). </w:t>
      </w:r>
      <w:r>
        <w:rPr>
          <w:rFonts w:ascii="Arial" w:hAnsi="Arial"/>
          <w:b w:val="0"/>
          <w:i/>
          <w:sz w:val="19"/>
        </w:rPr>
        <w:t>World Robotics 2026 — Zählung humanoider Roboter (Vorabbericht).</w:t>
      </w:r>
      <w:r>
        <w:rPr>
          <w:rFonts w:ascii="Arial" w:hAnsi="Arial"/>
          <w:b w:val="0"/>
          <w:i w:val="0"/>
          <w:sz w:val="19"/>
        </w:rPr>
        <w:t xml:space="preserve"> Frankfurt am Main: International Federation of Robotics. Erste eigene Zählung humanoider Roboter der Branchenstatistik: rund 7.000 im Jahr 2025 weltweit verkaufte Einheiten für industrielle und professionelle Dienstleistungen, gegenüber 542.000 im Jahr 2024 installierten Industrierobotern und 199.000 verkauften Servicerobotern. Definitorisches Aufnahmekriterium: menschenähnliches Erscheinungsbild und autonomer Betrieb in einer für Menschen gestalteten Umgebung; Beine sind nicht erforderlich. Ausgenommen sind Verbraucher- und Militärgeräte, Medizinrobotik wird gesondert geführt. Einordnung der Generalsekretärin: „a fraction" des Gesamtbestands; viele der 2025 ausgelieferten Einheiten hätten keine produktive Arbeit verrichtet, sondern seien von Forschungseinrichtungen oder Unternehmen zur Entwicklung von KI-Modellen beschafft worden. </w:t>
      </w:r>
      <w:r>
        <w:rPr>
          <w:rFonts w:ascii="Arial" w:hAnsi="Arial"/>
          <w:b w:val="0"/>
          <w:i/>
          <w:sz w:val="19"/>
        </w:rPr>
        <w:t>Prüfvermerk:</w:t>
      </w:r>
      <w:r>
        <w:rPr>
          <w:rFonts w:ascii="Arial" w:hAnsi="Arial"/>
          <w:b w:val="0"/>
          <w:i w:val="0"/>
          <w:sz w:val="19"/>
        </w:rPr>
        <w:t xml:space="preserve"> Die Kernzahlen sind zum Abrufzeitpunkt nur über die Agenturberichterstattung zugänglich (§ 11.5); der vollständige Bericht </w:t>
      </w:r>
      <w:r>
        <w:rPr>
          <w:rFonts w:ascii="Arial" w:hAnsi="Arial"/>
          <w:b w:val="0"/>
          <w:i/>
          <w:sz w:val="19"/>
        </w:rPr>
        <w:t>World Robotics 2026</w:t>
      </w:r>
      <w:r>
        <w:rPr>
          <w:rFonts w:ascii="Arial" w:hAnsi="Arial"/>
          <w:b w:val="0"/>
          <w:i w:val="0"/>
          <w:sz w:val="19"/>
        </w:rPr>
        <w:t xml:space="preserve"> war am 21. September 2026 noch nicht erschienen und ist für einen Folgelauf vorgemerkt. </w:t>
      </w:r>
      <w:r>
        <w:rPr>
          <w:rFonts w:ascii="Arial" w:hAnsi="Arial"/>
          <w:b w:val="0"/>
          <w:i/>
          <w:sz w:val="19"/>
        </w:rPr>
        <w:t>Nachtrag zum Prüfvermerk (Direktabruf 24. September 2026):</w:t>
      </w:r>
      <w:r>
        <w:rPr>
          <w:rFonts w:ascii="Arial" w:hAnsi="Arial"/>
          <w:b w:val="0"/>
          <w:i w:val="0"/>
          <w:sz w:val="19"/>
        </w:rPr>
        <w:t xml:space="preserve"> Der Bericht ist auch am angekündigten Veröffentlichungstag nicht erschienen. Die Statistikseite führt unverändert die Daten des Vorjahresberichts, nennt den 24. September 2026 weiterhin als Veröffentlichungstermin und bietet den Bericht zur Vorbestellung an; die Vorabzahlen bleiben damit der aktuelle Stand, die Vormerkung bleibt bestehen. Eingearbeitet in § 2.2. https://ifr.org/worldrobotics/</w:t>
      </w:r>
    </w:p>
    <w:p>
      <w:pPr>
        <w:jc w:val="both"/>
      </w:pPr>
      <w:r>
        <w:rPr>
          <w:rFonts w:ascii="Arial" w:hAnsi="Arial"/>
          <w:b w:val="0"/>
          <w:i w:val="0"/>
          <w:sz w:val="19"/>
        </w:rPr>
        <w:t xml:space="preserve">OECD — Organisation für wirtschaftliche Zusammenarbeit und Entwicklung. (8. September 2026). </w:t>
      </w:r>
      <w:r>
        <w:rPr>
          <w:rFonts w:ascii="Arial" w:hAnsi="Arial"/>
          <w:b w:val="0"/>
          <w:i/>
          <w:sz w:val="19"/>
        </w:rPr>
        <w:t>Tax Policy Reforms 2026 — OECD and Selected Partner Economies.</w:t>
      </w:r>
      <w:r>
        <w:rPr>
          <w:rFonts w:ascii="Arial" w:hAnsi="Arial"/>
          <w:b w:val="0"/>
          <w:i w:val="0"/>
          <w:sz w:val="19"/>
        </w:rPr>
        <w:t xml:space="preserve"> OECD Publishing, Paris, 76 Seiten. Jährlicher Vergleichsbericht über die im Kalenderjahr 2025 eingeführten oder angekündigten Steuerreformen in 92 Jurisdiktionen einschließlich sämtlicher OECD-Mitgliedstaaten; Datengrundlage ist der jährliche Fragebogen der Organisation zu Steuerpolitikreformen. Im vorliegenden Papier ausgewertet für § 5.1 (Sozialversicherungsbeiträge: Zusammenfassung des Berichts mit anhaltendem Trend zu Basisverbreiterung und Satzerhöhungen infolge demografischer Belastungen und des Finanzierungsbedarfs der sozialen Sicherungssysteme; Satzerhöhungen in der Slowakei, Deutschland und Spanien; Basisverbreiterungen unter anderem in der Slowakei, Griechenland, Litauen, Japan, Frankreich und Brasilien; Gegenbewegungen in Aserbaidschan, Bosnien und Herzegowina, Japan, Norwegen, Schweden, Belgien, Ungarn, Südafrika und Slowenien), für § 6.2 (IRAP-Satzerhöhung um zwei Prozentpunkte für Banken und sonstige Finanzintermediäre von 4,65 auf 6,65 Prozent und für Versicherungen von 5,90 auf 7,90 Prozent, eingeordnet unter sektorspezifische Zusatzbelastungen ertragsstarker Branchen) und für § 6.4 (Rücknahme der kanadischen </w:t>
      </w:r>
      <w:r>
        <w:rPr>
          <w:rFonts w:ascii="Arial" w:hAnsi="Arial"/>
          <w:b w:val="0"/>
          <w:i/>
          <w:sz w:val="19"/>
        </w:rPr>
        <w:t>Digital Services Tax</w:t>
      </w:r>
      <w:r>
        <w:rPr>
          <w:rFonts w:ascii="Arial" w:hAnsi="Arial"/>
          <w:b w:val="0"/>
          <w:i w:val="0"/>
          <w:sz w:val="19"/>
        </w:rPr>
        <w:t xml:space="preserve"> mit Erstattung vereinnahmter Beträge; türkische Satzsenkung von 7,5 auf 5 Prozent für 2026 und auf 2,5 Prozent für 2027; kenianische Aufhebung der dreiprozentigen Abgabe auf digitale Vermögenswerte; mexikanische Quellenabzugsregelung für Vermittlungsplattformen mit 2,5 beziehungsweise 20 Prozent; Ausweitung der Mehrwertsteuer-Erhebungspflicht auf gebietsfremde Anbieter und Online-Plattformen; im dritten Jahr in Folge stabiler kombinierter Körperschaftsteuer-Durchschnittssatz bei ausgeweiteten Vergünstigungen für Forschung, neue Technologien einschließlich Künstlicher Intelligenz und strategische Sektoren, darunter ein mauritischer Abzug bis 150.000 Mauritius-Rupien für Investitionen in KI-Technologien). </w:t>
      </w:r>
      <w:r>
        <w:rPr>
          <w:rFonts w:ascii="Arial" w:hAnsi="Arial"/>
          <w:b/>
          <w:i w:val="0"/>
          <w:sz w:val="19"/>
        </w:rPr>
        <w:t>Prüfvermerk nach § 2.4.4 `Validierung.md`:</w:t>
      </w:r>
      <w:r>
        <w:rPr>
          <w:rFonts w:ascii="Arial" w:hAnsi="Arial"/>
          <w:b w:val="0"/>
          <w:i w:val="0"/>
          <w:sz w:val="19"/>
        </w:rPr>
        <w:t xml:space="preserve"> Die Publikations- und die Presseseite der Organisation sind bei maschinellem Abruf mit dem HTTP-Statuscode 403 nicht zugänglich; die Auswertung beruht deshalb ausschließlich auf der unmittelbar bezogenen Volltext-PDF-Fassung, deren Seitenzahl (76) und Jurisdiktionszahl (92) mit den Angaben der Sekundärrezeption übereinstimmen. </w:t>
      </w:r>
      <w:r>
        <w:rPr>
          <w:rFonts w:ascii="Arial" w:hAnsi="Arial"/>
          <w:b/>
          <w:i w:val="0"/>
          <w:sz w:val="19"/>
        </w:rPr>
        <w:t>Vermerk zur Rezeption:</w:t>
      </w:r>
      <w:r>
        <w:rPr>
          <w:rFonts w:ascii="Arial" w:hAnsi="Arial"/>
          <w:b w:val="0"/>
          <w:i w:val="0"/>
          <w:sz w:val="19"/>
        </w:rPr>
        <w:t xml:space="preserve"> Zusammenfassung und Sachteil des Berichts weichen in der Trendstärke voneinander ab — die Zusammenfassung spricht von einem anhaltenden Trend zu Basisverbreiterung und Satzerhöhungen, der Sachteil (Abschnitt 3.2.5) von Reformen, die „ausgewogener als in den Vorjahren" ausgefallen seien, mit „einer ziemlich gleichmäßigen Anzahl von Erhöhungen und Senkungen". Im Papier wird deshalb nur die Richtungsaussage verwendet, nicht die Trendstärke. https://www.oecd.org/en/publications/tax-policy-reforms-2026_43d18a55-en.html (Volltext: https://www.oecd.org/content/dam/oecd/en/publications/reports/2026/09/tax-policy-reforms-2026_96b6be0a/43d18a55-en.pdf)</w:t>
      </w:r>
    </w:p>
    <w:p>
      <w:pPr>
        <w:jc w:val="both"/>
      </w:pPr>
      <w:r>
        <w:rPr>
          <w:rFonts w:ascii="Arial" w:hAnsi="Arial"/>
          <w:b w:val="0"/>
          <w:i w:val="0"/>
          <w:sz w:val="19"/>
        </w:rPr>
        <w:t xml:space="preserve">Windfall Trust. </w:t>
      </w:r>
      <w:r>
        <w:rPr>
          <w:rFonts w:ascii="Arial" w:hAnsi="Arial"/>
          <w:b w:val="0"/>
          <w:i/>
          <w:sz w:val="19"/>
        </w:rPr>
        <w:t>Automation/Robot Taxes.</w:t>
      </w:r>
      <w:r>
        <w:rPr>
          <w:rFonts w:ascii="Arial" w:hAnsi="Arial"/>
          <w:b w:val="0"/>
          <w:i w:val="0"/>
          <w:sz w:val="19"/>
        </w:rPr>
        <w:t xml:space="preserve"> Windfall Policy Atlas. https://windfalltrust.org/policy-atlas/automation-robot-taxes (Direktabruf 23. September 2026). Politikübersicht zu umgesetzten und vorgeschlagenen Automatisierungs- und Robotersteuern. Herangezogen in § 6.1 als Abgleichsquelle für die größenabhängige Staffelung der südkoreanischen Reform von 2017 (Großunternehmen 3 % auf 1 %, mittlere Unternehmen 5 % auf 3 %, kleine Unternehmen unverändert 7 %) und für die zusammenfassende Wiedergabe der Wirkungsbefunde von Kang, Lee und Quach (§ 11.1). Der Atlas führt außer der südkoreanischen Maßnahme keine weitere umgesetzte Automatisierungs- oder Robotersteuer auf und nennt als abgelehnten Vorschlag den Delvaux-Bericht des Europäischen Parlaments vom Februar 2017 — beides deckt sich mit dem Bestand dieses Papiers (§ 4.1, § 6.1).</w:t>
      </w:r>
    </w:p>
    <w:p>
      <w:pPr>
        <w:jc w:val="both"/>
      </w:pPr>
      <w:r>
        <w:rPr>
          <w:rFonts w:ascii="Arial" w:hAnsi="Arial"/>
          <w:b w:val="0"/>
          <w:i w:val="0"/>
          <w:sz w:val="19"/>
        </w:rPr>
        <w:t xml:space="preserve">Bundesministerium für Arbeit und Soziales (BMAS). (21. September 2026). </w:t>
      </w:r>
      <w:r>
        <w:rPr>
          <w:rFonts w:ascii="Arial" w:hAnsi="Arial"/>
          <w:b w:val="0"/>
          <w:i/>
          <w:sz w:val="19"/>
        </w:rPr>
        <w:t>Referentenentwurf zur Sozialversicherungsrechengrößen-Verordnung 2027.</w:t>
      </w:r>
      <w:r>
        <w:rPr>
          <w:rFonts w:ascii="Arial" w:hAnsi="Arial"/>
          <w:b w:val="0"/>
          <w:i w:val="0"/>
          <w:sz w:val="19"/>
        </w:rPr>
        <w:t xml:space="preserve"> Meldung des Ministeriums nebst vollständiger Tabelle der Rechengrößen. Zugrunde liegende Lohnentwicklung des Jahres 2025 (Veränderung der Bruttolöhne und -gehälter je Arbeitnehmer ohne Personen in Arbeitsgelegenheiten mit Entschädigung für Mehraufwendungen): 4,38 %. Rechengrößen 2027 (monatlich/jährlich in Euro): Bezugsgröße in der Sozialversicherung 4.130/49.560; Jahresarbeitsentgeltgrenze in der Krankenversicherung nach § 6 Absatz 6 SGB V 7.012,50/84.150, nach § 6 Absatz 7 SGB V 6.075/72.900, nach § 6 Absatz 8 SGB V 6.712,50/80.550; Beitragsbemessungsgrenze in der Krankenversicherung 6.375/76.500; Beitragsbemessungsgrenze in der allgemeinen Renten- und Arbeitslosenversicherung 8.850/106.200; Beitragsbemessungsgrenze in der knappschaftlichen Rentenversicherung 10.900/130.800; vorläufiges Durchschnittsentgelt 2027 in der Rentenversicherung 53.452 jährlich; endgültiges Durchschnittsentgelt 2025 49.147 jährlich. Versicherungspflichtgrenze und Beitragsbemessungsgrenze in der Krankenversicherung werden nach gesetzlicher Vorgabe zusätzlich um 300 Euro monatlich über die Lohnentwicklung hinaus angehoben. Im vorliegenden Papier ausgewertet in § 5.1 als nationale Gegenprobe zum OECD-Befund vom 8. September 2026; maßgeblich ist neben den Beträgen der Wortlaut zur Fortschreibungspflicht — die Rechengrößen seien jährlich „gemäß der Lohnentwicklung im vergangenen Jahr" fortzuschreiben, „Ermessensspielräume bestehen dabei nicht". Verfahrensstand zum Abrufzeitpunkt: Referentenentwurf; Beschluss der Bundesregierung und Zustimmung des Bundesrates stehen aus, die Werte sind deshalb im Konjunktiv referiert. https://www.bmas.de/DE/Service/Presse/Meldungen/2026/referentenentwurf-zur-sozialversicherungsrechengroessen-verordnung-2027.html</w:t>
      </w:r>
    </w:p>
    <w:p>
      <w:pPr>
        <w:jc w:val="both"/>
      </w:pPr>
      <w:r>
        <w:rPr>
          <w:rFonts w:ascii="Arial" w:hAnsi="Arial"/>
          <w:b w:val="0"/>
          <w:i w:val="0"/>
          <w:sz w:val="19"/>
        </w:rPr>
        <w:t xml:space="preserve">International Federation of Robotics (IFR). (24. September 2026). </w:t>
      </w:r>
      <w:r>
        <w:rPr>
          <w:rFonts w:ascii="Arial" w:hAnsi="Arial"/>
          <w:b w:val="0"/>
          <w:i/>
          <w:sz w:val="19"/>
        </w:rPr>
        <w:t>Service Robots' Impact Human Life — New IFR Position Paper published.</w:t>
      </w:r>
      <w:r>
        <w:rPr>
          <w:rFonts w:ascii="Arial" w:hAnsi="Arial"/>
          <w:b w:val="0"/>
          <w:i w:val="0"/>
          <w:sz w:val="19"/>
        </w:rPr>
        <w:t xml:space="preserve"> Frankfurt am Main: International Federation of Robotics. Positionspapier des Branchenverbandes zur professionellen Servicerobotik. Kernaussagen der frei zugänglichen Pressemitteilung: Arbeitskräftemangel sei der stärkste Treiber der Verbreitung, weil alternde Bevölkerungen und sinkende Geburtenzahlen das Arbeitsangebot verringerten, während die Nachfrage nach Gesundheits-, Beherbergungs-, Logistik- und öffentlichen Dienstleistungen wachse; Roboter ersetzten Beschäftigte nicht, sondern übernähmen wiederkehrende, körperlich belastende, gefährliche oder zeitraubende Aufgaben; Vertrauen und Sicherheit (Cybersicherheit, Datenschutz, verantwortliche KI, klare Zurechnung von Verantwortung, sichere Mensch-Roboter-Interaktion) seien kritische Verbreitungsbedingungen; eine einzelne Bauform werde sich nicht durchsetzen. </w:t>
      </w:r>
      <w:r>
        <w:rPr>
          <w:rFonts w:ascii="Arial" w:hAnsi="Arial"/>
          <w:b/>
          <w:i w:val="0"/>
          <w:sz w:val="19"/>
        </w:rPr>
        <w:t>Prüfvermerk nach § 2.4.3 und § 2.4.4 `Validierung.md`:</w:t>
      </w:r>
      <w:r>
        <w:rPr>
          <w:rFonts w:ascii="Arial" w:hAnsi="Arial"/>
          <w:b w:val="0"/>
          <w:i w:val="0"/>
          <w:sz w:val="19"/>
        </w:rPr>
        <w:t xml:space="preserve"> Das Positionspapier selbst ist nur nach Registrierung abrufbar und war nicht zu beschaffen; herangezogen ist deshalb ausschließlich die Pressemitteilung. Ferner beantwortet der Pressebereich dieser Seite jeden beliebigen Unterpfad mit der jeweils jüngsten Meldung — nachgewiesen durch Abruf eines absichtlich nicht vergebenen Pfades, der dieselbe Meldung zurückgab; die Übersichtsseite der Pressemitteilungen weist demgegenüber als jüngsten Eintrag den 2. Juli 2026 aus. Ein Pfadname ist dort folglich kein Beleg für eine eigenständige Veröffentlichung. Ausgewertet in § 7.1 (Branchenposition, ausdrücklich als Positionierung und nicht als Messung referiert) und § 2.2. https://ifr.org/ifr-press-releases/news/service-robots-impact-human-life</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 xml:space="preserve">-STAR-Bepreisung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 — </w:t>
      </w:r>
      <w:r>
        <w:rPr>
          <w:rFonts w:ascii="Arial" w:hAnsi="Arial"/>
          <w:b w:val="0"/>
          <w:i/>
          <w:sz w:val="19"/>
        </w:rPr>
        <w:t>Prüfvermerk nach § 2.4.4 `Validierung.md` (Stichprobe vom 17. September 2026):</w:t>
      </w:r>
      <w:r>
        <w:rPr>
          <w:rFonts w:ascii="Arial" w:hAnsi="Arial"/>
          <w:b w:val="0"/>
          <w:i w:val="0"/>
          <w:sz w:val="19"/>
        </w:rPr>
        <w:t xml:space="preserve"> Der </w:t>
      </w:r>
      <w:r>
        <w:rPr>
          <w:rFonts w:ascii="Arial" w:hAnsi="Arial"/>
          <w:b w:val="0"/>
          <w:i/>
          <w:sz w:val="19"/>
        </w:rPr>
        <w:t>TechNode</w:t>
      </w:r>
      <w:r>
        <w:rPr>
          <w:rFonts w:ascii="Arial" w:hAnsi="Arial"/>
          <w:b w:val="0"/>
          <w:i w:val="0"/>
          <w:sz w:val="19"/>
        </w:rPr>
        <w:t xml:space="preserve">-Beleg (`https://technode.com/2026/07/27/byd-to-unveil-humanoid-robot-in-early-august/`) antwortet mit HTTP 404, und im </w:t>
      </w:r>
      <w:r>
        <w:rPr>
          <w:rFonts w:ascii="Arial" w:hAnsi="Arial"/>
          <w:b w:val="0"/>
          <w:i/>
          <w:sz w:val="19"/>
        </w:rPr>
        <w:t>Internet Archive</w:t>
      </w:r>
      <w:r>
        <w:rPr>
          <w:rFonts w:ascii="Arial" w:hAnsi="Arial"/>
          <w:b w:val="0"/>
          <w:i w:val="0"/>
          <w:sz w:val="19"/>
        </w:rPr>
        <w:t xml:space="preserve"> ist keine Momentaufnahme hinterlegt; der Link bleibt nach § 4.5 `Claude.md` als zeitlich frühere Referenz erhalten, der Sachverhalt ist jedoch durch die acht übrigen, am selben Tag erreichbaren Belege dieses Eintrags unabhängig gedeckt.</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w:t>
      </w:r>
      <w:r>
        <w:rPr>
          <w:rFonts w:ascii="Arial" w:hAnsi="Arial"/>
          <w:b/>
          <w:i w:val="0"/>
          <w:sz w:val="19"/>
        </w:rPr>
        <w:t>Prüfvermerk nach § 2.4.4 `Validierung.md` (Stichprobe 22. September 2026):</w:t>
      </w:r>
      <w:r>
        <w:rPr>
          <w:rFonts w:ascii="Arial" w:hAnsi="Arial"/>
          <w:b w:val="0"/>
          <w:i w:val="0"/>
          <w:sz w:val="19"/>
        </w:rPr>
        <w:t xml:space="preserve"> Der zuletzt genannte Sammelnachweis (digg.com) antwortet nunmehr mit HTTP-Statuscode 404 und ist nicht mehr erreichbar. Er bleibt als zeitlich frühere Referenz erhalten; die Belegkette des Eintrags wird von den vorangehenden, weiterhin erreichbaren Nachweisen getragen.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 — </w:t>
      </w:r>
      <w:r>
        <w:rPr>
          <w:rFonts w:ascii="Arial" w:hAnsi="Arial"/>
          <w:b/>
          <w:i w:val="0"/>
          <w:sz w:val="19"/>
        </w:rPr>
        <w:t>Prüfvermerk nach § 2.4.4 `Validierung.md` (Stichprobe vom 23. September 2026):</w:t>
      </w:r>
      <w:r>
        <w:rPr>
          <w:rFonts w:ascii="Arial" w:hAnsi="Arial"/>
          <w:b w:val="0"/>
          <w:i w:val="0"/>
          <w:sz w:val="19"/>
        </w:rPr>
        <w:t xml:space="preserve"> Der Nachweis `https://finance.yahoo.com/technology/ai/articles/anthropic-macquarie-gic-form-venture-123117352.html` antwortet bei zwei Abrufen mit unterschiedlicher Browser-Kennung mit HTTP 404; der parallele Yahoo-Finance-Beleg desselben Vorgangs (`…anthropic-partners-macquarie-gic-build-131124573.html`) ist erreichbar. Der Link bleibt nach § 4.5 `Claude.md` als zeitlich frühere Referenz erhalten.</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w:t>
      </w:r>
      <w:r>
        <w:rPr>
          <w:rFonts w:ascii="Arial" w:hAnsi="Arial"/>
          <w:b/>
          <w:i w:val="0"/>
          <w:sz w:val="19"/>
        </w:rPr>
        <w:t>Prüfvermerk nach § 2.4.4 `Validierung.md` (Stichprobe 22. September 2026):</w:t>
      </w:r>
      <w:r>
        <w:rPr>
          <w:rFonts w:ascii="Arial" w:hAnsi="Arial"/>
          <w:b w:val="0"/>
          <w:i w:val="0"/>
          <w:sz w:val="19"/>
        </w:rPr>
        <w:t xml:space="preserve"> Die zweitgenannte Übernahme (finance.yahoo.com) antwortet nunmehr mit HTTP-Statuscode 404 und ist nicht mehr erreichbar; sie bleibt als zeitlich frühere Referenz erhalten. Der Erstabdruck (bloomberg.com) ist bei maschinellem Abruf durch eine Zugangsschranke geschützt (HTTP 403), inhaltlich aber unverändert nachgewiesen.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xml:space="preserve">) im Jahr 2026. </w:t>
      </w:r>
      <w:r>
        <w:rPr>
          <w:rFonts w:ascii="Arial" w:hAnsi="Arial"/>
          <w:b w:val="0"/>
          <w:i/>
          <w:sz w:val="19"/>
        </w:rPr>
        <w:t>Nachtrag Stand 14. September 2026</w:t>
      </w:r>
      <w:r>
        <w:rPr>
          <w:rFonts w:ascii="Arial" w:hAnsi="Arial"/>
          <w:b w:val="0"/>
          <w:i w:val="0"/>
          <w:sz w:val="19"/>
        </w:rPr>
        <w:t xml:space="preserve"> (dritter Direktabruf in Folge): Ereigniszahl (365), Betroffenenzahl (209.032), KI-attribuierte Ereignisse (183) und Betroffene (172.044) sowie die 20 Betriebsschließungen unverändert; die ausgewiesene Tagesrate sinkt erneut allein durch die Nennerverlängerung von 817 auf 813 Stellen (209.032 / 256 = 816,5 gegenüber 209.032 / 257 = 813,4); jüngster gelisteter Einzelfall weiterhin </w:t>
      </w:r>
      <w:r>
        <w:rPr>
          <w:rFonts w:ascii="Arial" w:hAnsi="Arial"/>
          <w:b w:val="0"/>
          <w:i/>
          <w:sz w:val="19"/>
        </w:rPr>
        <w:t>Apple</w:t>
      </w:r>
      <w:r>
        <w:rPr>
          <w:rFonts w:ascii="Arial" w:hAnsi="Arial"/>
          <w:b w:val="0"/>
          <w:i w:val="0"/>
          <w:sz w:val="19"/>
        </w:rPr>
        <w:t xml:space="preserve"> vom 21. August 2026, Erfassungslücke damit vierundzwanzig Tage. </w:t>
      </w:r>
      <w:r>
        <w:rPr>
          <w:rFonts w:ascii="Arial" w:hAnsi="Arial"/>
          <w:b w:val="0"/>
          <w:i/>
          <w:sz w:val="19"/>
        </w:rPr>
        <w:t>Nachtrag Stand 15. September 2026</w:t>
      </w:r>
      <w:r>
        <w:rPr>
          <w:rFonts w:ascii="Arial" w:hAnsi="Arial"/>
          <w:b w:val="0"/>
          <w:i w:val="0"/>
          <w:sz w:val="19"/>
        </w:rPr>
        <w:t xml:space="preserve"> (vierter Direktabruf in Folge; erster Abruf mit Bewegung): 383 Ereignisse (zuvor 365) mit 210.741 Betroffenen (zuvor 209.032), davon 188 KI-attribuierte Ereignisse (zuvor 183) mit 173.465 Betroffenen (zuvor 172.044) sowie 25 Betriebsschließungen (zuvor 20); der KI-Anteil an den Ereignissen wird jetzt mit 49 % ausgewiesen (zuvor 50 %), der KI-Anteil an den Betroffenen bleibt bei rund 82 %. Die Tagesrate steigt von 813 auf 817 Stellen und beruht diesmal auf neuen Ereignissen (210.741 / 258 = 816,8). Jüngster gelisteter Einzelfall ist nun </w:t>
      </w:r>
      <w:r>
        <w:rPr>
          <w:rFonts w:ascii="Arial" w:hAnsi="Arial"/>
          <w:b w:val="0"/>
          <w:i/>
          <w:sz w:val="19"/>
        </w:rPr>
        <w:t>Zomato</w:t>
      </w:r>
      <w:r>
        <w:rPr>
          <w:rFonts w:ascii="Arial" w:hAnsi="Arial"/>
          <w:b w:val="0"/>
          <w:i w:val="0"/>
          <w:sz w:val="19"/>
        </w:rPr>
        <w:t xml:space="preserve"> vom 30. August 2026 (250 Beschäftigte); die Erfassungslücke verkürzt sich von vierundzwanzig auf sechzehn Tage, das </w:t>
      </w:r>
      <w:r>
        <w:rPr>
          <w:rFonts w:ascii="Arial" w:hAnsi="Arial"/>
          <w:b w:val="0"/>
          <w:i/>
          <w:sz w:val="19"/>
        </w:rPr>
        <w:t>Uber</w:t>
      </w:r>
      <w:r>
        <w:rPr>
          <w:rFonts w:ascii="Arial" w:hAnsi="Arial"/>
          <w:b w:val="0"/>
          <w:i w:val="0"/>
          <w:sz w:val="19"/>
        </w:rPr>
        <w:t xml:space="preserve">-Ereignis vom 2. September 2026 bleibt weiterhin unerfasst. Zuwachs gegenüber dem Vortag: +1.709 Betroffene, davon +1.421 KI-attribuiert (83 %). </w:t>
      </w:r>
      <w:r>
        <w:rPr>
          <w:rFonts w:ascii="Arial" w:hAnsi="Arial"/>
          <w:b w:val="0"/>
          <w:i/>
          <w:sz w:val="19"/>
        </w:rPr>
        <w:t>Nachtrag Stand 16. September 2026</w:t>
      </w:r>
      <w:r>
        <w:rPr>
          <w:rFonts w:ascii="Arial" w:hAnsi="Arial"/>
          <w:b w:val="0"/>
          <w:i w:val="0"/>
          <w:sz w:val="19"/>
        </w:rPr>
        <w:t xml:space="preserve"> (fünfter Direktabruf; erneuter Stillstand unmittelbar nach dem einzigen Bewegungstag): sämtliche Kennzahlen unverändert — 383 Ereignisse, 210.741 Betroffene, 188 KI-attribuierte Ereignisse mit 173.465 Betroffenen, 25 Betriebsschließungen, KI-Anteil an den Ereignissen weiterhin 49 %. Die ausgewiesene Tagesrate sinkt von 817 auf 814 Stellen und beruht diesmal ausschließlich auf der Nennerverlängerung (210.741 / 259 = 813,7),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sechzehn auf siebzehn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17. September 2026</w:t>
      </w:r>
      <w:r>
        <w:rPr>
          <w:rFonts w:ascii="Arial" w:hAnsi="Arial"/>
          <w:b w:val="0"/>
          <w:i w:val="0"/>
          <w:sz w:val="19"/>
        </w:rPr>
        <w:t xml:space="preserve"> (sechster Direktabruf; zweiter Stillstandstag in Folge): sämtliche Kennzahlen unverändert — 383 Ereignisse, 210.741 Betroffene, 188 KI-attribuierte Ereignisse mit 173.465 Betroffenen, 25 Betriebsschließungen, KI-Anteil an den Ereignissen weiterhin 49 %. Die ausgewiesene Tagesrate sinkt von 814 auf 811 Stellen und beruht abermals ausschließlich auf der Nennerverlängerung (210.741 / 260 = 810,5),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siebzehn auf achtzehn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18. September 2026</w:t>
      </w:r>
      <w:r>
        <w:rPr>
          <w:rFonts w:ascii="Arial" w:hAnsi="Arial"/>
          <w:b w:val="0"/>
          <w:i w:val="0"/>
          <w:sz w:val="19"/>
        </w:rPr>
        <w:t xml:space="preserve"> (siebter Direktabruf; dritter Stillstandstag in Folge): sämtliche Kennzahlen unverändert — 383 Ereignisse, 210.741 Betroffene, 188 KI-attribuierte Ereignisse mit 173.465 Betroffenen, 25 Betriebsschließungen, KI-Anteil an den Ereignissen weiterhin 49 %, größtes Einzelereignis des Jahres unverändert </w:t>
      </w:r>
      <w:r>
        <w:rPr>
          <w:rFonts w:ascii="Arial" w:hAnsi="Arial"/>
          <w:b w:val="0"/>
          <w:i/>
          <w:sz w:val="19"/>
        </w:rPr>
        <w:t>Oracle</w:t>
      </w:r>
      <w:r>
        <w:rPr>
          <w:rFonts w:ascii="Arial" w:hAnsi="Arial"/>
          <w:b w:val="0"/>
          <w:i w:val="0"/>
          <w:sz w:val="19"/>
        </w:rPr>
        <w:t xml:space="preserve"> mit 30.000 Stellen (31. März 2026), Mittelwert je Ereignis 772. Die ausgewiesene Tagesrate sinkt von 811 auf 807 Stellen und beruht abermals ausschließlich auf der Nennerverlängerung (210.741 / 261 = 807,4), was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von achtzehn auf neunzehn Tage aus, das </w:t>
      </w:r>
      <w:r>
        <w:rPr>
          <w:rFonts w:ascii="Arial" w:hAnsi="Arial"/>
          <w:b w:val="0"/>
          <w:i/>
          <w:sz w:val="19"/>
        </w:rPr>
        <w:t>Uber</w:t>
      </w:r>
      <w:r>
        <w:rPr>
          <w:rFonts w:ascii="Arial" w:hAnsi="Arial"/>
          <w:b w:val="0"/>
          <w:i w:val="0"/>
          <w:sz w:val="19"/>
        </w:rPr>
        <w:t xml:space="preserve">-Ereignis vom 2. September 2026 bleibt unerfasst. Zuwachs gegenüber dem Vortag: null. </w:t>
      </w:r>
      <w:r>
        <w:rPr>
          <w:rFonts w:ascii="Arial" w:hAnsi="Arial"/>
          <w:b w:val="0"/>
          <w:i/>
          <w:sz w:val="19"/>
        </w:rPr>
        <w:t>Nachtrag Stand 19. September 2026</w:t>
      </w:r>
      <w:r>
        <w:rPr>
          <w:rFonts w:ascii="Arial" w:hAnsi="Arial"/>
          <w:b w:val="0"/>
          <w:i w:val="0"/>
          <w:sz w:val="19"/>
        </w:rPr>
        <w:t xml:space="preserve"> (achter Direktabruf; damit sechster aufeinanderfolgender Vierundzwanzig-Stunden-Zeitraum ohne Zugang): abermals sämtliche Bestände unverändert — 383 Ereignisse, 210.741 Betroffene, ausgewiesene KI-Attributionsquote 49 % der Ereignisse; die angezeigte Tagesrate sinkt von 807 auf 804, was wiederum ausschließlich auf der Nennerverlängerung beruht (210.741 / 262 = 804,4) und den Nullzufluss bestätigt. Jüngster gelisteter Einzelfall bleibt </w:t>
      </w:r>
      <w:r>
        <w:rPr>
          <w:rFonts w:ascii="Arial" w:hAnsi="Arial"/>
          <w:b w:val="0"/>
          <w:i/>
          <w:sz w:val="19"/>
        </w:rPr>
        <w:t>Zomato</w:t>
      </w:r>
      <w:r>
        <w:rPr>
          <w:rFonts w:ascii="Arial" w:hAnsi="Arial"/>
          <w:b w:val="0"/>
          <w:i w:val="0"/>
          <w:sz w:val="19"/>
        </w:rPr>
        <w:t xml:space="preserve"> vom 30. August 2026; die Erfassungslücke weitet sich auf zwanzig Tage aus. Bei diesem Abruf ist die Zähldefinition ausdrücklich ausgelesen worden: erfasst werde jede Unternehmensankündigung als ein Ereignis, sektorübergreifend („tech, startups, and beyond") und weltweit, gespeist aus geprüften Nachrichtenquellen, Unternehmensmitteilungen und Einreichungen bei der US-Börsenaufsicht; die KI-Zuschreibung erfolge, sobald ein Unternehmen Künstliche Intelligenz, Automatisierung oder maschinelles Lernen in seiner Mitteilung ausdrücklich benenne. Das Zählwerk weist dabei selbst auf die Möglichkeit einer Zuschreibung ohne tatsächliche Ursächlichkeit hin (</w:t>
      </w:r>
      <w:r>
        <w:rPr>
          <w:rFonts w:ascii="Arial" w:hAnsi="Arial"/>
          <w:b w:val="0"/>
          <w:i/>
          <w:sz w:val="19"/>
        </w:rPr>
        <w:t>AI washing</w:t>
      </w:r>
      <w:r>
        <w:rPr>
          <w:rFonts w:ascii="Arial" w:hAnsi="Arial"/>
          <w:b w:val="0"/>
          <w:i w:val="0"/>
          <w:sz w:val="19"/>
        </w:rPr>
        <w:t xml:space="preserve">) und hält die 49-Prozent-Quote gleichwohl aufrecht — eine vom Betreiber selbst benannte Einschränkung, die hier vermerkt, aber nicht als Korrektur der Quote weiterverwendet wird. Zuwachs gegenüber dem Vortag: null. </w:t>
      </w:r>
      <w:r>
        <w:rPr>
          <w:rFonts w:ascii="Arial" w:hAnsi="Arial"/>
          <w:b w:val="0"/>
          <w:i/>
          <w:sz w:val="19"/>
        </w:rPr>
        <w:t>Nachtrag Stand 20. September 2026</w:t>
      </w:r>
      <w:r>
        <w:rPr>
          <w:rFonts w:ascii="Arial" w:hAnsi="Arial"/>
          <w:b w:val="0"/>
          <w:i w:val="0"/>
          <w:sz w:val="19"/>
        </w:rPr>
        <w:t xml:space="preserve"> (siebter aufeinanderfolgender Vierundzwanzig-Stunden-Zeitraum ohne Zugang): sämtliche Bestandskennzahlen unverändert — 383 Ereignisse, 210.741 Betroffene, 188 KI-attribuierte Ereignisse mit 173.465 Betroffenen; die angezeigte Tagesrate sinkt allein durch die Verlängerung des Nenners von 804 auf 801 (Rechenprobe: 210.741 / 263 Tage = 801,3, geht auf).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383 Ereignisse, 210.741 Betroffene, 188 KI-attribuierte Ereignisse mit 173.465 Betroffenen; Tagesrate 798 (Rechenprobe: 210.741 / 264 Tage = 798,3, geht auf). Erstmals ausgelesen ist die Monatsgliederung: Januar 29.358 (52 Ereignisse), Februar 22.328 (49), März 82.370 (49), April 20.532 (42), Mai 29.303 (53), Juni 12.994 (55), Juli 10.505 (40), August 3.351 (43). Summenprobe: 29.358 + 22.328 + 82.370 + 20.532 + 29.303 + 12.994 + 10.505 + 3.351 = 210.741 und 52 + 49 + 49 + 42 + 53 + 55 + 40 + 43 = 383 — beide Proben gehen genau auf die ausgewiesenen Jahressummen auf. </w:t>
      </w:r>
      <w:r>
        <w:rPr>
          <w:rFonts w:ascii="Arial" w:hAnsi="Arial"/>
          <w:b/>
          <w:i w:val="0"/>
          <w:sz w:val="19"/>
        </w:rPr>
        <w:t>Befund:</w:t>
      </w:r>
      <w:r>
        <w:rPr>
          <w:rFonts w:ascii="Arial" w:hAnsi="Arial"/>
          <w:b w:val="0"/>
          <w:i w:val="0"/>
          <w:sz w:val="19"/>
        </w:rPr>
        <w:t xml:space="preserve"> Für September 2026 führt das Zählwerk keinen einzigen Eintrag; der Stillstand ist damit als Erfassungslücke identifiziert und nicht als ereignisarmer Zeitraum. Die Seite weist die Lücke nicht aus, sondern führt die Tagesrate mit täglich verlängertem Nenner fort. Vergleichswert 2025: 338 Ereignisse, 205.773 Betroffene, 564 pro Tag. Die Stände vom 12. bis 20. September 2026 bleiben als zeitlich frühere Referenzen vollständig erhalten.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w:t>
      </w:r>
      <w:r>
        <w:rPr>
          <w:rFonts w:ascii="Arial" w:hAnsi="Arial"/>
          <w:b w:val="0"/>
          <w:i/>
          <w:sz w:val="19"/>
        </w:rPr>
        <w:t>Nachtrag Stand 14. September 2026</w:t>
      </w:r>
      <w:r>
        <w:rPr>
          <w:rFonts w:ascii="Arial" w:hAnsi="Arial"/>
          <w:b w:val="0"/>
          <w:i w:val="0"/>
          <w:sz w:val="19"/>
        </w:rPr>
        <w:t xml:space="preserve"> (zweiter Direktabruf, in zwei Durchgängen ausgelesen): Die Jahressumme bleibt bei 635.481 belegten Streichungen; die interne Aufteilung verschiebt sich allein durch Zeitablauf von 595.343 auf 595.842 bereits wirksam gewordene und von 40.138 auf 39.639 künftig wirksam werdende Streichungen (Summenprobe exakt: 595.842 + 39.639 = 635.481). Der Stand vom 13. September 2026 bleibt als zeitlich frühere Referenz vollständig erhalten. Zwei Angaben sind bei diesem Abruf neu erfasst worden: (a) neben der strengen KI-Kennzahl von 66.853 Streichungen (Nennung durch den Arbeitgeber selbst) weist der Tracker eine zweite, weiter gefasste Kennzahl von 122.186 Streichungen aus (</w:t>
      </w:r>
      <w:r>
        <w:rPr>
          <w:rFonts w:ascii="Arial" w:hAnsi="Arial"/>
          <w:b w:val="0"/>
          <w:i/>
          <w:sz w:val="19"/>
        </w:rPr>
        <w:t>„AI-linked, broad (wider lens)"</w:t>
      </w:r>
      <w:r>
        <w:rPr>
          <w:rFonts w:ascii="Arial" w:hAnsi="Arial"/>
          <w:b w:val="0"/>
          <w:i w:val="0"/>
          <w:sz w:val="19"/>
        </w:rPr>
        <w:t xml:space="preserve">), die nach eigener Beschreibung </w:t>
      </w:r>
      <w:r>
        <w:rPr>
          <w:rFonts w:ascii="Arial" w:hAnsi="Arial"/>
          <w:b w:val="0"/>
          <w:i/>
          <w:sz w:val="19"/>
        </w:rPr>
        <w:t>„press framing like ‚amid AI push' as well as employer statements"</w:t>
      </w:r>
      <w:r>
        <w:rPr>
          <w:rFonts w:ascii="Arial" w:hAnsi="Arial"/>
          <w:b w:val="0"/>
          <w:i w:val="0"/>
          <w:sz w:val="19"/>
        </w:rPr>
        <w:t xml:space="preserve"> einbeziehe, ausdrücklich </w:t>
      </w:r>
      <w:r>
        <w:rPr>
          <w:rFonts w:ascii="Arial" w:hAnsi="Arial"/>
          <w:b w:val="0"/>
          <w:i/>
          <w:sz w:val="19"/>
        </w:rPr>
        <w:t>„wider than the strict AI figure by design"</w:t>
      </w:r>
      <w:r>
        <w:rPr>
          <w:rFonts w:ascii="Arial" w:hAnsi="Arial"/>
          <w:b w:val="0"/>
          <w:i w:val="0"/>
          <w:sz w:val="19"/>
        </w:rPr>
        <w:t xml:space="preserve"> sei und </w:t>
      </w:r>
      <w:r>
        <w:rPr>
          <w:rFonts w:ascii="Arial" w:hAnsi="Arial"/>
          <w:b w:val="0"/>
          <w:i/>
          <w:sz w:val="19"/>
        </w:rPr>
        <w:t>„never sums with it"</w:t>
      </w:r>
      <w:r>
        <w:rPr>
          <w:rFonts w:ascii="Arial" w:hAnsi="Arial"/>
          <w:b w:val="0"/>
          <w:i w:val="0"/>
          <w:sz w:val="19"/>
        </w:rPr>
        <w:t xml:space="preserve"> — ein Faktor von 1,8 allein aus der Zuschreibungsregel bei identischer Datenbasis; (b) eine eigene Vollständigkeitsprüfung: 55 von 57 einschlägigen SEC-Meldungen des Zeitraums Juli 2025 bis Juni 2026 erfasst, 96 % (95-%-Konfidenzintervall 88 % bis 99 %), ausdrücklich beschränkt auf diese eine Quellenfamilie und ohne Aussage zu privaten Arbeitgebern, Streichungen außerhalb der Vereinigten Staaten sowie den Melde- und Pressewegen. Aufnahme des Nachtrags in § 1.1 und § 9.2 (Trennung von belastbarer Erfassung und nicht messbarer Zuschreibung). </w:t>
      </w:r>
      <w:r>
        <w:rPr>
          <w:rFonts w:ascii="Arial" w:hAnsi="Arial"/>
          <w:b w:val="0"/>
          <w:i/>
          <w:sz w:val="19"/>
        </w:rPr>
        <w:t>Nachtrag Stand 15. September 2026</w:t>
      </w:r>
      <w:r>
        <w:rPr>
          <w:rFonts w:ascii="Arial" w:hAnsi="Arial"/>
          <w:b w:val="0"/>
          <w:i w:val="0"/>
          <w:sz w:val="19"/>
        </w:rPr>
        <w:t xml:space="preserve"> (dritter Direktabruf): Die Jahressumme steigt von 635.481 auf 638.694 belegte Streichungen, davon 598.943 bereits wirksam und 39.751 mit künftigem Wirksamkeitsdatum (Summenprobe exakt: 598.943 + 39.751 = 638.694); die weit gefasste KI-Kennzahl steigt von 122.186 auf 123.223, die strenge Kennzahl bleibt unverändert bei 66.853; die Zahl der meldenden Unternehmen steigt von 3.076 auf 3.088, die Länderzahl bleibt bei 64, erstmals ausgewiesen sind 48 US-Bundesstaaten; das jüngste aufgenommene Ereignis trägt den 15. September 2026, die Vollständigkeitsprüfung bleibt bei 55 von 57 SEC-Meldungen (96 %). Zuwachs gegenüber dem Vortag: +3.213 belegte Streichungen, davon +1.037 in der weit gefassten KI-Kennzahl (32 %) und ±0 in der strengen. </w:t>
      </w:r>
      <w:r>
        <w:rPr>
          <w:rFonts w:ascii="Arial" w:hAnsi="Arial"/>
          <w:b w:val="0"/>
          <w:i/>
          <w:sz w:val="19"/>
        </w:rPr>
        <w:t>Nachtrag Stand 16. September 2026</w:t>
      </w:r>
      <w:r>
        <w:rPr>
          <w:rFonts w:ascii="Arial" w:hAnsi="Arial"/>
          <w:b w:val="0"/>
          <w:i w:val="0"/>
          <w:sz w:val="19"/>
        </w:rPr>
        <w:t xml:space="preserve"> (vierter Direktabruf; größter Tageszuwachs der Reihe bei zugleich vollständig ausbleibender KI-Zuschreibung): Die Jahressumme steigt von 638.694 auf 644.023 belegte Streichungen, davon 604.619 bereits wirksam (zuvor 598.943) und 39.404 mit künftigem Wirksamkeitsdatum (zuvor 39.751); die Summenprobe geht exakt auf (604.619 + 39.404 = 644.023), die Gegenläufigkeit der Teilbestände entspricht dem Übergang künftig wirksamer Einträge in den wirksamen Bestand. Die Zahl der meldenden Unternehmen steigt von 3.088 auf 3.107, Länderzahl unverändert 64, US-Bundesstaaten unverändert 48; das jüngste aufgenommene Ereignis trägt den 16. September 2026. Beide KI-Kennzahlen bleiben unverändert — streng 66.853, weit gefasst 123.223. Zuwachs gegenüber dem Vortag: +5.329 belegte Streichungen, davon ±0 in beiden KI-Kennzahlen (0 %). Prüfvermerk nach § 2.4.4 `Validierung.md`: Die Seite weist zum Abrufzeitpunkt als eigenen Aktualisierungsstempel den 16. September 2026, 22:00 UTC aus und damit einen Zeitpunkt, der nach dem Abruf liegt; der Stempel ist deshalb als trackereigene Angabe wiedergegeben und nicht als verifizierter Erhebungszeitpunkt. </w:t>
      </w:r>
      <w:r>
        <w:rPr>
          <w:rFonts w:ascii="Arial" w:hAnsi="Arial"/>
          <w:b w:val="0"/>
          <w:i/>
          <w:sz w:val="19"/>
        </w:rPr>
        <w:t>Nachtrag Stand 17. September 2026</w:t>
      </w:r>
      <w:r>
        <w:rPr>
          <w:rFonts w:ascii="Arial" w:hAnsi="Arial"/>
          <w:b w:val="0"/>
          <w:i w:val="0"/>
          <w:sz w:val="19"/>
        </w:rPr>
        <w:t xml:space="preserve"> (fünfter Direktabruf; erste Abwärtsrevision des Bestandes in der Reihe): Die Jahressumme </w:t>
      </w:r>
      <w:r>
        <w:rPr>
          <w:rFonts w:ascii="Arial" w:hAnsi="Arial"/>
          <w:b/>
          <w:i w:val="0"/>
          <w:sz w:val="19"/>
        </w:rPr>
        <w:t>sinkt</w:t>
      </w:r>
      <w:r>
        <w:rPr>
          <w:rFonts w:ascii="Arial" w:hAnsi="Arial"/>
          <w:b w:val="0"/>
          <w:i w:val="0"/>
          <w:sz w:val="19"/>
        </w:rPr>
        <w:t xml:space="preserve"> von 644.023 auf 629.819 belegte Streichungen, davon 590.566 bereits wirksam (zuvor 604.619) und 39.253 mit künftigem Wirksamkeitsdatum (zuvor 39.404); die Summenprobe geht exakt auf (590.566 + 39.253 = 629.819). Die Veränderung gegenüber dem Vortag beträgt −14.204 Streichungen oder −2,2 %, während die Zahl der meldenden Unternehmen im selben Zeitraum von 3.107 auf 3.117 steigt; Länderzahl unverändert 64, US-Bundesstaaten unverändert 48, jüngstes aufgenommenes Ereignis 17. September 2026. Die strenge KI-Kennzahl bleibt bei 66.853, die weit gefasste steigt von 123.223 auf 123.451 (+228). Bei diesem Abruf sind zwei Strukturangaben erstmals ausgelesen worden. (a) </w:t>
      </w:r>
      <w:r>
        <w:rPr>
          <w:rFonts w:ascii="Arial" w:hAnsi="Arial"/>
          <w:b w:val="0"/>
          <w:i/>
          <w:sz w:val="19"/>
        </w:rPr>
        <w:t>Zwei Zählstufen:</w:t>
      </w:r>
      <w:r>
        <w:rPr>
          <w:rFonts w:ascii="Arial" w:hAnsi="Arial"/>
          <w:b w:val="0"/>
          <w:i w:val="0"/>
          <w:sz w:val="19"/>
        </w:rPr>
        <w:t xml:space="preserve"> Neben den 629.819 belegten Streichungen weist der Tracker 477.649 lediglich angekündigte aus (zusammen 1.107.468) und entsprechend 66.853 belegte sowie 47.883 angekündigte KI-Streichungen (zusammen 114.736, ausdrücklich getrennt von der weit gefassten Kennzahl 123.451, mit der sie nach Betreiberangabe </w:t>
      </w:r>
      <w:r>
        <w:rPr>
          <w:rFonts w:ascii="Arial" w:hAnsi="Arial"/>
          <w:b w:val="0"/>
          <w:i/>
          <w:sz w:val="19"/>
        </w:rPr>
        <w:t>„never sums"</w:t>
      </w:r>
      <w:r>
        <w:rPr>
          <w:rFonts w:ascii="Arial" w:hAnsi="Arial"/>
          <w:b w:val="0"/>
          <w:i w:val="0"/>
          <w:sz w:val="19"/>
        </w:rPr>
        <w:t xml:space="preserve">). (b) </w:t>
      </w:r>
      <w:r>
        <w:rPr>
          <w:rFonts w:ascii="Arial" w:hAnsi="Arial"/>
          <w:b w:val="0"/>
          <w:i/>
          <w:sz w:val="19"/>
        </w:rPr>
        <w:t>Korrekturenlog:</w:t>
      </w:r>
      <w:r>
        <w:rPr>
          <w:rFonts w:ascii="Arial" w:hAnsi="Arial"/>
          <w:b w:val="0"/>
          <w:i w:val="0"/>
          <w:sz w:val="19"/>
        </w:rPr>
        <w:t xml:space="preserve"> Der Tracker führt einen datierten Korrekturenlog mit Grund, Zeilenkennung und Ankerlink je Änderung, markiert korrigierte Zeilen in der Schnittstelle mit `edited: true` und nennt einen maschinenlesbaren Statusendpunkt für Datensatzstand, jüngste Korrekturen, Sammlerzustand und Abdeckungsvorhaben; für den 16. und 17. September 2026 sind unter anderem die Entfernung dreier Zeilen derselben </w:t>
      </w:r>
      <w:r>
        <w:rPr>
          <w:rFonts w:ascii="Arial" w:hAnsi="Arial"/>
          <w:b w:val="0"/>
          <w:i/>
          <w:sz w:val="19"/>
        </w:rPr>
        <w:t>Jaguar-Land-Rover</w:t>
      </w:r>
      <w:r>
        <w:rPr>
          <w:rFonts w:ascii="Arial" w:hAnsi="Arial"/>
          <w:b w:val="0"/>
          <w:i w:val="0"/>
          <w:sz w:val="19"/>
        </w:rPr>
        <w:t xml:space="preserve">-Ankündigung über je 4.000 Stellen (unter vier Schreibweisen gespeichert), einer Drittprojektion über 4.500 und einer Dublette derselben Projektion über 2.500 Stellen, eines als Kopfzahl verbuchten Dollarbetrags über 4.320 sowie zweier Einträge über zusammen 26.000 Stellen aus einer Restrukturierungsangabe einer US-Bundesbehörde protokolliert. Nach Betreiberangabe nennen von 200 maschinell erzeugten Logeinträgen 134 eine interne Prüfung oder einen automatisierten Abgleich als Auslöser, vier einen externen Hinweis, 62 keine Herkunft. Ferner offengelegte Abdeckungsgrenzen: keine Direktanbindung an SEDAR+, RNS, ASX, TDnet/EDINET, NSE/BSE, HKEXnews, SGXNet, SENS, DART und TASE; für Deutschland und Mexiko werde die Arbeitgeberidentität in Massenentlassungsmeldungen vertraulich behandelt, weshalb dort die Presseauswertung über </w:t>
      </w:r>
      <w:r>
        <w:rPr>
          <w:rFonts w:ascii="Arial" w:hAnsi="Arial"/>
          <w:b w:val="0"/>
          <w:i/>
          <w:sz w:val="19"/>
        </w:rPr>
        <w:t>GDELT</w:t>
      </w:r>
      <w:r>
        <w:rPr>
          <w:rFonts w:ascii="Arial" w:hAnsi="Arial"/>
          <w:b w:val="0"/>
          <w:i w:val="0"/>
          <w:sz w:val="19"/>
        </w:rPr>
        <w:t xml:space="preserve"> die Hauptquelle sei; Streichungen unterhalb jeder Meldeschwelle und unterhalb der 100-Stellen-Schwelle des </w:t>
      </w:r>
      <w:r>
        <w:rPr>
          <w:rFonts w:ascii="Arial" w:hAnsi="Arial"/>
          <w:b w:val="0"/>
          <w:i/>
          <w:sz w:val="19"/>
        </w:rPr>
        <w:t>European Restructuring Monitor</w:t>
      </w:r>
      <w:r>
        <w:rPr>
          <w:rFonts w:ascii="Arial" w:hAnsi="Arial"/>
          <w:b w:val="0"/>
          <w:i w:val="0"/>
          <w:sz w:val="19"/>
        </w:rPr>
        <w:t xml:space="preserve"> erschienen in keinem Zählwerk. Interne Konsistenzprobe nach der Verfahrensregel zu Cluster F: Die Übersichtstabelle derselben Seite weist für 2026 insgesamt 605.745 Betroffene aus, die Leitkennzahl derselben Seite für denselben Zeitraum 629.819 — eine unerläuterte Differenz von 24.074, die deshalb hier vermerkt, aber nicht als Kennzahl in den Fließtext übernommen ist. </w:t>
      </w:r>
      <w:r>
        <w:rPr>
          <w:rFonts w:ascii="Arial" w:hAnsi="Arial"/>
          <w:b w:val="0"/>
          <w:i/>
          <w:sz w:val="19"/>
        </w:rPr>
        <w:t>Nachtrag Stand 18. September 2026</w:t>
      </w:r>
      <w:r>
        <w:rPr>
          <w:rFonts w:ascii="Arial" w:hAnsi="Arial"/>
          <w:b w:val="0"/>
          <w:i w:val="0"/>
          <w:sz w:val="19"/>
        </w:rPr>
        <w:t xml:space="preserve"> (sechster Direktabruf): 630.820 belegte Streichungen für 2026 (Vortag 629.819, Zuwachs 1.001), davon 589.570 bereits wirksam und 41.250 mit künftigem Wirksamkeitsdatum; Summenprobe exakt (589.570 + 41.250 = 630.820). Angekündigte Zählstufe 473.699 (Vortag 477.649), beide Stufen zusammen 1.104.519 (Vortag 1.107.468) — die Abwärtsrevision des Vortages setzt sich im belegten Bestand nicht fort, sondern verlagert sich in die angekündigte Stufe. Strenge KI-Zuschreibung 66.861 (Vortag 66.853), angekündigte KI-Zuschreibung unverändert 47.883, weit gefasste Kennzahl 123.459 (Vortag 123.451); 3.127 meldende Unternehmen (Vortag 3.117), 64 Länder im laufenden Jahr, Gesamtbestand 65.661 Einträge aus 39.571 Unternehmen und 80 Ländern seit Januar 2002. Erstmals ausgelesen und für § 9.2 maßgeblich ist die vom Betreiber veröffentlichte </w:t>
      </w:r>
      <w:r>
        <w:rPr>
          <w:rFonts w:ascii="Arial" w:hAnsi="Arial"/>
          <w:b/>
          <w:i w:val="0"/>
          <w:sz w:val="19"/>
        </w:rPr>
        <w:t>gemessene Erfassungsquote</w:t>
      </w:r>
      <w:r>
        <w:rPr>
          <w:rFonts w:ascii="Arial" w:hAnsi="Arial"/>
          <w:b w:val="0"/>
          <w:i w:val="0"/>
          <w:sz w:val="19"/>
        </w:rPr>
        <w:t xml:space="preserve">: Von 57 zwischen dem 1. Juli 2025 und dem 30. Juni 2026 bei der US-Börsenaufsicht eingereichten 8-K-Meldungen, die im strukturierten Meldungskopf den Posten </w:t>
      </w:r>
      <w:r>
        <w:rPr>
          <w:rFonts w:ascii="Arial" w:hAnsi="Arial"/>
          <w:b w:val="0"/>
          <w:i/>
          <w:sz w:val="19"/>
        </w:rPr>
        <w:t>Item 2.05</w:t>
      </w:r>
      <w:r>
        <w:rPr>
          <w:rFonts w:ascii="Arial" w:hAnsi="Arial"/>
          <w:b w:val="0"/>
          <w:i w:val="0"/>
          <w:sz w:val="19"/>
        </w:rPr>
        <w:t xml:space="preserve"> führen und eine absolute Beschäftigtenzahl nennen, erscheinen 55 im Bestand — 96 % bei einem 95-Prozent-Konfidenzintervall von 88 % bis 99 % —, und 36 von 36 geprüften veröffentlichten Zahlen stimmen wörtlich mit der zitierten Quelle überein; die Messung werde wöchentlich gegen dieselbe eingefrorene Meldungsliste wiederholt. Der Betreiber kennzeichnet den Bestand daraufhin ausdrücklich als </w:t>
      </w:r>
      <w:r>
        <w:rPr>
          <w:rFonts w:ascii="Arial" w:hAnsi="Arial"/>
          <w:b w:val="0"/>
          <w:i/>
          <w:sz w:val="19"/>
        </w:rPr>
        <w:t>„a floor and not a census"</w:t>
      </w:r>
      <w:r>
        <w:rPr>
          <w:rFonts w:ascii="Arial" w:hAnsi="Arial"/>
          <w:b w:val="0"/>
          <w:i w:val="0"/>
          <w:sz w:val="19"/>
        </w:rPr>
        <w:t xml:space="preserve"> und hält fest, die Messung decke eine Quellenfamilie über ein Jahr ab und sage nichts über private Arbeitgeber, über Streichungen außerhalb der Vereinigten Staaten und über die Zuflusswege WARN-Meldung und Presseauswertung. Die Abweichung zu Ankündigungserhebungen beziffert er erstmals: Deren Gesamtwert enthalte Trennungen ohne benannten Arbeitgeber (Aufhebungsangebote, aufgeschobene Kündigungen, Fluktuationsprogramme, Reduktionen im US-Bundesdienst), die für 2025 allein rund 250.000 bis 300.000 Stellen ausgemacht hätten. Ferner ausgelesen: Die WARN-Erfassung stützt sich auf 46 US-Bundesstaaten und den District of Columbia; für Arkansas, Wyoming, New Hampshire, Missouri, Hawaii und Oklahoma bestehe kein verwertbares Register. Interne Konsistenzproben nach der Verfahrensregel zu Cluster F: Die Übersichtstabelle derselben Seite weist für 2026 insgesamt 604.622 Betroffene aus gegenüber der Leitkennzahl von 630.820 — eine unerläuterte Differenz von 26.198 gegenüber 24.074 am Vortag; zudem führt dieselbe Übersichtstabelle die weit gefasste KI-Kennzahl in allen Spalten mit denselben Werten wie die strenge, während der Kennzahlenblock derselben Seite 123.459 gegenüber 66.861 ausweist. Beide Abweichungen sind hier vermerkt, aber nicht als Kennzahl in den Fließtext übernommen. </w:t>
      </w:r>
      <w:r>
        <w:rPr>
          <w:rFonts w:ascii="Arial" w:hAnsi="Arial"/>
          <w:b w:val="0"/>
          <w:i/>
          <w:sz w:val="19"/>
        </w:rPr>
        <w:t>Nachtrag Stand 19. September 2026</w:t>
      </w:r>
      <w:r>
        <w:rPr>
          <w:rFonts w:ascii="Arial" w:hAnsi="Arial"/>
          <w:b w:val="0"/>
          <w:i w:val="0"/>
          <w:sz w:val="19"/>
        </w:rPr>
        <w:t xml:space="preserve"> (siebter Direktabruf): belegte Streichungen 2026 633.867, davon 591.040 bereits wirksam und 42.827 künftig wirksam (Summenprobe geht auf); angekündigte Zählstufe 477.766; zusammengefasster Stand 1.111.633 (Summenprobe geht auf). Zuwachs gegenüber dem Vortag: +3.047 belegt, +4.067 angekündigt, zusammen +7.114. Sämtliche drei KI-Kennzahlen bleiben dabei unverändert — strenge Zuschreibung 66.861, angekündigte Zuschreibung 47.883 (Summe 114.744, Summenprobe geht auf), weit gefasste Kennzahl 123.459 —, so dass der gesamte Tageszuwachs ohne KI-Zuschreibung erfolgt ist; dieser Flussbefund ist in § 1.1 und § 9.1 übernommen. Meldende Unternehmen 3.145 (+18). Erstmals ausgelesen: Gebietsabdeckung 64 Länder, 49 US-Bundesstaaten und der District of Columbia; ferner eine Allzeitangabe von 2.026 Unternehmen, die kleiner ist als der Bestand der laufenden Jahresansicht (3.145) — eine nicht erläuterte Unstimmigkeit derselben Seite, hier vermerkt, aber nicht als Kennzahl weiterverwendet. Die gemessene Erfassungsquote ist unverändert (55 von 57 einschlägigen 8-K-Meldungen des Zeitraums 1. Juli 2025 bis 30. Juni 2026, 96 % bei einem 95-%-Vertrauensbereich von 88 bis 99 %). Zähldefinition unverändert und bei diesem Abruf wörtlich bestätigt: „No figure appears unless its source states it." </w:t>
      </w:r>
      <w:r>
        <w:rPr>
          <w:rFonts w:ascii="Arial" w:hAnsi="Arial"/>
          <w:b w:val="0"/>
          <w:i/>
          <w:sz w:val="19"/>
        </w:rPr>
        <w:t>Nachtrag Stand 20. September 2026</w:t>
      </w:r>
      <w:r>
        <w:rPr>
          <w:rFonts w:ascii="Arial" w:hAnsi="Arial"/>
          <w:b w:val="0"/>
          <w:i w:val="0"/>
          <w:sz w:val="19"/>
        </w:rPr>
        <w:t xml:space="preserve"> (achter Direktabruf): 635.574 belegte Streichungen (591.783 bereits wirksam, 43.791 mit künftigem Wirksamkeitsdatum; Summenprobe geht auf), angekündigte Zählstufe 483.866, zusammengefasster Stand 1.119.440 (Summenprobe geht auf); Zuwachs gegenüber dem Vortag 1.707 belegte und 6.100 angekündigte Streichungen, zusammen 7.807 (Rechenprobe gegen die Gesamtstände geht auf). Sämtliche vier KI-Kennzahlen unverändert (66.861 streng, 47.883 angekündigt, 114.744 zusammengefasst, 123.459 weit gefasst); damit zweiter aufeinanderfolgender Tag, an dem der gesamte Zugang ohne KI-Zuschreibung bleibt. 3.152 Unternehmen und 3.409 Einträge in der laufenden Jahresansicht, 65 Länder, 49 US-Bundesstaaten. </w:t>
      </w:r>
      <w:r>
        <w:rPr>
          <w:rFonts w:ascii="Arial" w:hAnsi="Arial"/>
          <w:b/>
          <w:i w:val="0"/>
          <w:sz w:val="19"/>
        </w:rPr>
        <w:t>Berichtigung zum Stand vom 19. September 2026:</w:t>
      </w:r>
      <w:r>
        <w:rPr>
          <w:rFonts w:ascii="Arial" w:hAnsi="Arial"/>
          <w:b w:val="0"/>
          <w:i w:val="0"/>
          <w:sz w:val="19"/>
        </w:rPr>
        <w:t xml:space="preserve"> Die dort vermerkte „Allzeitzahl von 2.026 Unternehmen" ist keine Allzeitgröße, sondern die Jahresansicht („companies in 2026"); die Allzeitangaben lauten 39.591 Unternehmen, 81 Länder und 65.698 Einträge und liegen sämtlich über dem Jahresbestand. Die dort gezogene Folgerung einer Allzeitgröße unterhalb eines Jahresteilbestands ist damit hinfällig; der frühere Eintrag bleibt als zeitlich frühere Referenz unverändert stehen. Fortbestehend ist die Unstimmigkeit zweier Zahlen für dieselbe Jahresgröße 2026 (2.026 in der Jahresansicht gegenüber 3.152 in der laufenden Ansicht), hier vermerkt, aber nicht als Kennzahl weiterverwendet. Erfassungsquote unverändert (55 von 57, 96 %, Vertrauensbereich 88 bis 99 %); neu ausgelesen ist eine Eigenprüfung, nach der 36 von 36 stichprobenhaft geprüften Zahlen wörtlich in der angegebenen Quelle stehen. </w:t>
      </w:r>
      <w:r>
        <w:rPr>
          <w:rFonts w:ascii="Arial" w:hAnsi="Arial"/>
          <w:b/>
          <w:i w:val="0"/>
          <w:sz w:val="19"/>
        </w:rPr>
        <w:t>Stand 21. September 2026, 22:00 UTC (Direktabruf):</w:t>
      </w:r>
      <w:r>
        <w:rPr>
          <w:rFonts w:ascii="Arial" w:hAnsi="Arial"/>
          <w:b w:val="0"/>
          <w:i w:val="0"/>
          <w:sz w:val="19"/>
        </w:rPr>
        <w:t xml:space="preserve"> 629.474 belegte Streichungen 2026 (585.854 wirksam, 43.620 künftig wirksam; Summenprobe geht auf), 483.564 angekündigt, zusammengefasst 1.113.038 (Summenprobe geht auf). Gegenüber dem Vortag ein Rückgang auf allen Zählstufen: −6.100 belegt, −302 angekündigt, −6.402 zusammengefasst (Rechenprobe gegen die Gesamtstände geht auf); ebenso rückläufig die Strukturangaben (3.147 meldende Unternehmen der laufenden Ansicht gegenüber 3.152; Allzeitbestand 39.587 Unternehmen gegenüber 39.591 und 65.691 Einträge gegenüber 65.698). Damit ist die am 18. September 2026 beobachtete Abwärtsrevision kein Einzelfall mehr; die dortige Einschätzung ist überholt. Die vier KI-Kennzahlen bleiben den dritten Tag in Folge unverändert (66.861 / 47.883 / 114.744 / 123.459; Summenprobe geht auf). Erfassungsquote, Eigenprüfung und Gebietsabdeckung unverändert (65 Länder 2026, 81 im Allzeitbestand, 49 US-Bundesstaaten und der District of Columbia); neu ausgelesen ist die namentliche Begründung der sechs fehlenden Bundesstaaten (Arkansas, Wyoming, New Hampshire, Missouri, Hawaii, Oklahoma — kein brauchbares Massenentlassungsregister). Die Stände vom 13. bis 20. September 2026 bleiben als zeitlich frühere Referenzen vollständig erhalten.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 xml:space="preserve">-Ereignis vom September 2026 erfasst — und in § 9.2 als Beleg der Definitionsabhängigkeit, mit Rückwirkung auf § 9.1 und § 9.4. </w:t>
      </w:r>
      <w:r>
        <w:rPr>
          <w:rFonts w:ascii="Arial" w:hAnsi="Arial"/>
          <w:b w:val="0"/>
          <w:i/>
          <w:sz w:val="19"/>
        </w:rPr>
        <w:t>Nachtrag Stand 14. September 2026</w:t>
      </w:r>
      <w:r>
        <w:rPr>
          <w:rFonts w:ascii="Arial" w:hAnsi="Arial"/>
          <w:b w:val="0"/>
          <w:i w:val="0"/>
          <w:sz w:val="19"/>
        </w:rPr>
        <w:t xml:space="preserve"> (zweiter Direktabruf): sämtliche Kennzahlen unverändert — 377.084 KI-attribuierte Streichungen seit Januar 2023, davon 251.128 im Technologiesektor, 0,5 % der FRED-Gesamtstreichungen, 57 berichtende Unternehmen in der Kopfzeile, jüngster gelisteter Einzelfall weiterhin </w:t>
      </w:r>
      <w:r>
        <w:rPr>
          <w:rFonts w:ascii="Arial" w:hAnsi="Arial"/>
          <w:b w:val="0"/>
          <w:i/>
          <w:sz w:val="19"/>
        </w:rPr>
        <w:t>Uber</w:t>
      </w:r>
      <w:r>
        <w:rPr>
          <w:rFonts w:ascii="Arial" w:hAnsi="Arial"/>
          <w:b w:val="0"/>
          <w:i w:val="0"/>
          <w:sz w:val="19"/>
        </w:rPr>
        <w:t xml:space="preserve"> (3.300, September 2026); auch dieses Zählwerk hat binnen vierundzwanzig Stunden kein neues Ereignis erfasst. </w:t>
      </w:r>
      <w:r>
        <w:rPr>
          <w:rFonts w:ascii="Arial" w:hAnsi="Arial"/>
          <w:b w:val="0"/>
          <w:i/>
          <w:sz w:val="19"/>
        </w:rPr>
        <w:t>Nachtrag Stand 15. September 2026</w:t>
      </w:r>
      <w:r>
        <w:rPr>
          <w:rFonts w:ascii="Arial" w:hAnsi="Arial"/>
          <w:b w:val="0"/>
          <w:i w:val="0"/>
          <w:sz w:val="19"/>
        </w:rPr>
        <w:t xml:space="preserve"> (dritter Direktabruf):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in der Trackerbeschreibung ausdrücklich mit der Umstellung auf autonome Fahrzeuge begründet). Zuwachs gegenüber dem Vortag: null — während die beiden anderen Zählwerke im selben Zeitraum 1.709 beziehungsweise 3.213 Betroffene neu aufgenommen haben. </w:t>
      </w:r>
      <w:r>
        <w:rPr>
          <w:rFonts w:ascii="Arial" w:hAnsi="Arial"/>
          <w:b w:val="0"/>
          <w:i/>
          <w:sz w:val="19"/>
        </w:rPr>
        <w:t>Nachtrag Stand 16. September 2026</w:t>
      </w:r>
      <w:r>
        <w:rPr>
          <w:rFonts w:ascii="Arial" w:hAnsi="Arial"/>
          <w:b w:val="0"/>
          <w:i w:val="0"/>
          <w:sz w:val="19"/>
        </w:rPr>
        <w:t xml:space="preserve"> (vierter Direktabruf; damit dritter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Die Methodenangabe des Zählwerks ist bei diesem Abruf ausdrücklich ausgelesen worden: Ein Ereignis werde nur erfasst, wenn ein namentlich genanntes Unternehmen eine bezifferte Zahl gestrichener Stellen nenne </w:t>
      </w:r>
      <w:r>
        <w:rPr>
          <w:rFonts w:ascii="Arial" w:hAnsi="Arial"/>
          <w:b w:val="0"/>
          <w:i/>
          <w:sz w:val="19"/>
        </w:rPr>
        <w:t>und</w:t>
      </w:r>
      <w:r>
        <w:rPr>
          <w:rFonts w:ascii="Arial" w:hAnsi="Arial"/>
          <w:b w:val="0"/>
          <w:i w:val="0"/>
          <w:sz w:val="19"/>
        </w:rPr>
        <w:t xml:space="preserve"> Künstliche Intelligenz, Automatisierung oder maschinelles Lernen ausdrücklich als </w:t>
      </w:r>
      <w:r>
        <w:rPr>
          <w:rFonts w:ascii="Arial" w:hAnsi="Arial"/>
          <w:b w:val="0"/>
          <w:i/>
          <w:sz w:val="19"/>
        </w:rPr>
        <w:t>Hauptursache</w:t>
      </w:r>
      <w:r>
        <w:rPr>
          <w:rFonts w:ascii="Arial" w:hAnsi="Arial"/>
          <w:b w:val="0"/>
          <w:i w:val="0"/>
          <w:sz w:val="19"/>
        </w:rPr>
        <w:t xml:space="preserve"> angebe; der Abgleich laufe automatisiert alle sechs Stunden. Diese Zähldefinition erklärt die systematisch niedrigsten Stände der drei Zählwerke, nicht aber den dreitägigen Stillstand bei zeitweise laufendem Zufluss in den beiden anderen Registern. Zuwachs gegenüber dem Vortag: null. </w:t>
      </w:r>
      <w:r>
        <w:rPr>
          <w:rFonts w:ascii="Arial" w:hAnsi="Arial"/>
          <w:b w:val="0"/>
          <w:i/>
          <w:sz w:val="19"/>
        </w:rPr>
        <w:t>Nachtrag Stand 17. September 2026</w:t>
      </w:r>
      <w:r>
        <w:rPr>
          <w:rFonts w:ascii="Arial" w:hAnsi="Arial"/>
          <w:b w:val="0"/>
          <w:i w:val="0"/>
          <w:sz w:val="19"/>
        </w:rPr>
        <w:t xml:space="preserve"> (fünfter Direktabruf; damit vierter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18. September 2026</w:t>
      </w:r>
      <w:r>
        <w:rPr>
          <w:rFonts w:ascii="Arial" w:hAnsi="Arial"/>
          <w:b w:val="0"/>
          <w:i w:val="0"/>
          <w:sz w:val="19"/>
        </w:rPr>
        <w:t xml:space="preserve"> (sechster Direktabruf; damit fünfter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(3.300, September 2026). Zuwachs gegenüber dem Vortag: null. </w:t>
      </w:r>
      <w:r>
        <w:rPr>
          <w:rFonts w:ascii="Arial" w:hAnsi="Arial"/>
          <w:b w:val="0"/>
          <w:i/>
          <w:sz w:val="19"/>
        </w:rPr>
        <w:t>Nachtrag Stand 19. September 2026</w:t>
      </w:r>
      <w:r>
        <w:rPr>
          <w:rFonts w:ascii="Arial" w:hAnsi="Arial"/>
          <w:b w:val="0"/>
          <w:i w:val="0"/>
          <w:sz w:val="19"/>
        </w:rPr>
        <w:t xml:space="preserve"> (siebter Direktabruf; damit sechster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val="0"/>
          <w:i/>
          <w:sz w:val="19"/>
        </w:rPr>
        <w:t>Nachtrag Stand 20. September 2026</w:t>
      </w:r>
      <w:r>
        <w:rPr>
          <w:rFonts w:ascii="Arial" w:hAnsi="Arial"/>
          <w:b w:val="0"/>
          <w:i w:val="0"/>
          <w:sz w:val="19"/>
        </w:rPr>
        <w:t xml:space="preserve"> (achter Direktabruf; damit siebter aufeinanderfolgender Vierundzwanzig-Stunden-Zeitraum ohne Zugang): abermals sämtliche Kennzahlen unverändert — 377.084 KI-attribuierte Streichungen seit Januar 2023, davon 251.128 im Technologiesektor, 0,5 % der FRED-Gesamtstreichungen, 57 berichtende Unternehmen, jüngster gelisteter Einzelfall weiterhin </w:t>
      </w:r>
      <w:r>
        <w:rPr>
          <w:rFonts w:ascii="Arial" w:hAnsi="Arial"/>
          <w:b w:val="0"/>
          <w:i/>
          <w:sz w:val="19"/>
        </w:rPr>
        <w:t>Uber</w:t>
      </w:r>
      <w:r>
        <w:rPr>
          <w:rFonts w:ascii="Arial" w:hAnsi="Arial"/>
          <w:b w:val="0"/>
          <w:i w:val="0"/>
          <w:sz w:val="19"/>
        </w:rPr>
        <w:t xml:space="preserve"> (September 2026). Zuwachs gegenüber dem Vortag: null. </w:t>
      </w:r>
      <w:r>
        <w:rPr>
          <w:rFonts w:ascii="Arial" w:hAnsi="Arial"/>
          <w:b/>
          <w:i w:val="0"/>
          <w:sz w:val="19"/>
        </w:rPr>
        <w:t>Stand 21. September 2026 (Direktabruf):</w:t>
      </w:r>
      <w:r>
        <w:rPr>
          <w:rFonts w:ascii="Arial" w:hAnsi="Arial"/>
          <w:b w:val="0"/>
          <w:i w:val="0"/>
          <w:sz w:val="19"/>
        </w:rPr>
        <w:t xml:space="preserve"> neunter Tag in Folge unverändert — 377.084 KI-attribuierte Streichungen seit Januar 2023, davon 251.128 im Technologiesektor (rund zwei Drittel des kumulierten Bestands), 0,5 % der FRED-Gesamtstreichungen, 57 berichtende Unternehmen. Eigener Vorbehalt der Seite unverändert mitgeführt: Erfasst werde nur die unmittelbar berichtete Verdrängung, viele Unternehmen legten Künstliche Intelligenz als Grund nicht offen, das tatsächliche Ausmaß liege daher wahrscheinlich erheblich höher. Die Stände vom 13. bis 20. September 2026 bleiben als zeitlich frühere Referenzen vollständig erhalten. https://displaceindex.com/trends/ai-layoffs-tracker/</w:t>
      </w:r>
    </w:p>
    <w:p>
      <w:pPr>
        <w:jc w:val="both"/>
      </w:pPr>
      <w:r>
        <w:rPr>
          <w:rFonts w:ascii="Arial" w:hAnsi="Arial"/>
          <w:b w:val="0"/>
          <w:i w:val="0"/>
          <w:sz w:val="19"/>
        </w:rPr>
        <w:t xml:space="preserve">Job Security Meter. (Stand 18. September 2026; erfasste Ankündigungen bis 13. September 2026). </w:t>
      </w:r>
      <w:r>
        <w:rPr>
          <w:rFonts w:ascii="Arial" w:hAnsi="Arial"/>
          <w:b w:val="0"/>
          <w:i/>
          <w:sz w:val="19"/>
        </w:rPr>
        <w:t>2026 Tech Layoffs: 128.500+ Jobs Lost to AI (Live Tracker).</w:t>
      </w:r>
      <w:r>
        <w:rPr>
          <w:rFonts w:ascii="Arial" w:hAnsi="Arial"/>
          <w:b w:val="0"/>
          <w:i w:val="0"/>
          <w:sz w:val="19"/>
        </w:rPr>
        <w:t xml:space="preserve"> Fünftes im Rahmen der Mehr-Tracker-Gegenprobe (`Suchthemen.md`, Cluster F) erschlossenes Zählwerk, erstmals in diesem Lauf abgerufen. Ausgewiesene Stände: mehr als 128.500 gestrichene Stellen im Technologiesektor des Jahres 2026 bei mehr als 281 Unternehmen; Vergleichswert für das Gesamtjahr 2025 rund 122.600; daneben eine sektorübergreifende US-Größe von mehr als 284.000 von Massenentlassungsanzeigen (WARN notices) erfassten Beschäftigten im Jahr 2026. Zähldefinition, soweit der Seite entnehmbar: Zählung nach Ankündigungsdatum, Schwerpunkt US-Technologiesektor bei vereinzelten internationalen Fällen, Quellen sind die Stellenabbau-Erhebung eines Personalberatungsunternehmens, Massenentlassungsanzeigen, Unternehmensangaben und Sekundärberichterstattung; eine eigene Methodendokumentation ist nicht hinterlegt. </w:t>
      </w:r>
      <w:r>
        <w:rPr>
          <w:rFonts w:ascii="Arial" w:hAnsi="Arial"/>
          <w:b/>
          <w:i w:val="0"/>
          <w:sz w:val="19"/>
        </w:rPr>
        <w:t>Prüfvermerk:</w:t>
      </w:r>
      <w:r>
        <w:rPr>
          <w:rFonts w:ascii="Arial" w:hAnsi="Arial"/>
          <w:b w:val="0"/>
          <w:i w:val="0"/>
          <w:sz w:val="19"/>
        </w:rPr>
        <w:t xml:space="preserve"> Die Überschrift schreibt die 128.500 Stellen ausdrücklich Künstlicher Intelligenz zu, die zugrunde liegende Grundgesamtheit ist jedoch eine Branchensumme des Technologiesektors; die KI-Zuschreibung ist Deutung des Gesamtbefundes und nicht Aufnahmekriterium des Einzelfalls. Die Zahl ist deshalb hier dokumentiert, aber nicht als Verdrängungsgröße weiterverwendet. Aufnahme in § 1.1 als dritte Zwischenstufe der Spreizung (66.861 streng / rund 128.500 Branchensumme / 173.465 bei Selbstbenennung; Verhältnis rund 1 : 1,9 : 2,6) mit Rückwirkung auf § 9.1 und § 9.2. </w:t>
      </w:r>
      <w:r>
        <w:rPr>
          <w:rFonts w:ascii="Arial" w:hAnsi="Arial"/>
          <w:b/>
          <w:i w:val="0"/>
          <w:sz w:val="19"/>
        </w:rPr>
        <w:t>Stand 21. September 2026 (Direktabruf):</w:t>
      </w:r>
      <w:r>
        <w:rPr>
          <w:rFonts w:ascii="Arial" w:hAnsi="Arial"/>
          <w:b w:val="0"/>
          <w:i w:val="0"/>
          <w:sz w:val="19"/>
        </w:rPr>
        <w:t xml:space="preserve"> unverändert auf dem Seitenstand vom 18. September 2026 mit Erfassung bis zum 13. September 2026; in acht Tagen keine Aktualisierung. Damit beruhen zwei der drei zur Spreizung herangezogenen Jahresgrößen auf Erfassungsständen, die mehrere Wochen zurückliegen. https://jobsecuritymeter.com/layoffs</w:t>
      </w:r>
    </w:p>
    <w:p>
      <w:pPr>
        <w:jc w:val="both"/>
      </w:pPr>
      <w:r>
        <w:rPr>
          <w:rFonts w:ascii="Arial" w:hAnsi="Arial"/>
          <w:b w:val="0"/>
          <w:i w:val="0"/>
          <w:sz w:val="19"/>
        </w:rPr>
        <w:t xml:space="preserve">Financial Times / The Irish Times / Business Standard / Cryptonomist / Analytics Insight / Dealroom. (14. September 2026). </w:t>
      </w:r>
      <w:r>
        <w:rPr>
          <w:rFonts w:ascii="Arial" w:hAnsi="Arial"/>
          <w:b w:val="0"/>
          <w:i/>
          <w:sz w:val="19"/>
        </w:rPr>
        <w:t>Anthropic tells investors it will be profitable for second straight quarter.</w:t>
      </w:r>
      <w:r>
        <w:rPr>
          <w:rFonts w:ascii="Arial" w:hAnsi="Arial"/>
          <w:b w:val="0"/>
          <w:i w:val="0"/>
          <w:sz w:val="19"/>
        </w:rPr>
        <w:t xml:space="preserve"> Bericht über eine nicht öffentliche Investorenkommunikation im Vorfeld des Börsengangs von </w:t>
      </w:r>
      <w:r>
        <w:rPr>
          <w:rFonts w:ascii="Arial" w:hAnsi="Arial"/>
          <w:b w:val="0"/>
          <w:i/>
          <w:sz w:val="19"/>
        </w:rPr>
        <w:t>Anthropic PBC</w:t>
      </w:r>
      <w:r>
        <w:rPr>
          <w:rFonts w:ascii="Arial" w:hAnsi="Arial"/>
          <w:b w:val="0"/>
          <w:i w:val="0"/>
          <w:sz w:val="19"/>
        </w:rPr>
        <w:t xml:space="preserve">: Der Prospektentwurf sei nicht wie erwartet veröffentlicht, sondern einem ausgewählten Kreis von Anteilseignern vorab zugänglich gemacht worden, um vor einer breiteren Vorlage Rückmeldungen einzuholen; diesem Kreis sei mitgeteilt worden, das </w:t>
      </w:r>
      <w:r>
        <w:rPr>
          <w:rFonts w:ascii="Arial" w:hAnsi="Arial"/>
          <w:b w:val="0"/>
          <w:i/>
          <w:sz w:val="19"/>
        </w:rPr>
        <w:t>bereinigte Betriebsergebnis</w:t>
      </w:r>
      <w:r>
        <w:rPr>
          <w:rFonts w:ascii="Arial" w:hAnsi="Arial"/>
          <w:b w:val="0"/>
          <w:i w:val="0"/>
          <w:sz w:val="19"/>
        </w:rPr>
        <w:t xml:space="preserve"> („adjusted operating income") werde im zweiten Quartal in Folge positiv ausfallen. Berichtete Kennzahlen: Quartalsumsatz über 11,5 Mrd. US-Dollar (rund das Vierzehnfache des Vorjahresquartals; erstmals berichtet von </w:t>
      </w:r>
      <w:r>
        <w:rPr>
          <w:rFonts w:ascii="Arial" w:hAnsi="Arial"/>
          <w:b w:val="0"/>
          <w:i/>
          <w:sz w:val="19"/>
        </w:rPr>
        <w:t>CNBC</w:t>
      </w:r>
      <w:r>
        <w:rPr>
          <w:rFonts w:ascii="Arial" w:hAnsi="Arial"/>
          <w:b w:val="0"/>
          <w:i w:val="0"/>
          <w:sz w:val="19"/>
        </w:rPr>
        <w:t xml:space="preserve"> am 15. August 2026), annualisierter Umsatz 65 Mrd. US-Dollar Ende Juli 2026 gegenüber 9 Mrd. US-Dollar Ende 2025, Bruttomargen über 80 % — im Wortlaut der Berichterstattung </w:t>
      </w:r>
      <w:r>
        <w:rPr>
          <w:rFonts w:ascii="Arial" w:hAnsi="Arial"/>
          <w:b w:val="0"/>
          <w:i/>
          <w:sz w:val="19"/>
        </w:rPr>
        <w:t>„above 80 per cent before accounting for revenue shared with distribution partners, including Amazon, and the cost of training its models"</w:t>
      </w:r>
      <w:r>
        <w:rPr>
          <w:rFonts w:ascii="Arial" w:hAnsi="Arial"/>
          <w:b w:val="0"/>
          <w:i w:val="0"/>
          <w:sz w:val="19"/>
        </w:rPr>
        <w:t xml:space="preserve">. Ferner genannt: vertrauliche Einreichung eines </w:t>
      </w:r>
      <w:r>
        <w:rPr>
          <w:rFonts w:ascii="Arial" w:hAnsi="Arial"/>
          <w:b w:val="0"/>
          <w:i/>
          <w:sz w:val="19"/>
        </w:rPr>
        <w:t>Draft-S-1</w:t>
      </w:r>
      <w:r>
        <w:rPr>
          <w:rFonts w:ascii="Arial" w:hAnsi="Arial"/>
          <w:b w:val="0"/>
          <w:i w:val="0"/>
          <w:sz w:val="19"/>
        </w:rPr>
        <w:t xml:space="preserve"> bei der </w:t>
      </w:r>
      <w:r>
        <w:rPr>
          <w:rFonts w:ascii="Arial" w:hAnsi="Arial"/>
          <w:b w:val="0"/>
          <w:i/>
          <w:sz w:val="19"/>
        </w:rPr>
        <w:t>Securities and Exchange Commission</w:t>
      </w:r>
      <w:r>
        <w:rPr>
          <w:rFonts w:ascii="Arial" w:hAnsi="Arial"/>
          <w:b w:val="0"/>
          <w:i w:val="0"/>
          <w:sz w:val="19"/>
        </w:rPr>
        <w:t xml:space="preserve"> am 1. Juni 2026, angestrebter Börsenplatz </w:t>
      </w:r>
      <w:r>
        <w:rPr>
          <w:rFonts w:ascii="Arial" w:hAnsi="Arial"/>
          <w:b w:val="0"/>
          <w:i/>
          <w:sz w:val="19"/>
        </w:rPr>
        <w:t>Nasdaq</w:t>
      </w:r>
      <w:r>
        <w:rPr>
          <w:rFonts w:ascii="Arial" w:hAnsi="Arial"/>
          <w:b w:val="0"/>
          <w:i w:val="0"/>
          <w:sz w:val="19"/>
        </w:rPr>
        <w:t xml:space="preserve">, kolportierte Zielbewertung von 2 Billionen US-Dollar und mehr sowie Investorenschätzungen von 120 Mrd. US-Dollar annualisiertem Umsatz zum Jahresende 2026 und rund dem Dreifachen zum Jahresende 2027. Einordnung und Belastbarkeit: journalistische Wiedergabe einer nicht öffentlichen Mitteilung an einen begrenzten Adressatenkreis — kein testierter Abschluss, keine veröffentlichte Registrierungserklärung, keine nach einem Rechnungslegungsstandard normierte Kennzahl; geprüft ist, </w:t>
      </w:r>
      <w:r>
        <w:rPr>
          <w:rFonts w:ascii="Arial" w:hAnsi="Arial"/>
          <w:b w:val="0"/>
          <w:i/>
          <w:sz w:val="19"/>
        </w:rPr>
        <w:t>dass</w:t>
      </w:r>
      <w:r>
        <w:rPr>
          <w:rFonts w:ascii="Arial" w:hAnsi="Arial"/>
          <w:b w:val="0"/>
          <w:i w:val="0"/>
          <w:sz w:val="19"/>
        </w:rPr>
        <w:t xml:space="preserve"> mehrere unabhängige Redaktionen diese Angaben übereinstimmend referieren, nicht deren Richtigkeit. Die Angaben sind deshalb durchgängig im Konjunktiv referiert (§ 4.2 `Claude.md`). URL-Prüfung nach § 2.4.4 `Validierung.md`: Der Direktabruf der </w:t>
      </w:r>
      <w:r>
        <w:rPr>
          <w:rFonts w:ascii="Arial" w:hAnsi="Arial"/>
          <w:b w:val="0"/>
          <w:i/>
          <w:sz w:val="19"/>
        </w:rPr>
        <w:t>Irish-Times</w:t>
      </w:r>
      <w:r>
        <w:rPr>
          <w:rFonts w:ascii="Arial" w:hAnsi="Arial"/>
          <w:b w:val="0"/>
          <w:i w:val="0"/>
          <w:sz w:val="19"/>
        </w:rPr>
        <w:t xml:space="preserve">-Fassung war erfolgreich und liefert den vollständigen Text einschließlich aller hier genannten Kennzahlen; die Abrufe von </w:t>
      </w:r>
      <w:r>
        <w:rPr>
          <w:rFonts w:ascii="Arial" w:hAnsi="Arial"/>
          <w:b w:val="0"/>
          <w:i/>
          <w:sz w:val="19"/>
        </w:rPr>
        <w:t>Business Standard</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wurden serverseitig mit HTTP 403 abgewiesen (Abwehr automatisierter Anfragen), ihre Titel- und Datumsangaben beruhen daher auf der Suchergebnis-Zusammenfassung und sind als Zweit- und Drittbeleg, nicht als tragende Quelle geführt. Aufnahme als Nachtrag zum Block </w:t>
      </w:r>
      <w:r>
        <w:rPr>
          <w:rFonts w:ascii="Arial" w:hAnsi="Arial"/>
          <w:b w:val="0"/>
          <w:i/>
          <w:sz w:val="19"/>
        </w:rPr>
        <w:t>„Anthropic-S-1-Filing und der ‚AI-Backlash' als eigener Risikofaktor"</w:t>
      </w:r>
      <w:r>
        <w:rPr>
          <w:rFonts w:ascii="Arial" w:hAnsi="Arial"/>
          <w:b w:val="0"/>
          <w:i w:val="0"/>
          <w:sz w:val="19"/>
        </w:rPr>
        <w:t xml:space="preserve"> in § 8.3 und als zweiter Beleg der Definitionsabhängigkeit — diesmal auf der Ertragsseite — in § 9.2, mit Rückwirkung auf § 5.1, § 8.5 und § 9.3. https://www.irishtimes.com/business/2026/09/14/anthropic-tells-investors-it-will-be-profitable-for-second-straight-quarter/ — https://www.business-standard.com/technology/tech-news/anthropic-expects-profit-this-quarter-ahead-of-potential-2-trillion-ipo-126091400290_1.html — https://www.cnbc.com/2026/08/15/anthropic-revenue-jumps-to-over-11point5-billion-in-q2-report.html</w:t>
      </w:r>
    </w:p>
    <w:p>
      <w:pPr>
        <w:jc w:val="both"/>
      </w:pPr>
      <w:r>
        <w:rPr>
          <w:rFonts w:ascii="Arial" w:hAnsi="Arial"/>
          <w:b w:val="0"/>
          <w:i w:val="0"/>
          <w:sz w:val="19"/>
        </w:rPr>
        <w:t xml:space="preserve">Irving, D. (Redaktion) / Price, C. C. (17. September 2026). </w:t>
      </w:r>
      <w:r>
        <w:rPr>
          <w:rFonts w:ascii="Arial" w:hAnsi="Arial"/>
          <w:b w:val="0"/>
          <w:i/>
          <w:sz w:val="19"/>
        </w:rPr>
        <w:t>Preserving Jobs and Tax Revenue in the Age of AI: Q&amp;A with Carter Price.</w:t>
      </w:r>
      <w:r>
        <w:rPr>
          <w:rFonts w:ascii="Arial" w:hAnsi="Arial"/>
          <w:b w:val="0"/>
          <w:i w:val="0"/>
          <w:sz w:val="19"/>
        </w:rPr>
        <w:t xml:space="preserve"> RAND Corporation, Commentary, Santa Monica, CA. Interviewfassung zu den in § 11.1 nachgewiesenen RAND-Arbeiten; hier als journalistische Aufbereitung geführt, die inhaltlichen Aussagen sind gegen die Primärquellen (Price &amp; Wenger, August 2026; Price &amp; Suresh, 25. August 2026) geprüft. Über die Primärquellen hinausgehende Angaben dieses Interviews: Grundlage der Vorschriftenanalyse ist das im Rahmen der </w:t>
      </w:r>
      <w:r>
        <w:rPr>
          <w:rFonts w:ascii="Arial" w:hAnsi="Arial"/>
          <w:b w:val="0"/>
          <w:i/>
          <w:sz w:val="19"/>
        </w:rPr>
        <w:t>RAND Von Furstenberg Family Budget Model Initiative</w:t>
      </w:r>
      <w:r>
        <w:rPr>
          <w:rFonts w:ascii="Arial" w:hAnsi="Arial"/>
          <w:b w:val="0"/>
          <w:i w:val="0"/>
          <w:sz w:val="19"/>
        </w:rPr>
        <w:t xml:space="preserve"> entwickelte </w:t>
      </w:r>
      <w:r>
        <w:rPr>
          <w:rFonts w:ascii="Arial" w:hAnsi="Arial"/>
          <w:b w:val="0"/>
          <w:i/>
          <w:sz w:val="19"/>
        </w:rPr>
        <w:t>Tax Code Analysis Tool</w:t>
      </w:r>
      <w:r>
        <w:rPr>
          <w:rFonts w:ascii="Arial" w:hAnsi="Arial"/>
          <w:b w:val="0"/>
          <w:i w:val="0"/>
          <w:sz w:val="19"/>
        </w:rPr>
        <w:t xml:space="preserve">, mit dem der US-Bundessteuerkodex im Umfang von rund 7.000 Seiten vollständig auf beschäftigungsrelevante Einzelvorschriften durchgesehen worden sei; als beschäftigungsfeindlich benannt werden namentlich der Arbeitgeberanteil der Lohnsummensteuer und die vorgezogene Abschreibung langlebiger Wirtschaftsgüter, die den Erwerb eines Robotiksystems nach Formulierung des Interviewten zu einer „direkten Subvention" für die Verdrängung menschlicher Arbeit mache; ferner das Zahlenbeispiel zur Gewinnprogression je Beschäftigten (eine Million US-Dollar Gewinn bei hundert Beschäftigten ergibt 10.000 US-Dollar je Beschäftigten; nach Abbau auf zehn Beschäftigte 100.000 US-Dollar je Beschäftigten und damit eine höhere Tarifstufe bei unverändertem Gewinn) sowie die Feststellung, dass eine Änderung des </w:t>
      </w:r>
      <w:r>
        <w:rPr>
          <w:rFonts w:ascii="Arial" w:hAnsi="Arial"/>
          <w:b w:val="0"/>
          <w:i/>
          <w:sz w:val="19"/>
        </w:rPr>
        <w:t>Internal Revenue Code</w:t>
      </w:r>
      <w:r>
        <w:rPr>
          <w:rFonts w:ascii="Arial" w:hAnsi="Arial"/>
          <w:b w:val="0"/>
          <w:i w:val="0"/>
          <w:sz w:val="19"/>
        </w:rPr>
        <w:t xml:space="preserve"> lediglich ein Bundesgesetz erfordere, eine Mehrwertsteuer dagegen eine neue Erhebungsinfrastruktur und eine Bundesvermögensteuer zusätzlich eine Verfassungsänderung. Aufnahme in § 3.1, § 5.1 und § 9.3. https://www.rand.org/pubs/commentary/2026/09/preserving-jobs-and-tax-revenue-in-the-age-of-ai-qa.html</w:t>
      </w:r>
    </w:p>
    <w:p>
      <w:pPr>
        <w:jc w:val="both"/>
      </w:pPr>
      <w:r>
        <w:rPr>
          <w:rFonts w:ascii="Arial" w:hAnsi="Arial"/>
          <w:b w:val="0"/>
          <w:i w:val="0"/>
          <w:sz w:val="19"/>
        </w:rPr>
        <w:t xml:space="preserve">CNBC / Quartz / Invezz. (18. September 2026). </w:t>
      </w:r>
      <w:r>
        <w:rPr>
          <w:rFonts w:ascii="Arial" w:hAnsi="Arial"/>
          <w:b w:val="0"/>
          <w:i/>
          <w:sz w:val="19"/>
        </w:rPr>
        <w:t>Anthropic and OpenAI hunt for smaller data center deals, sources tell CNBC, in race to deploy AI capacity</w:t>
      </w:r>
      <w:r>
        <w:rPr>
          <w:rFonts w:ascii="Arial" w:hAnsi="Arial"/>
          <w:b w:val="0"/>
          <w:i w:val="0"/>
          <w:sz w:val="19"/>
        </w:rPr>
        <w:t xml:space="preserve"> (CNBC) bzw. </w:t>
      </w:r>
      <w:r>
        <w:rPr>
          <w:rFonts w:ascii="Arial" w:hAnsi="Arial"/>
          <w:b w:val="0"/>
          <w:i/>
          <w:sz w:val="19"/>
        </w:rPr>
        <w:t>Anthropic and OpenAI seek smaller data center deals in Europe</w:t>
      </w:r>
      <w:r>
        <w:rPr>
          <w:rFonts w:ascii="Arial" w:hAnsi="Arial"/>
          <w:b w:val="0"/>
          <w:i w:val="0"/>
          <w:sz w:val="19"/>
        </w:rPr>
        <w:t xml:space="preserve"> (Quartz). Recherche unter Berufung auf ungenannte Quellen; im Fließtext deshalb im Konjunktiv referiert, eine Bestätigung durch die beteiligten Unternehmen liegt zum Stichtag nicht vor. Kernaussagen: Beide Anbieter von Basismodellen suchten neben ihren Vorhaben im Gigawattmaßstab gezielt Rechenzentrumsverträge im Bereich von 20 bis 30 Megawatt; </w:t>
      </w:r>
      <w:r>
        <w:rPr>
          <w:rFonts w:ascii="Arial" w:hAnsi="Arial"/>
          <w:b w:val="0"/>
          <w:i/>
          <w:sz w:val="19"/>
        </w:rPr>
        <w:t>Anthropic</w:t>
      </w:r>
      <w:r>
        <w:rPr>
          <w:rFonts w:ascii="Arial" w:hAnsi="Arial"/>
          <w:b w:val="0"/>
          <w:i w:val="0"/>
          <w:sz w:val="19"/>
        </w:rPr>
        <w:t xml:space="preserve"> sondiere solche Abschlüsse im Vereinigten Königreich und in den nordischen Ländern, </w:t>
      </w:r>
      <w:r>
        <w:rPr>
          <w:rFonts w:ascii="Arial" w:hAnsi="Arial"/>
          <w:b w:val="0"/>
          <w:i/>
          <w:sz w:val="19"/>
        </w:rPr>
        <w:t>OpenAI</w:t>
      </w:r>
      <w:r>
        <w:rPr>
          <w:rFonts w:ascii="Arial" w:hAnsi="Arial"/>
          <w:b w:val="0"/>
          <w:i w:val="0"/>
          <w:sz w:val="19"/>
        </w:rPr>
        <w:t xml:space="preserve"> gleichfalls in Nordeuropa. Technische Begründung: Das Training eines Modells verlange eine enge Kopplung sehr vieler Prozessoren an einem Ort, die Inferenz — der Betrieb des fertigen Modells für Endnutzer — lasse sich dagegen auf mehrere kleinere, räumlich getrennte Rechnerverbünde verteilen; die kleineren Abschlüsse sollten Inferenzkapazität schneller verfügbar machen, als der Aufbau der Großvorhaben es erlaube. Als Vergleichsgrößen genannt: Abkommen von </w:t>
      </w:r>
      <w:r>
        <w:rPr>
          <w:rFonts w:ascii="Arial" w:hAnsi="Arial"/>
          <w:b w:val="0"/>
          <w:i/>
          <w:sz w:val="19"/>
        </w:rPr>
        <w:t>Anthropic</w:t>
      </w:r>
      <w:r>
        <w:rPr>
          <w:rFonts w:ascii="Arial" w:hAnsi="Arial"/>
          <w:b w:val="0"/>
          <w:i w:val="0"/>
          <w:sz w:val="19"/>
        </w:rPr>
        <w:t xml:space="preserve"> mit </w:t>
      </w:r>
      <w:r>
        <w:rPr>
          <w:rFonts w:ascii="Arial" w:hAnsi="Arial"/>
          <w:b w:val="0"/>
          <w:i/>
          <w:sz w:val="19"/>
        </w:rPr>
        <w:t>Nscale</w:t>
      </w:r>
      <w:r>
        <w:rPr>
          <w:rFonts w:ascii="Arial" w:hAnsi="Arial"/>
          <w:b w:val="0"/>
          <w:i w:val="0"/>
          <w:sz w:val="19"/>
        </w:rPr>
        <w:t xml:space="preserve"> über rund 460 Megawatt an einem Standort in West Virginia (Volumen rund 45 Milliarden US-Dollar) sowie Ausbauzusagen von </w:t>
      </w:r>
      <w:r>
        <w:rPr>
          <w:rFonts w:ascii="Arial" w:hAnsi="Arial"/>
          <w:b w:val="0"/>
          <w:i/>
          <w:sz w:val="19"/>
        </w:rPr>
        <w:t>OpenAI</w:t>
      </w:r>
      <w:r>
        <w:rPr>
          <w:rFonts w:ascii="Arial" w:hAnsi="Arial"/>
          <w:b w:val="0"/>
          <w:i w:val="0"/>
          <w:sz w:val="19"/>
        </w:rPr>
        <w:t xml:space="preserve"> über zusätzliche 3 Gigawatt in Georgia und 8 Gigawatt in Ohio nach Überschreiten der ursprünglichen 10-Gigawatt-Zusage des </w:t>
      </w:r>
      <w:r>
        <w:rPr>
          <w:rFonts w:ascii="Arial" w:hAnsi="Arial"/>
          <w:b w:val="0"/>
          <w:i/>
          <w:sz w:val="19"/>
        </w:rPr>
        <w:t>Stargate</w:t>
      </w:r>
      <w:r>
        <w:rPr>
          <w:rFonts w:ascii="Arial" w:hAnsi="Arial"/>
          <w:b w:val="0"/>
          <w:i w:val="0"/>
          <w:sz w:val="19"/>
        </w:rPr>
        <w:t xml:space="preserve">-Vorhabens im April 2026. Aufnahme in § 9.3 als Präzisierung der Arbitrage- und Anknüpfungsfrage (Teilbarkeit der Inferenzschicht), mit Rückwirkung auf § 8.2 (Kapazitätsrückstand nur noch für die Trainings-, nicht für die Betriebsebene) und § 8.3 (Vorrang der wertschöpfungsbezogenen vor der bestands- oder standortbezogenen Zugriffslogik). </w:t>
      </w:r>
      <w:r>
        <w:rPr>
          <w:rFonts w:ascii="Arial" w:hAnsi="Arial"/>
          <w:b/>
          <w:i w:val="0"/>
          <w:sz w:val="19"/>
        </w:rPr>
        <w:t>Prüfvermerk nach § 2.4.4 `Validierung.md`:</w:t>
      </w:r>
      <w:r>
        <w:rPr>
          <w:rFonts w:ascii="Arial" w:hAnsi="Arial"/>
          <w:b w:val="0"/>
          <w:i w:val="0"/>
          <w:sz w:val="19"/>
        </w:rPr>
        <w:t xml:space="preserve"> Ein Direktabruf der drei genannten Fassungen ist am 19. September 2026 an einer Zugriffssperre der jeweiligen Anbieter gescheitert (HTTP-Statuscode 403, kein 404 — die Adressen bestehen, die Auslieferung an automatisierte Abrufe wird verweigert). Die oben referierten Angaben beruhen deshalb </w:t>
      </w:r>
      <w:r>
        <w:rPr>
          <w:rFonts w:ascii="Arial" w:hAnsi="Arial"/>
          <w:b w:val="0"/>
          <w:i/>
          <w:sz w:val="19"/>
        </w:rPr>
        <w:t>nicht</w:t>
      </w:r>
      <w:r>
        <w:rPr>
          <w:rFonts w:ascii="Arial" w:hAnsi="Arial"/>
          <w:b w:val="0"/>
          <w:i w:val="0"/>
          <w:sz w:val="19"/>
        </w:rPr>
        <w:t xml:space="preserve"> auf einer Volltextlesung, sondern auf den übereinstimmenden Inhaltszusammenfassungen dreier unabhängig voneinander erreichter Fundstellen zu denselben Kennzahlen (20 bis 30 Megawatt, Vereinigtes Königreich und Nordeuropa, Trainings-gegen-Inferenz-Begründung, </w:t>
      </w:r>
      <w:r>
        <w:rPr>
          <w:rFonts w:ascii="Arial" w:hAnsi="Arial"/>
          <w:b w:val="0"/>
          <w:i/>
          <w:sz w:val="19"/>
        </w:rPr>
        <w:t>Nscale</w:t>
      </w:r>
      <w:r>
        <w:rPr>
          <w:rFonts w:ascii="Arial" w:hAnsi="Arial"/>
          <w:b w:val="0"/>
          <w:i w:val="0"/>
          <w:sz w:val="19"/>
        </w:rPr>
        <w:t xml:space="preserve"> 460 Megawatt, </w:t>
      </w:r>
      <w:r>
        <w:rPr>
          <w:rFonts w:ascii="Arial" w:hAnsi="Arial"/>
          <w:b w:val="0"/>
          <w:i/>
          <w:sz w:val="19"/>
        </w:rPr>
        <w:t>OpenAI</w:t>
      </w:r>
      <w:r>
        <w:rPr>
          <w:rFonts w:ascii="Arial" w:hAnsi="Arial"/>
          <w:b w:val="0"/>
          <w:i w:val="0"/>
          <w:sz w:val="19"/>
        </w:rPr>
        <w:t xml:space="preserve"> 3 und 8 Gigawatt). Der Befund ist damit belastbar genug für die in § 9.3 gezogene </w:t>
      </w:r>
      <w:r>
        <w:rPr>
          <w:rFonts w:ascii="Arial" w:hAnsi="Arial"/>
          <w:b w:val="0"/>
          <w:i/>
          <w:sz w:val="19"/>
        </w:rPr>
        <w:t>qualitative</w:t>
      </w:r>
      <w:r>
        <w:rPr>
          <w:rFonts w:ascii="Arial" w:hAnsi="Arial"/>
          <w:b w:val="0"/>
          <w:i w:val="0"/>
          <w:sz w:val="19"/>
        </w:rPr>
        <w:t xml:space="preserve"> Folgerung zur Teilbarkeit der Inferenzschicht, aber nicht für eine Weiterverwendung der Megawattzahlen als eigenständige Kennzahl; eine Volltextprüfung ist für einen Folgelauf vorgemerkt. https://www.cnbc.com/2026/09/18/anthropic-openai-small-ai-data-center-deals.html | https://qz.com/anthropic-openai-smaller-data-center-deals-uk-nordics-091826 | https://invezz.com/en-ae/news/2026/09/18/anthropic-openai-quietly-chase-smaller-ai-data-centre-deals-report/</w:t>
      </w:r>
    </w:p>
    <w:p>
      <w:pPr>
        <w:jc w:val="both"/>
      </w:pPr>
      <w:r>
        <w:rPr>
          <w:rFonts w:ascii="Arial" w:hAnsi="Arial"/>
          <w:b w:val="0"/>
          <w:i w:val="0"/>
          <w:sz w:val="19"/>
        </w:rPr>
        <w:t xml:space="preserve">Reuters. (19./20. September 2026). </w:t>
      </w:r>
      <w:r>
        <w:rPr>
          <w:rFonts w:ascii="Arial" w:hAnsi="Arial"/>
          <w:b w:val="0"/>
          <w:i/>
          <w:sz w:val="19"/>
        </w:rPr>
        <w:t>IMF tells EU ministers AI could boost growth but increase economic strains.</w:t>
      </w:r>
      <w:r>
        <w:rPr>
          <w:rFonts w:ascii="Arial" w:hAnsi="Arial"/>
          <w:b w:val="0"/>
          <w:i w:val="0"/>
          <w:sz w:val="19"/>
        </w:rPr>
        <w:t xml:space="preserve"> Agenturbericht über das nicht veröffentlichte Hintergrundpapier des Internationalen Währungsfonds für den informellen Rat der Wirtschafts- und Finanzminister der Europäischen Union in Dublin (18./19. September 2026). Referierte Kernaussagen: Anhebung der europäischen Produktivität um rund ein Prozent über fünf Jahre bei gleichzeitigem Risiko wachsender Ungleichheit, belasteter Stromnetze und zunehmender Abhängigkeit von ausländischer Technologie, sofern die wirtschaftliche Integration nicht vertieft werde; ungleiche Verteilung von Nutzen und Kosten über Länder, Regionen und Beschäftigte; rund 60 Prozent der Beschäftigten in den fortgeschrittenen europäischen Volkswirtschaften in Berufen mit hoher KI-Exposition; rund drei Prozent des europäischen Stromverbrauchs bereits durch Rechenzentren, mit besonderer Belastung von Frankfurt, London, Amsterdam, Paris und Dublin; Empfehlung der Binnenmarkt-Vollendung, grenzüberschreitender Netzinfrastruktur und tieferer Integration des Energiemarktes; Warnung vor einer weiteren strategischen Abhängigkeit, weil die Vereinigten Staaten und die Volksrepublik China die Modellentwicklung beherrschten. </w:t>
      </w:r>
      <w:r>
        <w:rPr>
          <w:rFonts w:ascii="Arial" w:hAnsi="Arial"/>
          <w:b w:val="0"/>
          <w:i/>
          <w:sz w:val="19"/>
        </w:rPr>
        <w:t>Prüfvermerk nach § 2.4.4 `Validierung.md`:</w:t>
      </w:r>
      <w:r>
        <w:rPr>
          <w:rFonts w:ascii="Arial" w:hAnsi="Arial"/>
          <w:b w:val="0"/>
          <w:i w:val="0"/>
          <w:sz w:val="19"/>
        </w:rPr>
        <w:t xml:space="preserve"> Die Agenturmeldung ist hier ausnahmsweise inhaltstragend, weil das Hintergrundpapier selbst nicht veröffentlicht ist; die Veranstaltungsseite der irischen Ratspräsidentschaft belegt nur Datum, Ort und Sitzungstitel (§ 11.3). Der Produktivitätswert ist gegen IMF Working Paper WP/25/67 abgeglichen (§ 11.1). Der Erstabdruck von reuters.com war nicht abrufbar; als gleichlautende Übernahmen der Agenturmeldung herangezogen: Business Recorder (20. September 2026) und Free Malaysia Today (19. September 2026). Eingearbeitet als </w:t>
      </w:r>
      <w:r>
        <w:rPr>
          <w:rFonts w:ascii="Arial" w:hAnsi="Arial"/>
          <w:b w:val="0"/>
          <w:i/>
          <w:sz w:val="19"/>
        </w:rPr>
        <w:t>Zwölfte Fortschreibung</w:t>
      </w:r>
      <w:r>
        <w:rPr>
          <w:rFonts w:ascii="Arial" w:hAnsi="Arial"/>
          <w:b w:val="0"/>
          <w:i w:val="0"/>
          <w:sz w:val="19"/>
        </w:rPr>
        <w:t xml:space="preserve"> in § 8.2. https://www.brecorder.com/news/40440341/imf-tells-eu-ministers-ai-could-boost-growth-but-increase-economic-strains | https://www.freemalaysiatoday.com/category/business/2026/09/19/imf-tells-eu-ministers-ai-could-boost-growth-but-increase-economic-strains</w:t>
      </w:r>
    </w:p>
    <w:p>
      <w:pPr>
        <w:jc w:val="both"/>
      </w:pPr>
      <w:r>
        <w:rPr>
          <w:rFonts w:ascii="Arial" w:hAnsi="Arial"/>
          <w:b w:val="0"/>
          <w:i w:val="0"/>
          <w:sz w:val="19"/>
        </w:rPr>
        <w:t xml:space="preserve">SkillSyncer. (Stand 22. September 2026). </w:t>
      </w:r>
      <w:r>
        <w:rPr>
          <w:rFonts w:ascii="Arial" w:hAnsi="Arial"/>
          <w:b w:val="0"/>
          <w:i/>
          <w:sz w:val="19"/>
        </w:rPr>
        <w:t>2026 Tech Layoffs Tracker — 519 Events, 225.122 Workers, 213 AI-attributed (41 %).</w:t>
      </w:r>
      <w:r>
        <w:rPr>
          <w:rFonts w:ascii="Arial" w:hAnsi="Arial"/>
          <w:b w:val="0"/>
          <w:i w:val="0"/>
          <w:sz w:val="19"/>
        </w:rPr>
        <w:t xml:space="preserve"> Fortschreibung der seit dem 13. September 2026 geführten Mehr-Tracker-Gegenprobe (`Suchthemen.md`, Cluster F). Der am 21. September 2026 nachgewiesene Erfassungsstillstand ist an diesem Tag aufgelöst worden — und zwar nicht allein für den zuvor leeren September, sondern rückwirkend für jeden Monat des Jahres: 519 Ereignisse mit 225.122 Betroffenen (Vortag 383 und 210.741), davon 213 KI-attribuierte Ereignisse mit 179.542 Betroffenen (Vortag 188 und 173.465). Monatsgliederung neu: Januar 29.442 (59 Ereignisse), Februar 22.222 (68), März 84.274 (66), April 20.733 (48), Mai 30.900 (76), Juni 13.464 (71), Juli 10.793 (50), August 4.561 (58), September 8.733 (23); gegenüber dem Vortag steigen acht Monatswerte und sinkt einer (Februar um 106). Summenproben: Betroffene und Ereignisse summieren sich exakt auf die ausgewiesenen Jahreswerte; die angezeigte Tagesrate von rund 850 Stellen ist nachgerechnet (225.122 / 265 Tage = 849,5). Jüngstes gelistetes Einzelereignis ist </w:t>
      </w:r>
      <w:r>
        <w:rPr>
          <w:rFonts w:ascii="Arial" w:hAnsi="Arial"/>
          <w:b w:val="0"/>
          <w:i/>
          <w:sz w:val="19"/>
        </w:rPr>
        <w:t>KO_OP</w:t>
      </w:r>
      <w:r>
        <w:rPr>
          <w:rFonts w:ascii="Arial" w:hAnsi="Arial"/>
          <w:b w:val="0"/>
          <w:i w:val="0"/>
          <w:sz w:val="19"/>
        </w:rPr>
        <w:t xml:space="preserve"> vom 14. September 2026 mit 13 Betroffenen; der Erfassungsrückstand sinkt damit von einundzwanzig auf acht Tage und ist verkürzt, nicht beseitigt.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22. September 2026). </w:t>
      </w:r>
      <w:r>
        <w:rPr>
          <w:rFonts w:ascii="Arial" w:hAnsi="Arial"/>
          <w:b w:val="0"/>
          <w:i/>
          <w:sz w:val="19"/>
        </w:rPr>
        <w:t>AI Layoff Tracker — Live Data on Jobs Lost to AI &amp; Automation.</w:t>
      </w:r>
      <w:r>
        <w:rPr>
          <w:rFonts w:ascii="Arial" w:hAnsi="Arial"/>
          <w:b w:val="0"/>
          <w:i w:val="0"/>
          <w:sz w:val="19"/>
        </w:rPr>
        <w:t xml:space="preserve"> Fortschreibung. Belegte Streichungen 2026: 644.228 (Vortag 629.474), davon 600.125 bereits wirksam und 44.103 mit künftigem Wirksamkeitsdatum; lediglich angekündigte Streichungen 475.951 (Vortag 483.564); zusammengefasster Stand 1.120.179. Sämtliche Summen- und Veränderungsproben gehen auf. Die gegenläufige Bewegung der beiden Zählstufen (+14.754 belegt, −7.613 angekündigt, per Saldo +7.141) legt Umbuchungen zwischen den Stufen nahe; das Zählwerk weist Zugang und Umbuchung nicht getrennt aus, weshalb der Anteil offenbleibt. Die vier KI-Kennzahlen bleiben den vierten Tag in Folge unverändert (streng 66.861, angekündigt 47.883, zusammengefasst 114.744, weit gefasst 123.459). Allzeitbestand: 41.127 Unternehmen (Vortag 39.587) und 68.332 Einträge (Vortag 65.691) bei nur zehn zusätzlichen Unternehmen der Jahresansicht (3.157 bei 3.407 Einträgen) — auch hier eine Nachtragung außerhalb des laufenden Jahres. Gebietsangabe der US-Bundesstaaten: 46 zuzüglich District of Columbia (Vortag 49). </w:t>
      </w:r>
      <w:r>
        <w:rPr>
          <w:rFonts w:ascii="Arial" w:hAnsi="Arial"/>
          <w:b/>
          <w:i w:val="0"/>
          <w:sz w:val="19"/>
        </w:rPr>
        <w:t>Prüfvermerk:</w:t>
      </w:r>
      <w:r>
        <w:rPr>
          <w:rFonts w:ascii="Arial" w:hAnsi="Arial"/>
          <w:b w:val="0"/>
          <w:i w:val="0"/>
          <w:sz w:val="19"/>
        </w:rPr>
        <w:t xml:space="preserve"> Die Länderzahl des Allzeitbestands ist bei zwei Abrufen derselben Seite in derselben Sitzung mit 80 und mit 81 zurückgekommen und wird deshalb nicht als Kennzahl geführt. https://asktherecruiter.com/blog/ai-layoff-tracker/</w:t>
      </w:r>
    </w:p>
    <w:p>
      <w:pPr>
        <w:jc w:val="both"/>
      </w:pPr>
      <w:r>
        <w:rPr>
          <w:rFonts w:ascii="Arial" w:hAnsi="Arial"/>
          <w:b w:val="0"/>
          <w:i w:val="0"/>
          <w:sz w:val="19"/>
        </w:rPr>
        <w:t xml:space="preserve">DisplaceIndex. (Stand 22.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Zehnter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https://displaceindex.com/trends/ai-layoffs-tracker/</w:t>
      </w:r>
    </w:p>
    <w:p>
      <w:pPr>
        <w:jc w:val="both"/>
      </w:pPr>
      <w:r>
        <w:rPr>
          <w:rFonts w:ascii="Arial" w:hAnsi="Arial"/>
          <w:b w:val="0"/>
          <w:i w:val="0"/>
          <w:sz w:val="19"/>
        </w:rPr>
        <w:t xml:space="preserve">Job Security Meter. (Stand 22.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Zählwerk hat damit seit dem letzten erfassten Ereignis neun Tage lang keine Aktualisierung erfahren. https://jobsecuritymeter.com/layoffs</w:t>
      </w:r>
    </w:p>
    <w:p>
      <w:pPr>
        <w:jc w:val="both"/>
      </w:pPr>
      <w:r>
        <w:rPr>
          <w:rFonts w:ascii="Arial" w:hAnsi="Arial"/>
          <w:b w:val="0"/>
          <w:i w:val="0"/>
          <w:sz w:val="19"/>
        </w:rPr>
        <w:t xml:space="preserve">Reuters / Sterling, T. (21. September 2026, Amsterdam). </w:t>
      </w:r>
      <w:r>
        <w:rPr>
          <w:rFonts w:ascii="Arial" w:hAnsi="Arial"/>
          <w:b w:val="0"/>
          <w:i/>
          <w:sz w:val="19"/>
        </w:rPr>
        <w:t>Humanoid robot sales tally hit 7,000 globally last year.</w:t>
      </w:r>
      <w:r>
        <w:rPr>
          <w:rFonts w:ascii="Arial" w:hAnsi="Arial"/>
          <w:b w:val="0"/>
          <w:i w:val="0"/>
          <w:sz w:val="19"/>
        </w:rPr>
        <w:t xml:space="preserve"> Agenturbericht mit den Vorabzahlen der </w:t>
      </w:r>
      <w:r>
        <w:rPr>
          <w:rFonts w:ascii="Arial" w:hAnsi="Arial"/>
          <w:b w:val="0"/>
          <w:i/>
          <w:sz w:val="19"/>
        </w:rPr>
        <w:t>International Federation of Robotics</w:t>
      </w:r>
      <w:r>
        <w:rPr>
          <w:rFonts w:ascii="Arial" w:hAnsi="Arial"/>
          <w:b w:val="0"/>
          <w:i w:val="0"/>
          <w:sz w:val="19"/>
        </w:rPr>
        <w:t xml:space="preserve"> zum Bericht </w:t>
      </w:r>
      <w:r>
        <w:rPr>
          <w:rFonts w:ascii="Arial" w:hAnsi="Arial"/>
          <w:b w:val="0"/>
          <w:i/>
          <w:sz w:val="19"/>
        </w:rPr>
        <w:t>World Robotics 2026</w:t>
      </w:r>
      <w:r>
        <w:rPr>
          <w:rFonts w:ascii="Arial" w:hAnsi="Arial"/>
          <w:b w:val="0"/>
          <w:i w:val="0"/>
          <w:sz w:val="19"/>
        </w:rPr>
        <w:t xml:space="preserve"> (Veröffentlichung angekündigt für den 24. September 2026): rund 7.000 im Jahr 2025 weltweit verkaufte humanoide Roboter für industrielle und professionelle Dienstleistungen; Vergleichsgrößen für 2024: 542.000 installierte Industrieroboter und 199.000 verkaufte Serviceroboter. Aufnahmekriterium der IFR: menschenähnliches Erscheinungsbild und autonomer Betrieb in einer für Menschen gestalteten Umgebung, Beine nicht erforderlich; ausgenommen Verbraucher- und Militärgeräte, Medizinrobotik gesondert geführt. Susanne Bieller (Generalsekretärin der IFR) ordnet die Größe als „a fraction" des Gesamtbestands ein; viele der 2025 ausgelieferten Einheiten hätten keine produktive Arbeit verrichtet, sondern seien von Forschungseinrichtungen oder Unternehmen zur Entwicklung von KI-Modellen beschafft worden. Ferner referiert: Prognose von Bank of America Global Research über 90.000 ausgelieferte humanoide Roboter im Jahr 2026 und 1,2 Millionen bis 2030 — als Prognose gekennzeichnet und nicht mit der Erhebung vermengt. </w:t>
      </w:r>
      <w:r>
        <w:rPr>
          <w:rFonts w:ascii="Arial" w:hAnsi="Arial"/>
          <w:b w:val="0"/>
          <w:i/>
          <w:sz w:val="19"/>
        </w:rPr>
        <w:t>Prüfvermerk:</w:t>
      </w:r>
      <w:r>
        <w:rPr>
          <w:rFonts w:ascii="Arial" w:hAnsi="Arial"/>
          <w:b w:val="0"/>
          <w:i w:val="0"/>
          <w:sz w:val="19"/>
        </w:rPr>
        <w:t xml:space="preserve"> Der Erstabdruck von reuters.com war nicht abrufbar; herangezogen ist eine gleichlautende Übernahme der Agenturmeldung mit Nennung von Agentur, Autor und Ort. Eingearbeitet in § 2.2. https://www.933thedrive.com/2026/09/21/humanoid-robot-sales-tally-hit-7000-globally-last-year/</w:t>
      </w:r>
    </w:p>
    <w:p>
      <w:pPr>
        <w:jc w:val="both"/>
      </w:pPr>
      <w:r>
        <w:rPr>
          <w:rFonts w:ascii="Arial" w:hAnsi="Arial"/>
          <w:b w:val="0"/>
          <w:i w:val="0"/>
          <w:sz w:val="19"/>
        </w:rPr>
        <w:t xml:space="preserve">Crimi, A. (18. September 2026). </w:t>
      </w:r>
      <w:r>
        <w:rPr>
          <w:rFonts w:ascii="Arial" w:hAnsi="Arial"/>
          <w:b w:val="0"/>
          <w:i/>
          <w:sz w:val="19"/>
        </w:rPr>
        <w:t>The case for a robot tax to redistribute AI wealth.</w:t>
      </w:r>
      <w:r>
        <w:rPr>
          <w:rFonts w:ascii="Arial" w:hAnsi="Arial"/>
          <w:b w:val="0"/>
          <w:i w:val="0"/>
          <w:sz w:val="19"/>
        </w:rPr>
        <w:t xml:space="preserve"> Rest of World. https://restofworld.org/2026/robot-tax-ai-wealth-redistribution/ (Direktabruf 23. September 2026). Meinungsbeitrag eines Hochschullehrers der AGH-Universität Krakau. Für dieses Papier allein wegen der Sachangabe zur südkoreanischen Reform von 2017 herangezogen: Der Beitrag gibt die Kürzung der Abzüge für Automatisierungsinvestitionen größenabhängig gestaffelt wieder (Großunternehmen von 3 % auf 1 %, mittlere Unternehmen von 5 % auf 3 %, kleine Unternehmen unverändert 7 %) und bezeichnet die Maßnahme als Rücknahme einer Subvention und nicht als Sanktion. Die Angabe ist über den Politik-Atlas des </w:t>
      </w:r>
      <w:r>
        <w:rPr>
          <w:rFonts w:ascii="Arial" w:hAnsi="Arial"/>
          <w:b w:val="0"/>
          <w:i/>
          <w:sz w:val="19"/>
        </w:rPr>
        <w:t>Windfall Trust</w:t>
      </w:r>
      <w:r>
        <w:rPr>
          <w:rFonts w:ascii="Arial" w:hAnsi="Arial"/>
          <w:b w:val="0"/>
          <w:i w:val="0"/>
          <w:sz w:val="19"/>
        </w:rPr>
        <w:t xml:space="preserve"> (§ 11.3) gegengeprüft worden; die wertenden Teile des Beitrags — die Forderung nach Besteuerung und sozialen Sicherungsnetzen anstelle bloßer Umschulung — sind nicht übernommen worden. Ausgewertet in § 6.1.</w:t>
      </w:r>
    </w:p>
    <w:p>
      <w:pPr>
        <w:jc w:val="both"/>
      </w:pPr>
      <w:r>
        <w:rPr>
          <w:rFonts w:ascii="Arial" w:hAnsi="Arial"/>
          <w:b w:val="0"/>
          <w:i w:val="0"/>
          <w:sz w:val="19"/>
        </w:rPr>
        <w:t xml:space="preserve">Layoffs.fyi (Lee, R.). (Direktabruf 23. September 2026). </w:t>
      </w:r>
      <w:r>
        <w:rPr>
          <w:rFonts w:ascii="Arial" w:hAnsi="Arial"/>
          <w:b w:val="0"/>
          <w:i/>
          <w:sz w:val="19"/>
        </w:rPr>
        <w:t>AI Layoffs Tracker.</w:t>
      </w:r>
      <w:r>
        <w:rPr>
          <w:rFonts w:ascii="Arial" w:hAnsi="Arial"/>
          <w:b w:val="0"/>
          <w:i w:val="0"/>
          <w:sz w:val="19"/>
        </w:rPr>
        <w:t xml:space="preserve"> https://layoffs.fyi/ai-layoffs/. Sechstes Zählwerk der Mehr-Tracker-Gegenprobe (`Suchthemen.md`, Cluster F), bei diesem Lauf erstmals erschlossen. </w:t>
      </w:r>
      <w:r>
        <w:rPr>
          <w:rFonts w:ascii="Arial" w:hAnsi="Arial"/>
          <w:b/>
          <w:i w:val="0"/>
          <w:sz w:val="19"/>
        </w:rPr>
        <w:t>Prüfvermerk nach § 2.4.4 `Validierung.md`:</w:t>
      </w:r>
      <w:r>
        <w:rPr>
          <w:rFonts w:ascii="Arial" w:hAnsi="Arial"/>
          <w:b w:val="0"/>
          <w:i w:val="0"/>
          <w:sz w:val="19"/>
        </w:rPr>
        <w:t xml:space="preserve"> Die Kennzahlen sind maschinell nicht zu erheben — die Seite lädt sie erst im Browser nach und liefert im Direktabruf an ihrer Stelle den Text </w:t>
      </w:r>
      <w:r>
        <w:rPr>
          <w:rFonts w:ascii="Arial" w:hAnsi="Arial"/>
          <w:b w:val="0"/>
          <w:i/>
          <w:sz w:val="19"/>
        </w:rPr>
        <w:t>„Loading…"</w:t>
      </w:r>
      <w:r>
        <w:rPr>
          <w:rFonts w:ascii="Arial" w:hAnsi="Arial"/>
          <w:b w:val="0"/>
          <w:i w:val="0"/>
          <w:sz w:val="19"/>
        </w:rPr>
        <w:t xml:space="preserve">; im Quelltext sind keine Zahlenwerte und keine offene Datenschnittstelle enthalten. Erhebbar und hier allein ausgewertet ist die Zähldefinition, die im Wortlaut lautet: </w:t>
      </w:r>
      <w:r>
        <w:rPr>
          <w:rFonts w:ascii="Arial" w:hAnsi="Arial"/>
          <w:b w:val="0"/>
          <w:i/>
          <w:sz w:val="19"/>
        </w:rPr>
        <w:t>„All layoffs that the company or press attributed to AI — to fund AI investment, replace humans with AI, or respond to AI-driven market disruption."</w:t>
      </w:r>
      <w:r>
        <w:rPr>
          <w:rFonts w:ascii="Arial" w:hAnsi="Arial"/>
          <w:b w:val="0"/>
          <w:i w:val="0"/>
          <w:sz w:val="19"/>
        </w:rPr>
        <w:t xml:space="preserve"> Sie führt damit drei kausal verschiedene Sachverhalte — Finanzierung von KI-Investitionen, Ersatz von Menschen durch KI, Reaktion auf eine KI-bedingt veränderte Marktlage — in einer Kennzahl zusammen und lässt neben der Zuschreibung durch das Unternehmen auch die durch die Presse genügen. Ausgewertet in § 1.1 und § 9.2. Die Beschaffung der Kennzahlen bleibt für einen Folgelauf vorgemerkt.</w:t>
      </w:r>
    </w:p>
    <w:p>
      <w:pPr>
        <w:jc w:val="both"/>
      </w:pPr>
      <w:r>
        <w:rPr>
          <w:rFonts w:ascii="Arial" w:hAnsi="Arial"/>
          <w:b w:val="0"/>
          <w:i w:val="0"/>
          <w:sz w:val="19"/>
        </w:rPr>
        <w:t xml:space="preserve">SkillSyncer. (Stand 23. September 2026). </w:t>
      </w:r>
      <w:r>
        <w:rPr>
          <w:rFonts w:ascii="Arial" w:hAnsi="Arial"/>
          <w:b w:val="0"/>
          <w:i/>
          <w:sz w:val="19"/>
        </w:rPr>
        <w:t>2026 Tech Layoffs Tracker.</w:t>
      </w:r>
      <w:r>
        <w:rPr>
          <w:rFonts w:ascii="Arial" w:hAnsi="Arial"/>
          <w:b w:val="0"/>
          <w:i w:val="0"/>
          <w:sz w:val="19"/>
        </w:rPr>
        <w:t xml:space="preserve"> Fortschreibung: in allen Sachgrößen unverändert gegenüber dem Vortag — 519 Ereignisse, 225.122 Betroffene, 658 Betroffene je Ereignis, 32 Betriebsschließungen; KI- oder Automatisierungsbezug unverändert bei 213 der 519 Ereignisse (41 %) mit 179.542 Betroffenen; größte Einzelstreichung des Jahres unverändert </w:t>
      </w:r>
      <w:r>
        <w:rPr>
          <w:rFonts w:ascii="Arial" w:hAnsi="Arial"/>
          <w:b w:val="0"/>
          <w:i/>
          <w:sz w:val="19"/>
        </w:rPr>
        <w:t>Oracle</w:t>
      </w:r>
      <w:r>
        <w:rPr>
          <w:rFonts w:ascii="Arial" w:hAnsi="Arial"/>
          <w:b w:val="0"/>
          <w:i w:val="0"/>
          <w:sz w:val="19"/>
        </w:rPr>
        <w:t xml:space="preserve"> mit 30.000 Beschäftigten vom 31. März 2026. Monatsgliederung unverändert: Januar 29.442 (59 Ereignisse), Februar 22.222 (68), März 84.274 (66), April 20.733 (48), Mai 30.900 (76), Juni 13.464 (71), Juli 10.793 (50), August 4.561 (58), September 8.733 (23). Summenproben: 225.122 und 519, beide gehen exakt auf. Die angezeigte Tagesrate sinkt von rund 850 auf 846 Stellen; das ist ein reiner Nennereffekt und keine Sachverhaltsänderung (225.122 geteilt durch 266 Tage ergibt 846,3 gegenüber 849,5 bei 265 Tagen). Der am Vortag auf acht Tage verkürzte Erfassungsrückstand wächst damit auf neun Tage.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23. September 2026). </w:t>
      </w:r>
      <w:r>
        <w:rPr>
          <w:rFonts w:ascii="Arial" w:hAnsi="Arial"/>
          <w:b w:val="0"/>
          <w:i/>
          <w:sz w:val="19"/>
        </w:rPr>
        <w:t>AI Layoff Tracker — Live Data on Jobs Lost to AI &amp; Automation.</w:t>
      </w:r>
      <w:r>
        <w:rPr>
          <w:rFonts w:ascii="Arial" w:hAnsi="Arial"/>
          <w:b w:val="0"/>
          <w:i w:val="0"/>
          <w:sz w:val="19"/>
        </w:rPr>
        <w:t xml:space="preserve"> Fortschreibung: erstmals eine gleichgerichtete Abwärtsbewegung beider Zählstufen — 641.829 belegte Streichungen für 2026 (Vortag 644.228; −2.399), davon 597.526 bereits wirksam und 44.303 mit künftigem Wirksamkeitsdatum (Summenprobe geht auf), 469.791 lediglich angekündigte Streichungen (Vortag 475.951; −6.160) und ein zusammengefasster Stand von 1.111.620 (Vortag 1.120.179; Summen- und Rechenprobe gehen auf). Die vier KI-Kennzahlen bleiben den fünften Tag in Folge unverändert (streng 66.861, angekündigt 47.883, zusammengefasst 114.744, weit gefasst 123.459). Gegenläufig dazu die Mengengrößen: Jahresansicht 3.169 meldende Unternehmen (Vortag 3.157) bei 3.416 Einträgen (Vortag 3.407), Allzeitbestand 41.141 Unternehmen (Vortag 41.127) und 68.340 Einträge (Vortag 68.332). </w:t>
      </w:r>
      <w:r>
        <w:rPr>
          <w:rFonts w:ascii="Arial" w:hAnsi="Arial"/>
          <w:b/>
          <w:i w:val="0"/>
          <w:sz w:val="19"/>
        </w:rPr>
        <w:t>Prüfvermerk nach § 2.4.4 `Validierung.md` — vier Widersprüche innerhalb eines Abrufs:</w:t>
      </w:r>
      <w:r>
        <w:rPr>
          <w:rFonts w:ascii="Arial" w:hAnsi="Arial"/>
          <w:b w:val="0"/>
          <w:i w:val="0"/>
          <w:sz w:val="19"/>
        </w:rPr>
        <w:t xml:space="preserve"> Die Übersichtstafel derselben Seite weist für den Jahreslauf 2026 613.328 Betroffene aus, die Kopfzeile 641.829 (Differenz 28.501 oder 4,4 %), obwohl die Tafel im eigenen Wortlaut dieselbe Zählweise beansprucht (</w:t>
      </w:r>
      <w:r>
        <w:rPr>
          <w:rFonts w:ascii="Arial" w:hAnsi="Arial"/>
          <w:b w:val="0"/>
          <w:i/>
          <w:sz w:val="19"/>
        </w:rPr>
        <w:t>„Every row counts verified entries by filing date, the same basis as the headline figure above"</w:t>
      </w:r>
      <w:r>
        <w:rPr>
          <w:rFonts w:ascii="Arial" w:hAnsi="Arial"/>
          <w:b w:val="0"/>
          <w:i w:val="0"/>
          <w:sz w:val="19"/>
        </w:rPr>
        <w:t xml:space="preserve">); die weit gefasste KI-Kennzahl erscheint auf der Tafel mit 66.861 und in der Kachel mit 123.459 (Faktor 1,85), obwohl die Kachel erläutert, die engere Zahl liege in der weiteren; die Länderzahl des Allzeitbestands wird in der Kopfzeile mit 83 und in der Abdeckungszeile mit 82 angegeben; die Zahl der erfassten US-Bundesstaaten in der Abdeckungszeile mit 46 zuzüglich District of Columbia und in der Filterkachel mit 49. Weitere Angaben der Übersichtstafel (belegte Zählweise nach Meldedatum): September 2026 106.672 Betroffene bei 208 Streichungen und 3.608 ausdrücklich der Künstlichen Intelligenz zugeschriebenen Streichungen, August 2026 83.106 / 399 / 12.300, zweites Quartal 2026 199.511 / 1.260 / 33.250, laufende Woche 22.412 / 34 / 8, Stichtag selbst 0 / 0 / 0; größter Eintrag des Jahres </w:t>
      </w:r>
      <w:r>
        <w:rPr>
          <w:rFonts w:ascii="Arial" w:hAnsi="Arial"/>
          <w:b w:val="0"/>
          <w:i/>
          <w:sz w:val="19"/>
        </w:rPr>
        <w:t>Volkswagen</w:t>
      </w:r>
      <w:r>
        <w:rPr>
          <w:rFonts w:ascii="Arial" w:hAnsi="Arial"/>
          <w:b w:val="0"/>
          <w:i w:val="0"/>
          <w:sz w:val="19"/>
        </w:rPr>
        <w:t xml:space="preserve"> mit 50.000. Ausgewertet in § 1.1 und § 9.2. https://asktherecruiter.com/blog/ai-layoff-tracker/</w:t>
      </w:r>
    </w:p>
    <w:p>
      <w:pPr>
        <w:jc w:val="both"/>
      </w:pPr>
      <w:r>
        <w:rPr>
          <w:rFonts w:ascii="Arial" w:hAnsi="Arial"/>
          <w:b w:val="0"/>
          <w:i w:val="0"/>
          <w:sz w:val="19"/>
        </w:rPr>
        <w:t xml:space="preserve">DisplaceIndex. (Stand 23.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jüngster Wert der ausgewiesenen Verdrängungsquote unverändert 0,5 % für Juli 2026. Elfter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w:t>
      </w:r>
      <w:r>
        <w:rPr>
          <w:rFonts w:ascii="Arial" w:hAnsi="Arial"/>
          <w:b/>
          <w:i w:val="0"/>
          <w:sz w:val="19"/>
        </w:rPr>
        <w:t>Prüfvermerk nach § 2.4.4 `Validierung.md`:</w:t>
      </w:r>
      <w:r>
        <w:rPr>
          <w:rFonts w:ascii="Arial" w:hAnsi="Arial"/>
          <w:b w:val="0"/>
          <w:i w:val="0"/>
          <w:sz w:val="19"/>
        </w:rPr>
        <w:t xml:space="preserve"> Die Kopfzeile nennt 57 berichtende Unternehmen, die darunter geführte Ereignisliste dagegen 50 Ereignisse; welche der beiden Angaben die Bezugsgröße der Jahressumme bildet, ist der Seite nicht zu entnehmen. https://displaceindex.com/trends/ai-layoffs-tracker/</w:t>
      </w:r>
    </w:p>
    <w:p>
      <w:pPr>
        <w:jc w:val="both"/>
      </w:pPr>
      <w:r>
        <w:rPr>
          <w:rFonts w:ascii="Arial" w:hAnsi="Arial"/>
          <w:b w:val="0"/>
          <w:i w:val="0"/>
          <w:sz w:val="19"/>
        </w:rPr>
        <w:t xml:space="preserve">Job Security Meter. (Stand 23.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Zählwerk hat damit seit dem letzten erfassten Ereignis zehn Tage lang keine Aktualisierung erfahren. https://jobsecuritymeter.com/layoffs</w:t>
      </w:r>
    </w:p>
    <w:p>
      <w:pPr>
        <w:jc w:val="both"/>
      </w:pPr>
      <w:r>
        <w:rPr>
          <w:rFonts w:ascii="Arial" w:hAnsi="Arial"/>
          <w:b w:val="0"/>
          <w:i w:val="0"/>
          <w:sz w:val="19"/>
        </w:rPr>
        <w:t xml:space="preserve">SkillSyncer. (Stand 24. September 2026). </w:t>
      </w:r>
      <w:r>
        <w:rPr>
          <w:rFonts w:ascii="Arial" w:hAnsi="Arial"/>
          <w:b w:val="0"/>
          <w:i/>
          <w:sz w:val="19"/>
        </w:rPr>
        <w:t>2026 Tech Layoffs Tracker.</w:t>
      </w:r>
      <w:r>
        <w:rPr>
          <w:rFonts w:ascii="Arial" w:hAnsi="Arial"/>
          <w:b w:val="0"/>
          <w:i w:val="0"/>
          <w:sz w:val="19"/>
        </w:rPr>
        <w:t xml:space="preserve"> Fortschreibung: in allen Sachgrößen den dritten Tag unverändert — 519 Ereignisse, 225.122 Betroffene, 32 Betriebsschließungen; KI- oder Automatisierungsbezug unverändert bei 213 der 519 Ereignisse (41 %) mit 179.542 Betroffenen; Monatsgliederung unverändert, Summenproben 225.122 und 519 gehen exakt auf. Die angezeigte Tagesrate sinkt von 846 auf 843 Stellen — reiner Nennereffekt (225.122 geteilt durch 267 Tage ergibt 843,2). Jüngstes gelistetes Einzelereignis weiterhin der 14. September 2026 (</w:t>
      </w:r>
      <w:r>
        <w:rPr>
          <w:rFonts w:ascii="Arial" w:hAnsi="Arial"/>
          <w:b w:val="0"/>
          <w:i/>
          <w:sz w:val="19"/>
        </w:rPr>
        <w:t>KO_OP</w:t>
      </w:r>
      <w:r>
        <w:rPr>
          <w:rFonts w:ascii="Arial" w:hAnsi="Arial"/>
          <w:b w:val="0"/>
          <w:i w:val="0"/>
          <w:sz w:val="19"/>
        </w:rPr>
        <w:t xml:space="preserve">, 13 Betroffene); der Erfassungsrückstand wächst damit auf zehn Tage, obwohl die Seite „Last updated: September 24, 2026" ausweist. </w:t>
      </w:r>
      <w:r>
        <w:rPr>
          <w:rFonts w:ascii="Arial" w:hAnsi="Arial"/>
          <w:b/>
          <w:i w:val="0"/>
          <w:sz w:val="19"/>
        </w:rPr>
        <w:t>Prüfvermerk nach § 2.4.4 `Validierung.md` — zwei eigene Konsistenzproben:</w:t>
      </w:r>
      <w:r>
        <w:rPr>
          <w:rFonts w:ascii="Arial" w:hAnsi="Arial"/>
          <w:b w:val="0"/>
          <w:i w:val="0"/>
          <w:sz w:val="19"/>
        </w:rPr>
        <w:t xml:space="preserve"> (1) Der ausgewiesene Durchschnitt von 658 Betroffenen je Ereignis ist mit den eigenen Kopfzahlen nicht vereinbar (225.122 geteilt durch 519 ergibt 434); er setzt eine Bezugsmenge von rund 342 Ereignissen voraus, die die Seite nicht ausweist. Die Seite vermerkt an anderer Stelle, Ereignisse ohne bezifferte Kopfzahl und reine Prozentangaben blieben in den Summen unberücksichtigt; die Einzelfallliste enthält entsprechende Einträge mit der Kopfzahl „Unknown". (2) Die Gründeübersicht desselben Jahres summiert sich auf 527.144 Betroffene (KI 179.542, Restrukturierung 177.020, Kostensenkung 91.835, strategische Neuausrichtung 19.158, Marktlage 18.851, Leistungsrückgang 16.957, Betriebsschließung 11.986, Zusammenschluss oder Übernahme 11.795) und damit auf das 2,34-Fache der Gesamtzahl von 225.122; die Mehrfachzuordnung ist in der Einzelfallliste im Wortlaut belegt („AI Restructuring", „AI Strategic Pivot Cost Cutting", „Outsourcing Cost Cutting"). Die Quote von 41 % misst damit die Mitnennung, nicht die Ursächlichkeit. Ausgewertet in § 1.1 und § 9.2. Die früheren Stände dieses Zählwerks bleiben in diesem Verzeichnis vollständig erhalten. https://skillsyncer.com/layoffs-tracker</w:t>
      </w:r>
    </w:p>
    <w:p>
      <w:pPr>
        <w:jc w:val="both"/>
      </w:pPr>
      <w:r>
        <w:rPr>
          <w:rFonts w:ascii="Arial" w:hAnsi="Arial"/>
          <w:b w:val="0"/>
          <w:i w:val="0"/>
          <w:sz w:val="19"/>
        </w:rPr>
        <w:t xml:space="preserve">AskTheRecruiter.com. (Stand 24. September 2026). </w:t>
      </w:r>
      <w:r>
        <w:rPr>
          <w:rFonts w:ascii="Arial" w:hAnsi="Arial"/>
          <w:b w:val="0"/>
          <w:i/>
          <w:sz w:val="19"/>
        </w:rPr>
        <w:t>AI Layoff Tracker — Live Data on Jobs Lost to AI &amp; Automation.</w:t>
      </w:r>
      <w:r>
        <w:rPr>
          <w:rFonts w:ascii="Arial" w:hAnsi="Arial"/>
          <w:b w:val="0"/>
          <w:i w:val="0"/>
          <w:sz w:val="19"/>
        </w:rPr>
        <w:t xml:space="preserve"> Fortschreibung: zweiter Tag gleichgerichteter Abwärtsbewegung beider Zählstufen, in deutlich kleinerem Maßstab — 641.773 belegte Streichungen für 2026 (Vortag 641.829; −56), davon 596.458 bereits wirksam und 45.315 mit künftigem Wirksamkeitsdatum (Summenprobe geht auf), 467.893 lediglich angekündigte Streichungen (Vortag 469.791; −1.898) und ein zusammengefasster Stand von 1.109.666 (Summen- und Rechenprobe gehen auf: 641.773 + 467.893 = 1.109.666; −56 − 1.898 = −1.954 = 1.109.666 − 1.111.620). Gegenläufig erneut die Mengengrößen: Jahresansicht 3.209 meldende Unternehmen (Vortag 3.169) bei 3.464 Einträgen (Vortag 3.416), Allzeitbestand 41.185 Unternehmen (Vortag 41.141) und 68.416 Einträge (Vortag 68.340). Der fünftägige Stillstand der KI-Zuschreibung endet in einem Block: strenge Zuschreibung 69.361 (+2.500), angekündigte Zuschreibung unverändert 47.883, zusammengefasst 117.244 (Summenprobe geht auf), weit gefasste Kennzahl 125.959 (+2.500); die Übersichtstafel schreibt den Betrag von 2.500 vollständig der laufenden Woche und null dem Abruftag zu. </w:t>
      </w:r>
      <w:r>
        <w:rPr>
          <w:rFonts w:ascii="Arial" w:hAnsi="Arial"/>
          <w:b/>
          <w:i w:val="0"/>
          <w:sz w:val="19"/>
        </w:rPr>
        <w:t>Prüfvermerk nach § 2.4.4 `Validierung.md` — Fortbestand der Widersprüche innerhalb eines Abrufs:</w:t>
      </w:r>
      <w:r>
        <w:rPr>
          <w:rFonts w:ascii="Arial" w:hAnsi="Arial"/>
          <w:b w:val="0"/>
          <w:i w:val="0"/>
          <w:sz w:val="19"/>
        </w:rPr>
        <w:t xml:space="preserve"> Die Übersichtstafel weist für den Jahreslauf 612.940 Betroffene aus, die Kopfzeile 641.773 (Differenz 28.833 oder 4,7 % gegenüber 28.501 oder 4,4 % am Vortag), obwohl die Tafel im eigenen Wortlaut dieselbe Zählweise beansprucht („the same basis as the headline figure above"). Die weit gefasste KI-Kennzahl erscheint auf der Tafel nunmehr in allen sechs Zeitspalten betragsgleich mit der strengen Zuschreibung, während die Kachel darunter 125.959 nennt (Faktor 1,82). Die Kopfzeile nennt 82 Länder im Allzeitbestand, die Abdeckungszeile 81 (Vortag 82 gegen 83 — Vorzeichenwechsel); bei den US-Bundesstaaten stehen 46 zuzüglich des District of Columbia gegen 49 in der Filterkachel. Ausgewertet in § 1.1 und § 9.2. Die früheren Stände bleiben vollständig erhalten. https://asktherecruiter.com/blog/ai-layoff-tracker/</w:t>
      </w:r>
    </w:p>
    <w:p>
      <w:pPr>
        <w:jc w:val="both"/>
      </w:pPr>
      <w:r>
        <w:rPr>
          <w:rFonts w:ascii="Arial" w:hAnsi="Arial"/>
          <w:b w:val="0"/>
          <w:i w:val="0"/>
          <w:sz w:val="19"/>
        </w:rPr>
        <w:t xml:space="preserve">DisplaceIndex. (Stand 24. September 2026). </w:t>
      </w:r>
      <w:r>
        <w:rPr>
          <w:rFonts w:ascii="Arial" w:hAnsi="Arial"/>
          <w:b w:val="0"/>
          <w:i/>
          <w:sz w:val="19"/>
        </w:rPr>
        <w:t>AI Layoffs Tracker 2026 — Companies Cutting Jobs Due to AI.</w:t>
      </w:r>
      <w:r>
        <w:rPr>
          <w:rFonts w:ascii="Arial" w:hAnsi="Arial"/>
          <w:b w:val="0"/>
          <w:i w:val="0"/>
          <w:sz w:val="19"/>
        </w:rPr>
        <w:t xml:space="preserve"> Fortschreibung: unverändert 377.084 KI-attribuierte Streichungen seit Januar 2023, davon 251.128 im Technologiesektor, bei 57 berichtenden Unternehmen; jüngster gelisteter Einzelfall unverändert </w:t>
      </w:r>
      <w:r>
        <w:rPr>
          <w:rFonts w:ascii="Arial" w:hAnsi="Arial"/>
          <w:b w:val="0"/>
          <w:i/>
          <w:sz w:val="19"/>
        </w:rPr>
        <w:t>Uber</w:t>
      </w:r>
      <w:r>
        <w:rPr>
          <w:rFonts w:ascii="Arial" w:hAnsi="Arial"/>
          <w:b w:val="0"/>
          <w:i w:val="0"/>
          <w:sz w:val="19"/>
        </w:rPr>
        <w:t xml:space="preserve"> (September 2026, 3.300 Stellen); jüngster Wert der ausgewiesenen Verdrängungsquote unverändert 0,5 % für Juli 2026. Zwölfter aufeinanderfolgender Tag ohne Bewegung. Zähldefinition unverändert: namentlich benanntes Unternehmen, bezifferte Streichungszahl und Künstliche Intelligenz als </w:t>
      </w:r>
      <w:r>
        <w:rPr>
          <w:rFonts w:ascii="Arial" w:hAnsi="Arial"/>
          <w:b w:val="0"/>
          <w:i/>
          <w:sz w:val="19"/>
        </w:rPr>
        <w:t>primäre</w:t>
      </w:r>
      <w:r>
        <w:rPr>
          <w:rFonts w:ascii="Arial" w:hAnsi="Arial"/>
          <w:b w:val="0"/>
          <w:i w:val="0"/>
          <w:sz w:val="19"/>
        </w:rPr>
        <w:t xml:space="preserve"> Ursache. </w:t>
      </w:r>
      <w:r>
        <w:rPr>
          <w:rFonts w:ascii="Arial" w:hAnsi="Arial"/>
          <w:b/>
          <w:i w:val="0"/>
          <w:sz w:val="19"/>
        </w:rPr>
        <w:t>Prüfvermerk nach § 2.4.4 `Validierung.md`:</w:t>
      </w:r>
      <w:r>
        <w:rPr>
          <w:rFonts w:ascii="Arial" w:hAnsi="Arial"/>
          <w:b w:val="0"/>
          <w:i w:val="0"/>
          <w:sz w:val="19"/>
        </w:rPr>
        <w:t xml:space="preserve"> Die am Vortag festgestellte Unstimmigkeit besteht fort — die Kopfzeile nennt 57 berichtende Unternehmen, die darunter geführte Ereignisliste 50 Ereignisse. Ausgewertet in § 1.1. https://displaceindex.com/trends/ai-layoffs-tracker/</w:t>
      </w:r>
    </w:p>
    <w:p>
      <w:pPr>
        <w:jc w:val="both"/>
      </w:pPr>
      <w:r>
        <w:rPr>
          <w:rFonts w:ascii="Arial" w:hAnsi="Arial"/>
          <w:b w:val="0"/>
          <w:i w:val="0"/>
          <w:sz w:val="19"/>
        </w:rPr>
        <w:t xml:space="preserve">Job Security Meter. (Stand 24. September 2026). </w:t>
      </w:r>
      <w:r>
        <w:rPr>
          <w:rFonts w:ascii="Arial" w:hAnsi="Arial"/>
          <w:b w:val="0"/>
          <w:i/>
          <w:sz w:val="19"/>
        </w:rPr>
        <w:t>2026 Tech Layoffs: 128.500+ Jobs Lost to AI (Live Tracker).</w:t>
      </w:r>
      <w:r>
        <w:rPr>
          <w:rFonts w:ascii="Arial" w:hAnsi="Arial"/>
          <w:b w:val="0"/>
          <w:i w:val="0"/>
          <w:sz w:val="19"/>
        </w:rPr>
        <w:t xml:space="preserve"> Fortschreibung: unverändert mehr als 128.500 gestrichene Stellen im Technologiesektor des Jahres 2026 bei mehr als 281 Unternehmen, Vergleichswert rund 122.600 für das Gesamtjahr 2025, sektorübergreifende US-Größe aus Massenentlassungsanzeigen weiterhin mehr als 284.000. Der Erfassungsstand datiert unverändert auf den 18. September 2026 mit Ankündigungen bis zum 13. September 2026; das jüngste dort erfasste Ereignis ist damit elf Tage alt. Ausgewertet in § 1.1. https://jobsecuritymeter.com/layoffs</w:t>
      </w:r>
    </w:p>
    <w:p>
      <w:pPr>
        <w:jc w:val="both"/>
      </w:pPr>
      <w:r>
        <w:rPr>
          <w:rFonts w:ascii="Arial" w:hAnsi="Arial"/>
          <w:b/>
          <w:i w:val="0"/>
          <w:sz w:val="19"/>
        </w:rPr>
        <w:t>Hinweis zur Aktualität:</w:t>
      </w:r>
      <w:r>
        <w:rPr>
          <w:rFonts w:ascii="Arial" w:hAnsi="Arial"/>
          <w:b w:val="0"/>
          <w:i w:val="0"/>
          <w:sz w:val="19"/>
        </w:rPr>
        <w:t xml:space="preserve"> Dieses Arbeitspapier gibt den Stand Ende September 2026 (Schnitt am 24. September 2026 — Lauf 001 vom 24. September 2026, Version 104.0)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 xml:space="preserve">-Programm,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Der Lauf am 14. September 2026 (Version 93.0 → 94.0) ergänzt den ökonomischen Forschungsstand um eine Arbeit, die die Fragestellung der Robotersteuer-Literatur umkehrt, und schreibt die Trackerbefunde fort: (a) </w:t>
      </w:r>
      <w:r>
        <w:rPr>
          <w:rFonts w:ascii="Arial" w:hAnsi="Arial"/>
          <w:b w:val="0"/>
          <w:i/>
          <w:sz w:val="19"/>
        </w:rPr>
        <w:t>Kleven &amp; Zidar</w:t>
      </w:r>
      <w:r>
        <w:rPr>
          <w:rFonts w:ascii="Arial" w:hAnsi="Arial"/>
          <w:b w:val="0"/>
          <w:i w:val="0"/>
          <w:sz w:val="19"/>
        </w:rPr>
        <w:t xml:space="preserve">, </w:t>
      </w:r>
      <w:r>
        <w:rPr>
          <w:rFonts w:ascii="Arial" w:hAnsi="Arial"/>
          <w:b w:val="0"/>
          <w:i/>
          <w:sz w:val="19"/>
        </w:rPr>
        <w:t>„Automation and Optimal Taxation: A Task-Based Theory"</w:t>
      </w:r>
      <w:r>
        <w:rPr>
          <w:rFonts w:ascii="Arial" w:hAnsi="Arial"/>
          <w:b w:val="0"/>
          <w:i w:val="0"/>
          <w:sz w:val="19"/>
        </w:rPr>
        <w:t xml:space="preserve"> (NBER Working Paper 35747, Ausgabe September 2026, Volltext am 14. September 2026 direkt abgerufen) mit dem Ergebnis, dass Automatisierung die optimalen Steuer</w:t>
      </w:r>
      <w:r>
        <w:rPr>
          <w:rFonts w:ascii="Arial" w:hAnsi="Arial"/>
          <w:b w:val="0"/>
          <w:i/>
          <w:sz w:val="19"/>
        </w:rPr>
        <w:t>regeln</w:t>
      </w:r>
      <w:r>
        <w:rPr>
          <w:rFonts w:ascii="Arial" w:hAnsi="Arial"/>
          <w:b w:val="0"/>
          <w:i w:val="0"/>
          <w:sz w:val="19"/>
        </w:rPr>
        <w:t xml:space="preserve"> unverändert lasse, die optimalen Steuer</w:t>
      </w:r>
      <w:r>
        <w:rPr>
          <w:rFonts w:ascii="Arial" w:hAnsi="Arial"/>
          <w:b w:val="0"/>
          <w:i/>
          <w:sz w:val="19"/>
        </w:rPr>
        <w:t>sätze</w:t>
      </w:r>
      <w:r>
        <w:rPr>
          <w:rFonts w:ascii="Arial" w:hAnsi="Arial"/>
          <w:b w:val="0"/>
          <w:i w:val="0"/>
          <w:sz w:val="19"/>
        </w:rPr>
        <w:t xml:space="preserve"> aber erheblich verschiebe — deutlich progressiverer Arbeitsteuertarif, Erwerbstätigenförderung von 77 statt 36 % des Erwerbseinkommens über das unterste Viertel der Lohnverteilung, Maschinenintensität am höchsten am 41. Perzentil („hollowing out of the middle class") und eine von der Automatisierung unabhängige, allein elastizitätsbestimmte Kapitaleinkommensteuer von 50 % bei einer Elastizität von eins — als Neuzugang in § 3.3 und § 3.5, Neueintrag in § 11.1, mit Rückverweis auf § 2.1 (Typ 4) und § 8.1; (b) der Folgeabgleich der drei Layoff-Tracker vom 14. September 2026, der die Definitionsabhängigkeit der Bemessungsgrundlage erstmals </w:t>
      </w:r>
      <w:r>
        <w:rPr>
          <w:rFonts w:ascii="Arial" w:hAnsi="Arial"/>
          <w:b w:val="0"/>
          <w:i/>
          <w:sz w:val="19"/>
        </w:rPr>
        <w:t>innerhalb</w:t>
      </w:r>
      <w:r>
        <w:rPr>
          <w:rFonts w:ascii="Arial" w:hAnsi="Arial"/>
          <w:b w:val="0"/>
          <w:i w:val="0"/>
          <w:sz w:val="19"/>
        </w:rPr>
        <w:t xml:space="preserve"> eines einzigen Zählwerks isoliert (strenge KI-Zuschreibung 66.853 gegenüber weiter gefasster Zuschreibung 122.186 aus derselben Datenbasis am selben Tag) und zugleich eine trackereigene Vollständigkeitsprüfung ausweist (96 %, Konfidenzintervall 88–99 %, beschränkt auf eine Quellenfamilie) — als Nachträge in § 1.1 und § 9.2 mit Erweiterung der drei bestehenden Literatureinträge in § 11.5. Der Lauf am 15. September 2026 (Version 94.0 → 95.0) schreibt den Trackerabgleich fort und ergänzt ihn um eine zweite, bislang nicht betrachtete Seite desselben Problems: (a) Zwei der drei Layoff-Zählwerke haben ihren Stillstand beendet, wodurch sich erstmals nicht nur Bestände, sondern </w:t>
      </w:r>
      <w:r>
        <w:rPr>
          <w:rFonts w:ascii="Arial" w:hAnsi="Arial"/>
          <w:b w:val="0"/>
          <w:i/>
          <w:sz w:val="19"/>
        </w:rPr>
        <w:t>Zuwächse</w:t>
      </w:r>
      <w:r>
        <w:rPr>
          <w:rFonts w:ascii="Arial" w:hAnsi="Arial"/>
          <w:b w:val="0"/>
          <w:i w:val="0"/>
          <w:sz w:val="19"/>
        </w:rPr>
        <w:t xml:space="preserve"> desselben Vierundzwanzig-Stunden-Zeitraums vergleichen lassen — 1.709, 3.213 und null neu erfasste Betroffene mit KI-Attributionsquoten von 83 %, 32 % und 0 %, womit die Spreizung sich im laufenden Zufluss reproduziert und nicht als Rückstandsartefakt erklärbar ist (Nachträge in § 1.1 und § 9.2, Erweiterung der drei Literatureinträge in § 11.5); (b) die am 14. September 2026 von der </w:t>
      </w:r>
      <w:r>
        <w:rPr>
          <w:rFonts w:ascii="Arial" w:hAnsi="Arial"/>
          <w:b w:val="0"/>
          <w:i/>
          <w:sz w:val="19"/>
        </w:rPr>
        <w:t>Financial Times</w:t>
      </w:r>
      <w:r>
        <w:rPr>
          <w:rFonts w:ascii="Arial" w:hAnsi="Arial"/>
          <w:b w:val="0"/>
          <w:i w:val="0"/>
          <w:sz w:val="19"/>
        </w:rPr>
        <w:t xml:space="preserve"> berichteten Ertragskennzahlen aus der nicht öffentlichen Investorenkommunikation eines Frontier-Anbieters (bereinigtes Betriebsergebnis im zweiten Quartal in Folge positiv, Quartalsumsatz über 11,5 Mrd. US-Dollar, Bruttomargen über 80 % ausdrücklich vor Vertriebspartner-Umsatzanteilen und Trainingskosten) zeigen dieselbe Definitionsabhängigkeit auf der Ertragsseite — als Nachtrag in § 8.3 und zweiter Befundteil in § 9.2 mit Neueintrag in § 11.5. Mit dem Lauf vom 19. September 2026 sind hinzugekommen: (c) die vorschriftengenaue Fortschreibung des Acemoglu-Manera-Restrepo-Befunds durch die </w:t>
      </w:r>
      <w:r>
        <w:rPr>
          <w:rFonts w:ascii="Arial" w:hAnsi="Arial"/>
          <w:b w:val="0"/>
          <w:i/>
          <w:sz w:val="19"/>
        </w:rPr>
        <w:t>RAND Corporation</w:t>
      </w:r>
      <w:r>
        <w:rPr>
          <w:rFonts w:ascii="Arial" w:hAnsi="Arial"/>
          <w:b w:val="0"/>
          <w:i w:val="0"/>
          <w:sz w:val="19"/>
        </w:rPr>
        <w:t xml:space="preserve"> — Durchsicht des gesamten US-Bundessteuerkodex mit Benennung von Arbeitgeber-Lohnsummensteuer und vorgezogener Abschreibung als beschäftigungsfeindlichen Vorschriften, verbunden mit einer Szenarienrechnung zur Aufkommenswirkung (§ 3.1, § 5.1, § 9.3, zwei Neueinträge in § 11.1 und einer in § 11.5); und (d) der Befund, dass die Betriebsschicht der Basismodelle (Inferenz) in kleinen, räumlich verteilbaren Einheiten nachgefragt wird und damit sowohl die Umgehbarkeit standortbezogener Steuertatbestände als auch die europäische Anschlussfähigkeit der Anwendungsebene berührt (§ 9.3, Neueintrag in § 11.5). Mit dem Lauf vom 20. September 2026 sind hinzugekommen: (e) die erste zusammenhängende Positionsbestimmung des </w:t>
      </w:r>
      <w:r>
        <w:rPr>
          <w:rFonts w:ascii="Arial" w:hAnsi="Arial"/>
          <w:b w:val="0"/>
          <w:i/>
          <w:sz w:val="19"/>
        </w:rPr>
        <w:t>Internationalen Währungsfonds</w:t>
      </w:r>
      <w:r>
        <w:rPr>
          <w:rFonts w:ascii="Arial" w:hAnsi="Arial"/>
          <w:b w:val="0"/>
          <w:i w:val="0"/>
          <w:sz w:val="19"/>
        </w:rPr>
        <w:t xml:space="preserve"> zur Steuerfrage — Erosion der arbeitsbezogenen Steuerbasis, nur teilweiser Ausgleich über die Unternehmensteuer, ausdrückliche Abratung von pauschalen Robotersteuern zugunsten einer Ausrichtung auf ökonomische Renten und die persönliche Kapitaleinkommensbesteuerung sowie die Asymmetrie zulasten KI-konsumierender Länder (§ 3.3 mit Querverweisen auf § 3.4, § 5.1, § 5.3, § 8.2 und § 9.3, Neueintrag in § 11.3); (f) die dritte Sitzung des </w:t>
      </w:r>
      <w:r>
        <w:rPr>
          <w:rFonts w:ascii="Arial" w:hAnsi="Arial"/>
          <w:b w:val="0"/>
          <w:i/>
          <w:sz w:val="19"/>
        </w:rPr>
        <w:t>Strategiekreises für Technologie und Innovation des Bundeskanzlers</w:t>
      </w:r>
      <w:r>
        <w:rPr>
          <w:rFonts w:ascii="Arial" w:hAnsi="Arial"/>
          <w:b w:val="0"/>
          <w:i w:val="0"/>
          <w:sz w:val="19"/>
        </w:rPr>
        <w:t xml:space="preserve"> vom 16. September 2026, die der Veredelungsspur der Deutschland-These eine Regierungsentsprechung gibt, die Finanzierungs- und Teilhabefrage aber erneut ausspart (</w:t>
      </w:r>
      <w:r>
        <w:rPr>
          <w:rFonts w:ascii="Arial" w:hAnsi="Arial"/>
          <w:b w:val="0"/>
          <w:i/>
          <w:sz w:val="19"/>
        </w:rPr>
        <w:t>Elfte Fortschreibung</w:t>
      </w:r>
      <w:r>
        <w:rPr>
          <w:rFonts w:ascii="Arial" w:hAnsi="Arial"/>
          <w:b w:val="0"/>
          <w:i w:val="0"/>
          <w:sz w:val="19"/>
        </w:rPr>
        <w:t xml:space="preserve"> in § 8.2, Neueintrag in § 11.3); und (g) die Erschließung eines fünften Layoff-Zählwerks, dessen KI-Überschrift eine Branchensumme trägt, womit die Spreizung derselben Größe eine dritte Zwischenstufe erhält (rund 1 : 1,9 : 2,6), samt Berichtigung einer im Vorlauf fehlgedeuteten Allzeitangabe (§ 1.1, Neueintrag und drei Fortschreibungen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104.0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