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am 5. Juni 2026 veröffentlichte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bestätigt die Verdrängungslinie noch deutlicher: Für Mai 2026 weisen die US-Streichungen mit 97.006 angekündigten Stellen den höchsten Mai-Wert seit der Pandemie 2020 aus (+16 % gegenüber April; +3 % gegenüber Mai 2025); KI ist mit 38.579 angekündigten KI-bezogenen Streichungen zum dritten Mal in Folge der am häufigsten genannte Einzelgrund und macht 40 % aller Mai-Streichungen aus — der höchste Monatswert seit Beginn der KI-Erfassung 2023. Im laufenden Jahr summieren sich die KI-bezogenen Streichungen damit auf 87.714 (rund 22 % aller 2026-Pläne), womit der Vorjahreswert (54.836 im gesamten Jahr 2025) bereits nach fünf Monaten überschritten ist; im Tech-Sektor sind im Mai 38.242 Stellen gestrichen worden (höchster Monatswert seit August 2024), kumuliert YTD 123.653 (+66 % gegenüber Vorjahresstand). Eine Tagesfortschreibung des TrueUp-Trackers zum 11. Juni 2026 weist 247 Layoff-Ereignisse aus mit 183.966 betroffenen Beschäftigten (rund 974 pro Tag; 44 % über dem Vorjahres-Tempo), wobei nach Tracker-Auswertung 55 % der Ereignisse explizit KI, Automatisierung oder maschinelles Lernen als Treiber nennen — entsprechend 152.415 Beschäftigten aus 135 Unternehmen.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Growiec, Prettner &amp; Szkróbka (März 2026):</w:t>
      </w:r>
      <w:r>
        <w:rPr>
          <w:rFonts w:ascii="Arial" w:hAnsi="Arial"/>
          <w:b w:val="0"/>
          <w:i w:val="0"/>
          <w:sz w:val="19"/>
        </w:rPr>
        <w:t xml:space="preserve"> Jakub Growiec (SGH Warsaw School of Economics / CEPR Research and Policy Network on AI), Klaus Prettner (WU Wien) und Maciej Szkróbka (SGH Warsaw School of Economics) legen mit </w:t>
      </w:r>
      <w:r>
        <w:rPr>
          <w:rFonts w:ascii="Arial" w:hAnsi="Arial"/>
          <w:b w:val="0"/>
          <w:i/>
          <w:sz w:val="19"/>
        </w:rPr>
        <w:t>„Workers' Incentives and the Optimal Taxation of AI"</w:t>
      </w:r>
      <w:r>
        <w:rPr>
          <w:rFonts w:ascii="Arial" w:hAnsi="Arial"/>
          <w:b w:val="0"/>
          <w:i w:val="0"/>
          <w:sz w:val="19"/>
        </w:rPr>
        <w:t xml:space="preserve"> (arXiv 2603.17898, 18. März 2026) eine Erweiterung des dynamischen Optimalsteuer-Rahmens von Slavik &amp; Yazici (2014) auf eine Ökonomie mit menschlicher manueller und kognitiver Arbeit, physischem Kapital und KI vor. Zentrales Ergebnis: Eine Besteuerung von KI sei dann optimal, wenn kognitiv Beschäftigte beginnen, in manuelle Tätigkeiten auszuweichen — also genau an dem Punkt, an dem KI weite Teile kognitiver Tasks substituieren kann. Die Arbeit verlängert die in §3.2 referierte Thuemmel-Linie (Substitutionsschwelle) um die Anreizdimension der Arbeitsangebotsentscheidung und ergänzt zugleich die ältere </w:t>
      </w:r>
      <w:r>
        <w:rPr>
          <w:rFonts w:ascii="Arial" w:hAnsi="Arial"/>
          <w:b w:val="0"/>
          <w:i/>
          <w:sz w:val="19"/>
        </w:rPr>
        <w:t>Gasteiger &amp; Prettner</w:t>
      </w:r>
      <w:r>
        <w:rPr>
          <w:rFonts w:ascii="Arial" w:hAnsi="Arial"/>
          <w:b w:val="0"/>
          <w:i w:val="0"/>
          <w:sz w:val="19"/>
        </w:rPr>
        <w:t>-Linie (§3.3) zum makroökonomischen Effekt einer Robotersteuer. Für die deutsche Debatte ist insbesondere die Schwellenargumentation relevant: Sie stützt eine zeitlich gestaffelte Einführung der in §5.1 entwickelten Wertschöpfungsabgabe-Logik analog zu Thuemmels Subventions-/Besteuerungs-Wendepunkt.</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Nach dem Scheitern der zweiten Trilogrunde haben Rat und Parlament am 7. Mai 2026 eine politische Einigung über den </w:t>
      </w:r>
      <w:r>
        <w:rPr>
          <w:rFonts w:ascii="Arial" w:hAnsi="Arial"/>
          <w:b w:val="0"/>
          <w:i/>
          <w:sz w:val="19"/>
        </w:rPr>
        <w:t>Digital Omnibus on AI</w:t>
      </w:r>
      <w:r>
        <w:rPr>
          <w:rFonts w:ascii="Arial" w:hAnsi="Arial"/>
          <w:b w:val="0"/>
          <w:i w:val="0"/>
          <w:sz w:val="19"/>
        </w:rPr>
        <w:t xml:space="preserve"> erzielt: Die Hochrisiko-Pflichten nach Anhang III gelten nun ab 2. Dezember 2027, die produktbezogenen Pflichten nach Anhang I ab 2. August 2028; die Watermark- und Kennzeichnungspflichten nach Art. 50 werden um vier Monate auf den 2. Dezember 2026 verschoben. Ergänzend wird ab 2. Dezember 2026 ein neues Verbot für KI-Systeme zur Generierung nicht-einvernehmlicher intimer Bildinhalte und kinderpornografischen Materials eingeführt („Nudifier-Verbot"). Die förmliche Annahme (Plenum, Rat, Veröffentlichung im Amtsblatt) ist vor dem 2. August 2026 vorgesehen. Parallel hat der Deutsche Bundestag am 12. Juni 2026 das </w:t>
      </w:r>
      <w:r>
        <w:rPr>
          <w:rFonts w:ascii="Arial" w:hAnsi="Arial"/>
          <w:b w:val="0"/>
          <w:i/>
          <w:sz w:val="19"/>
        </w:rPr>
        <w:t>Gesetz zur Durchführung der KI-Verordnung</w:t>
      </w:r>
      <w:r>
        <w:rPr>
          <w:rFonts w:ascii="Arial" w:hAnsi="Arial"/>
          <w:b w:val="0"/>
          <w:i w:val="0"/>
          <w:sz w:val="19"/>
        </w:rPr>
        <w:t xml:space="preserve"> mit den Koalitionsstimmen von CDU/CSU und SPD beschlossen (Gegenstimmen aus AfD, Grünen und Linken); die </w:t>
      </w:r>
      <w:r>
        <w:rPr>
          <w:rFonts w:ascii="Arial" w:hAnsi="Arial"/>
          <w:b w:val="0"/>
          <w:i/>
          <w:sz w:val="19"/>
        </w:rPr>
        <w:t>Bundesnetzagentur</w:t>
      </w:r>
      <w:r>
        <w:rPr>
          <w:rFonts w:ascii="Arial" w:hAnsi="Arial"/>
          <w:b w:val="0"/>
          <w:i w:val="0"/>
          <w:sz w:val="19"/>
        </w:rPr>
        <w:t xml:space="preserve"> wird damit zentrale KI-Marktüberwachungsbehörde mit einem dort angesiedelten Koordinations- und Kompetenzzentrum sowie einer unabhängigen </w:t>
      </w:r>
      <w:r>
        <w:rPr>
          <w:rFonts w:ascii="Arial" w:hAnsi="Arial"/>
          <w:b w:val="0"/>
          <w:i/>
          <w:sz w:val="19"/>
        </w:rPr>
        <w:t>KI-Marktüberwachungskammer</w:t>
      </w:r>
      <w:r>
        <w:rPr>
          <w:rFonts w:ascii="Arial" w:hAnsi="Arial"/>
          <w:b w:val="0"/>
          <w:i w:val="0"/>
          <w:sz w:val="19"/>
        </w:rPr>
        <w:t xml:space="preserve"> für die Aufsicht über bestimmte Hochrisiko-Systeme. Für die in §8 entwickelte Veredelungsstrategie ist die nationale Architektur-Entscheidung relevant, weil sie die institutionelle Anlaufstelle für KI-Definitionen, Risikoklassifizierungen und Konformitätsbewertungen — und damit potentiell auch für spätere steuerliche Anknüpfungspunkte — konsolidiert.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 Am 1. Juni 2026 hat Sanders den programmatischen Schwerpunkt zusätzlich vom Verbrauchsteuer- auf das Eigentumsmodell verlagert und den </w:t>
      </w:r>
      <w:r>
        <w:rPr>
          <w:rFonts w:ascii="Arial" w:hAnsi="Arial"/>
          <w:b w:val="0"/>
          <w:i/>
          <w:sz w:val="19"/>
        </w:rPr>
        <w:t>American AI Sovereign Wealth Fund Act</w:t>
      </w:r>
      <w:r>
        <w:rPr>
          <w:rFonts w:ascii="Arial" w:hAnsi="Arial"/>
          <w:b w:val="0"/>
          <w:i w:val="0"/>
          <w:sz w:val="19"/>
        </w:rPr>
        <w:t xml:space="preserve"> in den US-Senat eingebracht (Eintrag im </w:t>
      </w:r>
      <w:r>
        <w:rPr>
          <w:rFonts w:ascii="Arial" w:hAnsi="Arial"/>
          <w:b w:val="0"/>
          <w:i/>
          <w:sz w:val="19"/>
        </w:rPr>
        <w:t>Congressional Record</w:t>
      </w:r>
      <w:r>
        <w:rPr>
          <w:rFonts w:ascii="Arial" w:hAnsi="Arial"/>
          <w:b w:val="0"/>
          <w:i w:val="0"/>
          <w:sz w:val="19"/>
        </w:rPr>
        <w:t xml:space="preserve"> Vol. 172 Nr. 92). Der Entwurf sieht eine einmalige Übertragung von 50 % der Eigenkapitalanteile der führenden KI-Unternehmen (namentlich OpenAI, Anthropic, xAI) an einen neu zu errichtenden bundesstaatlich verwalteten Staatsfonds vor, der die Anteile mit hälftigem Stimmrecht und gleichberechtigter Vorstandsvertretung halten und Erträge zunächst als universelle Bürgerdividende und später für öffentliche Güter (Gesundheitsversorgung, Bildung, Wohnen) ausschütten soll. Begründung in der vorangegangenen New-York-Times-Kolumne („The Public Should Own Half of the Big A.I. Companies"): Da Frontier-Modelle auf der „kollektiven Erfahrung und Wissensbasis der Menschheit" trainiert seien, gebühre der Öffentlichkeit ein entsprechender Anteil an der dadurch generierten Wertschöpfung. In einem etwa einstündigen Gespräch in Sanders' Senatsbüro Anfang Juni 2026 äußerte sich OpenAI-Vorstandsvorsitzender Sam Altman grundsätzlich offen für das Prinzip einer öffentlichen Equity-Beteiligung an KI-Unternehmen, hielt die 50-%-Größenordnung jedoch für „zu ambitioniert". Für die hier geführte Debatte ist der Vorstoß doppelt relevant: Erstens verschiebt er die US-Steuerdebatte programmatisch vom Typ-5-Pfad (zielgerichtete Ersatzabgabe, §2.1) auf eine eigentumsrechtliche Anknüpfung, die der in §5.4 und §8.3 referierten Staatsfonds-Logik nach norwegischem Vorbild strukturell sehr nah kommt; zweitens dürfte die enteignungsähnliche Vehemenz einer einmaligen 50-%-Übertragung verfassungs- und investitionsrechtlich kaum durchsetzbar sein — sie verschiebt aber den politischen Möglichkeitsraum für moderatere fiskalische Beteiligungsmodelle.</w:t>
      </w:r>
    </w:p>
    <w:p>
      <w:pPr>
        <w:jc w:val="both"/>
      </w:pPr>
      <w:r>
        <w:rPr>
          <w:rFonts w:ascii="Arial" w:hAnsi="Arial"/>
          <w:b/>
          <w:i w:val="0"/>
          <w:sz w:val="19"/>
        </w:rPr>
        <w:t>Sub-föderale Parallele — Connecticut (Mai/Juni 2026):</w:t>
      </w:r>
      <w:r>
        <w:rPr>
          <w:rFonts w:ascii="Arial" w:hAnsi="Arial"/>
          <w:b w:val="0"/>
          <w:i w:val="0"/>
          <w:sz w:val="19"/>
        </w:rPr>
        <w:t xml:space="preserve"> Gouverneur Ned Lamont hat </w:t>
      </w:r>
      <w:r>
        <w:rPr>
          <w:rFonts w:ascii="Arial" w:hAnsi="Arial"/>
          <w:b w:val="0"/>
          <w:i/>
          <w:sz w:val="19"/>
        </w:rPr>
        <w:t>Senate Bill 5 — Connecticut Artificial Intelligence Responsibility and Transparency Act</w:t>
      </w:r>
      <w:r>
        <w:rPr>
          <w:rFonts w:ascii="Arial" w:hAnsi="Arial"/>
          <w:b w:val="0"/>
          <w:i w:val="0"/>
          <w:sz w:val="19"/>
        </w:rPr>
        <w:t xml:space="preserve"> am 2. Juni 2026 unterzeichnet (</w:t>
      </w:r>
      <w:r>
        <w:rPr>
          <w:rFonts w:ascii="Arial" w:hAnsi="Arial"/>
          <w:b w:val="0"/>
          <w:i/>
          <w:sz w:val="19"/>
        </w:rPr>
        <w:t>Public Act 26-15</w:t>
      </w:r>
      <w:r>
        <w:rPr>
          <w:rFonts w:ascii="Arial" w:hAnsi="Arial"/>
          <w:b w:val="0"/>
          <w:i w:val="0"/>
          <w:sz w:val="19"/>
        </w:rPr>
        <w:t xml:space="preserve">, „CART Act"), womit der in §4.5 dokumentierte sub-föderale Pfad förmlich Gesetz wird. Das Gesetz wurde in Zusammenarbeit zwischen Gouverneur Lamont, Generalstaatsanwalt William Tong und Senator James Maroney (D-Milford, Co-Vorsitzender des General-Law-Ausschusses) ausgearbeitet und gilt nach Kanzlei-Analysen (Ropes &amp; Gray, Holland &amp; Knight, Paul Hastings, Hunton, DLA Piper, Juni 2026) als eines der bislang umfassendsten US-bundesstaatlichen KI-Gesetze. Es enthält gestaffelte Pflichten in fünf Feldern (Beschäftigungs-KI, Companion-Chatbots, Frontier-Modell-Entwickler, generative-AI-Provenienz, Plattform-Pflichten gegenüber Minderjährigen) mit Erstanwendung ab 1. Oktober 2026 (Automated-Employment-Decision-Rahmen, „AI is not a defense"-Klarstellung, Frontier-Whistleblower-Schutz, AI-Layoff-Disclosure in den Connecticut-WARN-Mitteilungen), anonymen internen Meldewegen großer Frontier-Entwickler ab 1. Januar 2027 und Deployer-Vorab-Information bei substantieller KI-Nutzung in Beschäftigungsentscheidungen ab 1. Oktober 2027; eine Heilungsfrist von 60 Tagen gilt bis Ende 2027. Generative-AI-Anbieter mit mehr als einer Million monatlicher Nutzer müssen Provenienzdaten in von ihnen erzeugte Audio-, Bild- und Videoinhalte einbetten. Durchsetzung obliegt dem Generalstaatsanwalt nach den Vorschriften zu unlauteren Geschäftspraktiken; ein privates Klagerecht ist nicht vorgesehen. Der separat verhandelte </w:t>
      </w:r>
      <w:r>
        <w:rPr>
          <w:rFonts w:ascii="Arial" w:hAnsi="Arial"/>
          <w:b w:val="0"/>
          <w:i/>
          <w:sz w:val="19"/>
        </w:rPr>
        <w:t>Raised Bill 515</w:t>
      </w:r>
      <w:r>
        <w:rPr>
          <w:rFonts w:ascii="Arial" w:hAnsi="Arial"/>
          <w:b w:val="0"/>
          <w:i w:val="0"/>
          <w:sz w:val="19"/>
        </w:rPr>
        <w:t xml:space="preserve"> (Workforce-and-Productivity-Gap-Zuschlag, §4.5) ist zum regulären Sitzungsende der Connecticut General Assembly am 6. Mai 2026 nicht zur Endabstimmung gelangt; der gesetzgeberische Pfad verläuft damit zunächst informationsrechtlich (SB 5) und nicht fiskalisch.</w:t>
      </w:r>
    </w:p>
    <w:p>
      <w:pPr>
        <w:jc w:val="both"/>
      </w:pPr>
      <w:r>
        <w:rPr>
          <w:rFonts w:ascii="Arial" w:hAnsi="Arial"/>
          <w:b/>
          <w:i w:val="0"/>
          <w:sz w:val="19"/>
        </w:rPr>
        <w:t>Sub-föderale Parallele — Colorado (Mai 2026):</w:t>
      </w:r>
      <w:r>
        <w:rPr>
          <w:rFonts w:ascii="Arial" w:hAnsi="Arial"/>
          <w:b w:val="0"/>
          <w:i w:val="0"/>
          <w:sz w:val="19"/>
        </w:rPr>
        <w:t xml:space="preserve"> Gegenläufig zur Connecticut-Linie hat Colorado seine eigene KI-Regulierung deutlich zurückgenommen: Gouverneur Jared Polis hat am 14. Mai 2026 </w:t>
      </w:r>
      <w:r>
        <w:rPr>
          <w:rFonts w:ascii="Arial" w:hAnsi="Arial"/>
          <w:b w:val="0"/>
          <w:i/>
          <w:sz w:val="19"/>
        </w:rPr>
        <w:t>SB 189</w:t>
      </w:r>
      <w:r>
        <w:rPr>
          <w:rFonts w:ascii="Arial" w:hAnsi="Arial"/>
          <w:b w:val="0"/>
          <w:i w:val="0"/>
          <w:sz w:val="19"/>
        </w:rPr>
        <w:t xml:space="preserve"> unterzeichnet, das den ursprünglichen </w:t>
      </w:r>
      <w:r>
        <w:rPr>
          <w:rFonts w:ascii="Arial" w:hAnsi="Arial"/>
          <w:b w:val="0"/>
          <w:i/>
          <w:sz w:val="19"/>
        </w:rPr>
        <w:t>Colorado Consumer Protections for Artificial Intelligence Act</w:t>
      </w:r>
      <w:r>
        <w:rPr>
          <w:rFonts w:ascii="Arial" w:hAnsi="Arial"/>
          <w:b w:val="0"/>
          <w:i w:val="0"/>
          <w:sz w:val="19"/>
        </w:rPr>
        <w:t xml:space="preserve"> (SB24-205) substanziell verändert; das Inkrafttreten wurde vom 30. Juni 2026 auf den 1. Januar 2027 verschoben, die </w:t>
      </w:r>
      <w:r>
        <w:rPr>
          <w:rFonts w:ascii="Arial" w:hAnsi="Arial"/>
          <w:b w:val="0"/>
          <w:i/>
          <w:sz w:val="19"/>
        </w:rPr>
        <w:t>Duty of Care</w:t>
      </w:r>
      <w:r>
        <w:rPr>
          <w:rFonts w:ascii="Arial" w:hAnsi="Arial"/>
          <w:b w:val="0"/>
          <w:i w:val="0"/>
          <w:sz w:val="19"/>
        </w:rPr>
        <w:t xml:space="preserve"> zur Vermeidung algorithmischer Diskriminierung gestrichen, Risikomanagement- und Impact-Assessment-Pflichten für Deployer entfernt sowie Berichtspflichten gegenüber dem Generalstaatsanwalt reduziert. Der Vorgang ist nicht steuerrechtlich, illustriert aber die fragile sub-föderale Architektur: Die Trump-Linie der </w:t>
      </w:r>
      <w:r>
        <w:rPr>
          <w:rFonts w:ascii="Arial" w:hAnsi="Arial"/>
          <w:b w:val="0"/>
          <w:i/>
          <w:sz w:val="19"/>
        </w:rPr>
        <w:t>Federal Preemption</w:t>
      </w:r>
      <w:r>
        <w:rPr>
          <w:rFonts w:ascii="Arial" w:hAnsi="Arial"/>
          <w:b w:val="0"/>
          <w:i w:val="0"/>
          <w:sz w:val="19"/>
        </w:rPr>
        <w:t xml:space="preserve"> (§4.5) und industrieseitiger Compliance-Druck haben zwischen Connecticut (Ausweitung am 2. Juni 2026) und Colorado (Rücknahme am 14. Mai 2026) zu einer auseinanderlaufenden Bundesstaaten-Landschaft geführt, in der die Connecticut-WARN-AI-Disclosure-Komponente bis auf Weiteres die einzige standardisierte administrative Datenquelle für KI-bezogene Stellenabbau-Statistiken bleibt — und damit der für §9.1 zentrale Mess-Anknüpfungspunkt.</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erfolgte am 12. Juni 2026 (einstündige Debatte mit anschließender Überweisung an den federführenden Gesundheitsausschuss); nach der Begründung der Bundesregierung beträgt die Deckungslücke der GKV im Jahr 2027 rund 15,3 Milliarden Euro und könnte bis 2030 auf bis zu 40 Milliarden Euro anwachsen. Begleitend zum Beitragssatzstabilisierungsgesetz hat die Bundesregierung in der Lesung angekündigt, in einem nachfolgenden Gesetzgebungsverfahren ab 2028 eine Abgabe auf zuckergesüßte Getränke einzuführen und deren Mehreinnahmen entlastend der GKV zugutekommen zu lassen — ein erstes konkretes Signal, dass die Finanzierungsbasis der lohnbasierten Sicherungszweige nicht nur ausgaben-, sondern auch einnahmeseitig über zweckgebundene neue Abgaben verbreitert werden soll. Der Vorgang ist mit der in §5.1 entwickelten Wertschöpfungsabgaben-Logik nicht identisch (Konsumabgabe statt Bemessungsbasiserweiterung der Sozialversicherung), zeigt aber, dass die in §5.1 angedeutete Verbreiterung der Finanzierungsarchitektur im laufenden Gesetzgebungsprozess angekommen ist.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Growiec, J., Prettner, K., &amp; Szkróbka, M. (18. März 2026). </w:t>
      </w:r>
      <w:r>
        <w:rPr>
          <w:rFonts w:ascii="Arial" w:hAnsi="Arial"/>
          <w:b w:val="0"/>
          <w:i/>
          <w:sz w:val="19"/>
        </w:rPr>
        <w:t>Workers' Incentives and the Optimal Taxation of AI.</w:t>
      </w:r>
      <w:r>
        <w:rPr>
          <w:rFonts w:ascii="Arial" w:hAnsi="Arial"/>
          <w:b w:val="0"/>
          <w:i w:val="0"/>
          <w:sz w:val="19"/>
        </w:rPr>
        <w:t xml:space="preserve"> arXiv Preprint 2603.17898. Charakterisiert optimale Steuerpolitik in einer Wirtschaft mit menschlicher manueller und kognitiver Arbeit, physischem Kapital und KI; Ergebnis: Eine Besteuerung von KI ist dann optimal, wenn kognitiv Beschäftigte beginnen, in manuelle Tätigkeiten auszuweichen. https://arxiv.org/abs/2603.17898</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State of Connecticut / Office of the Governor. (2. Juni 2026). </w:t>
      </w:r>
      <w:r>
        <w:rPr>
          <w:rFonts w:ascii="Arial" w:hAnsi="Arial"/>
          <w:b w:val="0"/>
          <w:i/>
          <w:sz w:val="19"/>
        </w:rPr>
        <w:t>Governor Lamont Signs Legislation Establishing Youth Online Safety Protections, Regulations Over Artificial Intelligence, and Initiatives to Upskill Connecticut's Workforce — Public Act 26-15 („CART Act").</w:t>
      </w:r>
      <w:r>
        <w:rPr>
          <w:rFonts w:ascii="Arial" w:hAnsi="Arial"/>
          <w:b w:val="0"/>
          <w:i w:val="0"/>
          <w:sz w:val="19"/>
        </w:rPr>
        <w:t xml:space="preserve"> Pressemitteilung zur Unterzeichnung von </w:t>
      </w:r>
      <w:r>
        <w:rPr>
          <w:rFonts w:ascii="Arial" w:hAnsi="Arial"/>
          <w:b w:val="0"/>
          <w:i/>
          <w:sz w:val="19"/>
        </w:rPr>
        <w:t>Senate Bill 5</w:t>
      </w:r>
      <w:r>
        <w:rPr>
          <w:rFonts w:ascii="Arial" w:hAnsi="Arial"/>
          <w:b w:val="0"/>
          <w:i w:val="0"/>
          <w:sz w:val="19"/>
        </w:rPr>
        <w:t xml:space="preserve"> als Public Act 26-15. https://portal.ct.gov/governor/news/press-releases/2026/06-2026/governor-lamont-signs-legislation-establishing-youth-online-safety-protections</w:t>
      </w:r>
    </w:p>
    <w:p>
      <w:pPr>
        <w:jc w:val="both"/>
      </w:pPr>
      <w:r>
        <w:rPr>
          <w:rFonts w:ascii="Arial" w:hAnsi="Arial"/>
          <w:b w:val="0"/>
          <w:i w:val="0"/>
          <w:sz w:val="19"/>
        </w:rPr>
        <w:t xml:space="preserve">Ropes &amp; Gray / Holland &amp; Knight / Paul Hastings / Hunton / DLA Piper / Future of Privacy Forum. (Juni 2026). </w:t>
      </w:r>
      <w:r>
        <w:rPr>
          <w:rFonts w:ascii="Arial" w:hAnsi="Arial"/>
          <w:b w:val="0"/>
          <w:i/>
          <w:sz w:val="19"/>
        </w:rPr>
        <w:t>Connecticut Enacts Sweeping AI Law Covering Employment, Healthcare, and Online Safety / Connecticut's New AI Law Mandates Disclosure of Automated Employment-Related Decision Technology / Unpacking SB 5: Connecticut's New AI Law / SB 5 in Five.</w:t>
      </w:r>
      <w:r>
        <w:rPr>
          <w:rFonts w:ascii="Arial" w:hAnsi="Arial"/>
          <w:b w:val="0"/>
          <w:i w:val="0"/>
          <w:sz w:val="19"/>
        </w:rPr>
        <w:t xml:space="preserve"> Kanzlei- und Think-Tank-Analysen zu Public Act 26-15. https://www.ropesgray.com/en/insights/alerts/2026/06/connecticut-enacts-sweeping-ai-law-covering-employment-healthcare-and-online-safety | https://www.hklaw.com/en/insights/publications/2026/06/connecticut-enacts-comprehensive-ai-legislation | https://www.paulhastings.com/insights/client-alerts/connecticuts-new-ai-law-mandates-disclosure-of-automated-employment-related-decision-technology-and-otherwise-regulates-ai-in-employment | https://www.dlapiper.com/en-us/insights/publications/2026/05/unpacking-connecticuts-new-ai-law | https://fpf.org/blog/sb-5-in-five-what-to-know-about-connecticuts-new-ai-law/</w:t>
      </w:r>
    </w:p>
    <w:p>
      <w:pPr>
        <w:jc w:val="both"/>
      </w:pPr>
      <w:r>
        <w:rPr>
          <w:rFonts w:ascii="Arial" w:hAnsi="Arial"/>
          <w:b w:val="0"/>
          <w:i w:val="0"/>
          <w:sz w:val="19"/>
        </w:rPr>
        <w:t xml:space="preserve">State of Colorado / Office of the Governor / Hunton / Littler. (14. Mai 2026). </w:t>
      </w:r>
      <w:r>
        <w:rPr>
          <w:rFonts w:ascii="Arial" w:hAnsi="Arial"/>
          <w:b w:val="0"/>
          <w:i/>
          <w:sz w:val="19"/>
        </w:rPr>
        <w:t>Colorado AI Act Amended and Effective Date Delayed (SB 189) — Verschiebung des Stichtags von SB24-205 vom 30. Juni 2026 auf 1. Januar 2027; Streichung der Duty of Care zur Vermeidung algorithmischer Diskriminierung; Reduktion der Risikomanagement-, Impact-Assessment- und Berichtspflichten.</w:t>
      </w:r>
      <w:r>
        <w:rPr>
          <w:rFonts w:ascii="Arial" w:hAnsi="Arial"/>
          <w:b w:val="0"/>
          <w:i w:val="0"/>
          <w:sz w:val="19"/>
        </w:rPr>
        <w:t xml:space="preserve"> https://www.hunton.com/privacy-and-cybersecurity-law-blog/colorado-ai-act-amended-and-effective-date-delayed | https://www.littler.com/news-analysis/asap/colorado-amends-its-artificial-intelligence-law-substantially-reducing</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US Senate, 119th Congress. (1. Juni 2026). </w:t>
      </w:r>
      <w:r>
        <w:rPr>
          <w:rFonts w:ascii="Arial" w:hAnsi="Arial"/>
          <w:b w:val="0"/>
          <w:i/>
          <w:sz w:val="19"/>
        </w:rPr>
        <w:t>American AI Sovereign Wealth Fund Act</w:t>
      </w:r>
      <w:r>
        <w:rPr>
          <w:rFonts w:ascii="Arial" w:hAnsi="Arial"/>
          <w:b w:val="0"/>
          <w:i w:val="0"/>
          <w:sz w:val="19"/>
        </w:rPr>
        <w:t xml:space="preserve"> (Einbringer: Bernie Sanders). Einmalige 50 %-Equity-Übertragung führender KI-Unternehmen (OpenAI, Anthropic, xAI u. a.) in einen bundesstaatlich verwalteten Staatsfonds; Erträge zunächst als Bürgerdividende, später für Gesundheits-, Bildungs- und Wohnausgaben. Eintrag im Congressional Record Vol. 172 Nr. 92. Begleitende New-York-Times-Kolumne </w:t>
      </w:r>
      <w:r>
        <w:rPr>
          <w:rFonts w:ascii="Arial" w:hAnsi="Arial"/>
          <w:b w:val="0"/>
          <w:i/>
          <w:sz w:val="19"/>
        </w:rPr>
        <w:t>„The Public Should Own Half of the Big A.I. Companies"</w:t>
      </w:r>
      <w:r>
        <w:rPr>
          <w:rFonts w:ascii="Arial" w:hAnsi="Arial"/>
          <w:b w:val="0"/>
          <w:i w:val="0"/>
          <w:sz w:val="19"/>
        </w:rPr>
        <w:t xml:space="preserve"> (Mai/Juni 2026). https://www.sanders.senate.gov/op-eds/the-public-should-own-half-of-the-big-a-i-companies/</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 / Europäisches Parlament. (7. Mai 2026). </w:t>
      </w:r>
      <w:r>
        <w:rPr>
          <w:rFonts w:ascii="Arial" w:hAnsi="Arial"/>
          <w:b w:val="0"/>
          <w:i/>
          <w:sz w:val="19"/>
        </w:rPr>
        <w:t>Artificial Intelligence: Council and Parliament agree to simplify and streamline rules — politische Einigung im Trilog.</w:t>
      </w:r>
      <w:r>
        <w:rPr>
          <w:rFonts w:ascii="Arial" w:hAnsi="Arial"/>
          <w:b w:val="0"/>
          <w:i w:val="0"/>
          <w:sz w:val="19"/>
        </w:rPr>
        <w:t xml:space="preserve"> Verschiebung der Hochrisiko-Pflichten Anhang III auf 2. Dezember 2027, Anhang I auf 2. August 2028; Watermark-/Art.-50-Pflichten auf 2. Dezember 2026; neues Verbot für KI-generierte nicht-einvernehmliche intime Inhalte und kinderpornografisches Material ab 2. Dezember 2026; förmliche Annahme vor 2. August 2026 vorgesehen. https://www.consilium.europa.eu/en/press/press-releases/2026/05/07/artificial-intelligence-council-and-parliament-agree-to-simplify-and-streamline-rules/ | https://www.whitecase.com/insight-alert/eu-agrees-digital-omnibus-deal-simplify-ai-rules | https://www.taylorwessing.com/en/insights-and-events/insights/2026/05/the-eu-digital-omnibus-on-ai-what-the-political-deal-means</w:t>
      </w:r>
    </w:p>
    <w:p>
      <w:pPr>
        <w:jc w:val="both"/>
      </w:pPr>
      <w:r>
        <w:rPr>
          <w:rFonts w:ascii="Arial" w:hAnsi="Arial"/>
          <w:b w:val="0"/>
          <w:i w:val="0"/>
          <w:sz w:val="19"/>
        </w:rPr>
        <w:t xml:space="preserve">Deutscher Bundestag. (12. Juni 2026). </w:t>
      </w:r>
      <w:r>
        <w:rPr>
          <w:rFonts w:ascii="Arial" w:hAnsi="Arial"/>
          <w:b w:val="0"/>
          <w:i/>
          <w:sz w:val="19"/>
        </w:rPr>
        <w:t>Gesetz zur Durchführung der KI-Verordnung — Beschluss mit Koalitionsmehrheit; Bundesnetzagentur als zentrale KI-Marktüberwachungsbehörde mit Koordinations- und Kompetenzzentrum sowie unabhängiger KI-Marktüberwachungskammer.</w:t>
      </w:r>
      <w:r>
        <w:rPr>
          <w:rFonts w:ascii="Arial" w:hAnsi="Arial"/>
          <w:b w:val="0"/>
          <w:i w:val="0"/>
          <w:sz w:val="19"/>
        </w:rPr>
        <w:t xml:space="preserve"> https://www.bundestag.de/dokumente/textarchiv/2026/kw24-de-ki-1183820 | https://www.bundestag.de/presse/hib/kurzmeldungen-1184102</w:t>
      </w:r>
    </w:p>
    <w:p>
      <w:pPr>
        <w:jc w:val="both"/>
      </w:pPr>
      <w:r>
        <w:rPr>
          <w:rFonts w:ascii="Arial" w:hAnsi="Arial"/>
          <w:b w:val="0"/>
          <w:i w:val="0"/>
          <w:sz w:val="19"/>
        </w:rPr>
        <w:t xml:space="preserve">Deutscher Bundestag. (12. Juni 2026). </w:t>
      </w:r>
      <w:r>
        <w:rPr>
          <w:rFonts w:ascii="Arial" w:hAnsi="Arial"/>
          <w:b w:val="0"/>
          <w:i/>
          <w:sz w:val="19"/>
        </w:rPr>
        <w:t>Erste Lesung des GKV-Beitragssatzstabilisierungsgesetzes (Bundestag, kw24); Deckungslücke 2027 rund 15,3 Mrd. EUR, bis 2030 bis zu 40 Mrd. EUR; angekündigte Abgabe auf zuckergesüßte Getränke ab 2028 als ergänzender GKV-Entlastungspfad.</w:t>
      </w:r>
      <w:r>
        <w:rPr>
          <w:rFonts w:ascii="Arial" w:hAnsi="Arial"/>
          <w:b w:val="0"/>
          <w:i w:val="0"/>
          <w:sz w:val="19"/>
        </w:rPr>
        <w:t xml:space="preserve"> https://www.bundestag.de/dokumente/textarchiv/2026/kw24-de-gkv-1181958</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Challenger, Gray &amp; Christmas. (5. Juni 2026). </w:t>
      </w:r>
      <w:r>
        <w:rPr>
          <w:rFonts w:ascii="Arial" w:hAnsi="Arial"/>
          <w:b w:val="0"/>
          <w:i/>
          <w:sz w:val="19"/>
        </w:rPr>
        <w:t>Challenger Report: May Job Cuts Rise 16 % from April; Highest May Total Since 2020.</w:t>
      </w:r>
      <w:r>
        <w:rPr>
          <w:rFonts w:ascii="Arial" w:hAnsi="Arial"/>
          <w:b w:val="0"/>
          <w:i w:val="0"/>
          <w:sz w:val="19"/>
        </w:rPr>
        <w:t xml:space="preserve"> US-Gesamtstreichungen Mai 2026: 97.006 (+16 % gegenüber April; +3 % gegenüber Mai 2025); KI-bezogen 38.579 (40 % der Mai-Streichungen — höchster Monatswert seit Beginn der KI-Erfassung 2023); Tech 38.242 (höchster Monatswert seit August 2024). YTD KI 87.714 (22 % aller 2026-Pläne; bereits über dem Vorjahresgesamtwert 54.836); YTD Tech 123.653 (+66 % gegenüber Vorjahresstand). https://www.challengergray.com/blog/challenger-report-may-job-cuts-rise-16-from-april-highest-may-total-since-2020/ | https://www.challengergray.com/wp-content/uploads/2026/06/Challenger-Report-May-2026.pdf</w:t>
      </w:r>
    </w:p>
    <w:p>
      <w:pPr>
        <w:jc w:val="both"/>
      </w:pPr>
      <w:r>
        <w:rPr>
          <w:rFonts w:ascii="Arial" w:hAnsi="Arial"/>
          <w:b w:val="0"/>
          <w:i w:val="0"/>
          <w:sz w:val="19"/>
        </w:rPr>
        <w:t xml:space="preserve">TrueUp / SkillSyncer. (Stand 11. Juni 2026). </w:t>
      </w:r>
      <w:r>
        <w:rPr>
          <w:rFonts w:ascii="Arial" w:hAnsi="Arial"/>
          <w:b w:val="0"/>
          <w:i/>
          <w:sz w:val="19"/>
        </w:rPr>
        <w:t>Tech Layoffs Tracker — 247 Layoff-Ereignisse, 183.966 betroffene Beschäftigte (rund 974 Personen pro Tag, 44 % über Vorjahres-Tempo); 55 % der Ereignisse explizit KI-/Automatisierungs-bezogen (152.415 Beschäftigte aus 135 Unternehmen).</w:t>
      </w:r>
      <w:r>
        <w:rPr>
          <w:rFonts w:ascii="Arial" w:hAnsi="Arial"/>
          <w:b w:val="0"/>
          <w:i w:val="0"/>
          <w:sz w:val="19"/>
        </w:rPr>
        <w:t xml:space="preserve"> Tagesfortschreibung über Q1-Mai-Juni-Verlauf: Cloudflare-Welle (7. Mai), parallele Amdocs-Ankündigung (~2.900 Stellen, 10. Juni), Salesforce-Trimmung Agentforce/MuleSoft/Marketing Cloud, Google Cloud / Threat Intelligence Group, Expeditors International (~230 Stellen). https://www.trueup.io/layoffs | https://skillsyncer.com/layoffs-tracker | https://www.techtimes.com/articles/317848/20260605/tech-layoffs-2026-hit-149935-uber-cuts-hr-days-after-ai-drained-its-coding-budget.htm</w:t>
      </w:r>
    </w:p>
    <w:p>
      <w:pPr>
        <w:jc w:val="both"/>
      </w:pPr>
      <w:r>
        <w:rPr>
          <w:rFonts w:ascii="Arial" w:hAnsi="Arial"/>
          <w:b w:val="0"/>
          <w:i w:val="0"/>
          <w:sz w:val="19"/>
        </w:rPr>
        <w:t xml:space="preserve">Reuters / Fox Business / The Hill / Reason / Fortune. (1.–3. Juni 2026). </w:t>
      </w:r>
      <w:r>
        <w:rPr>
          <w:rFonts w:ascii="Arial" w:hAnsi="Arial"/>
          <w:b w:val="0"/>
          <w:i/>
          <w:sz w:val="19"/>
        </w:rPr>
        <w:t>Sanders introduces American AI Sovereign Wealth Fund Act / Bernie Sanders unveils plan to take 50 % stake in AI companies for government wealth fund / Bernie Sanders wants Americans to own a piece of AI. The Trump White House seems to agree.</w:t>
      </w:r>
      <w:r>
        <w:rPr>
          <w:rFonts w:ascii="Arial" w:hAnsi="Arial"/>
          <w:b w:val="0"/>
          <w:i w:val="0"/>
          <w:sz w:val="19"/>
        </w:rPr>
        <w:t xml:space="preserve"> Sammelberichterstattung zum Sovereign-Wealth-Fund-Vorstoß (einmalige 50 %-Equity-Übertragung von OpenAI/Anthropic/xAI; Altman-Sanders-Gespräch Anfang Juni 2026; Altman grundsätzlich offen, hält 50 % aber für „zu ambitioniert"). https://thehill.com/policy/technology/5906140-sanders-ai-ownership-wealth/ | https://www.foxbusiness.com/politics/sanders-unveils-plan-take-50-stake-ai-companies-government-wealth-fund | https://fortune.com/2026/06/03/bernie-sanders-ai-ownership-sovereign-wealth-fund-electrification/ | https://reason.com/2026/06/02/bernie-sanders-ai-wealth-fund-bill-shows-that-he-doesnt-understand-ai-or-wealth/</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i w:val="0"/>
          <w:sz w:val="19"/>
        </w:rPr>
        <w:t>Hinweis zur Aktualität:</w:t>
      </w:r>
      <w:r>
        <w:rPr>
          <w:rFonts w:ascii="Arial" w:hAnsi="Arial"/>
          <w:b w:val="0"/>
          <w:i w:val="0"/>
          <w:sz w:val="19"/>
        </w:rPr>
        <w:t xml:space="preserve"> Dieses Arbeitspapier gibt den Stand Mitte Juni 2026 (Schnitt am 12. Juni 2026 — Lauf 001 vom 12. Juni 2026, Version 23.0) wieder. Ergänzungen gegenüber Version 22.0 (8. Mai 2026): Sanders-Folgeinitiative </w:t>
      </w:r>
      <w:r>
        <w:rPr>
          <w:rFonts w:ascii="Arial" w:hAnsi="Arial"/>
          <w:b w:val="0"/>
          <w:i/>
          <w:sz w:val="19"/>
        </w:rPr>
        <w:t>American AI Sovereign Wealth Fund Act</w:t>
      </w:r>
      <w:r>
        <w:rPr>
          <w:rFonts w:ascii="Arial" w:hAnsi="Arial"/>
          <w:b w:val="0"/>
          <w:i w:val="0"/>
          <w:sz w:val="19"/>
        </w:rPr>
        <w:t xml:space="preserve"> mit programmatischer Verschiebung von Robotersteuer auf Sovereign-Wealth-Modell (1. Juni 2026; einmalige 50 %-Equity-Übertragung OpenAI/Anthropic/xAI); Unterzeichnung des Connecticut </w:t>
      </w:r>
      <w:r>
        <w:rPr>
          <w:rFonts w:ascii="Arial" w:hAnsi="Arial"/>
          <w:b w:val="0"/>
          <w:i/>
          <w:sz w:val="19"/>
        </w:rPr>
        <w:t>SB 5 / CART Act</w:t>
      </w:r>
      <w:r>
        <w:rPr>
          <w:rFonts w:ascii="Arial" w:hAnsi="Arial"/>
          <w:b w:val="0"/>
          <w:i w:val="0"/>
          <w:sz w:val="19"/>
        </w:rPr>
        <w:t xml:space="preserve"> als </w:t>
      </w:r>
      <w:r>
        <w:rPr>
          <w:rFonts w:ascii="Arial" w:hAnsi="Arial"/>
          <w:b w:val="0"/>
          <w:i/>
          <w:sz w:val="19"/>
        </w:rPr>
        <w:t>Public Act 26-15</w:t>
      </w:r>
      <w:r>
        <w:rPr>
          <w:rFonts w:ascii="Arial" w:hAnsi="Arial"/>
          <w:b w:val="0"/>
          <w:i w:val="0"/>
          <w:sz w:val="19"/>
        </w:rPr>
        <w:t xml:space="preserve"> durch Gouverneur Lamont (2. Juni 2026); Colorado-Verschiebung des AI-Act-Stichtags durch </w:t>
      </w:r>
      <w:r>
        <w:rPr>
          <w:rFonts w:ascii="Arial" w:hAnsi="Arial"/>
          <w:b w:val="0"/>
          <w:i/>
          <w:sz w:val="19"/>
        </w:rPr>
        <w:t>SB 189</w:t>
      </w:r>
      <w:r>
        <w:rPr>
          <w:rFonts w:ascii="Arial" w:hAnsi="Arial"/>
          <w:b w:val="0"/>
          <w:i w:val="0"/>
          <w:sz w:val="19"/>
        </w:rPr>
        <w:t xml:space="preserve"> (14. Mai 2026) vom 30. Juni 2026 auf 1. Januar 2027 mit Streichung der Duty of Care; politische EU-Trilog-Einigung über den </w:t>
      </w:r>
      <w:r>
        <w:rPr>
          <w:rFonts w:ascii="Arial" w:hAnsi="Arial"/>
          <w:b w:val="0"/>
          <w:i/>
          <w:sz w:val="19"/>
        </w:rPr>
        <w:t>Digital Omnibus on AI</w:t>
      </w:r>
      <w:r>
        <w:rPr>
          <w:rFonts w:ascii="Arial" w:hAnsi="Arial"/>
          <w:b w:val="0"/>
          <w:i w:val="0"/>
          <w:sz w:val="19"/>
        </w:rPr>
        <w:t xml:space="preserve"> (7. Mai 2026; Anhang III ab 2. Dezember 2027, Anhang I ab 2. August 2028, Watermark-Pflichten und Nudifier-Verbot ab 2. Dezember 2026); Bundestags-Beschluss des </w:t>
      </w:r>
      <w:r>
        <w:rPr>
          <w:rFonts w:ascii="Arial" w:hAnsi="Arial"/>
          <w:b w:val="0"/>
          <w:i/>
          <w:sz w:val="19"/>
        </w:rPr>
        <w:t>KI-Verordnungs-Durchführungsgesetzes</w:t>
      </w:r>
      <w:r>
        <w:rPr>
          <w:rFonts w:ascii="Arial" w:hAnsi="Arial"/>
          <w:b w:val="0"/>
          <w:i w:val="0"/>
          <w:sz w:val="19"/>
        </w:rPr>
        <w:t xml:space="preserve"> am 12. Juni 2026 (Bundesnetzagentur als zentrale KI-Marktüberwachungsbehörde); erste Bundestagslesung des </w:t>
      </w:r>
      <w:r>
        <w:rPr>
          <w:rFonts w:ascii="Arial" w:hAnsi="Arial"/>
          <w:b w:val="0"/>
          <w:i/>
          <w:sz w:val="19"/>
        </w:rPr>
        <w:t>GKV-Beitragssatzstabilisierungsgesetzes</w:t>
      </w:r>
      <w:r>
        <w:rPr>
          <w:rFonts w:ascii="Arial" w:hAnsi="Arial"/>
          <w:b w:val="0"/>
          <w:i w:val="0"/>
          <w:sz w:val="19"/>
        </w:rPr>
        <w:t xml:space="preserve"> am 12. Juni 2026 mit angekündigter Zuckergetränke-Abgabe ab 2028; </w:t>
      </w:r>
      <w:r>
        <w:rPr>
          <w:rFonts w:ascii="Arial" w:hAnsi="Arial"/>
          <w:b w:val="0"/>
          <w:i/>
          <w:sz w:val="19"/>
        </w:rPr>
        <w:t>Challenger May-2026-Job-Cuts-Report</w:t>
      </w:r>
      <w:r>
        <w:rPr>
          <w:rFonts w:ascii="Arial" w:hAnsi="Arial"/>
          <w:b w:val="0"/>
          <w:i w:val="0"/>
          <w:sz w:val="19"/>
        </w:rPr>
        <w:t xml:space="preserve"> mit KI-bezogen 38.579 / 40 % der Mai-Streichungen (höchster Monatswert seit Erfassungsbeginn 2023) und Tech-Sektor 38.242 (höchstmonatswert seit August 2024); TrueUp-Tracker-Stand 11. Juni 2026 mit 183.966 betroffenen Beschäftigten aus 247 Layoff-Ereignissen (55 % KI-bezogen, 152.415 Personen); Optimalsteuer-Beitrag </w:t>
      </w:r>
      <w:r>
        <w:rPr>
          <w:rFonts w:ascii="Arial" w:hAnsi="Arial"/>
          <w:b w:val="0"/>
          <w:i/>
          <w:sz w:val="19"/>
        </w:rPr>
        <w:t>Growiec, Prettner &amp; Szkróbka</w:t>
      </w:r>
      <w:r>
        <w:rPr>
          <w:rFonts w:ascii="Arial" w:hAnsi="Arial"/>
          <w:b w:val="0"/>
          <w:i w:val="0"/>
          <w:sz w:val="19"/>
        </w:rPr>
        <w:t xml:space="preserve"> (arXiv 2603.17898, 18. März 2026) zur Schwellenargumentation einer KI-Besteuerung beim Übergang kognitiver Arbeit in manuelle Tätigkeit.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