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88.0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(Konjunktivpflicht nach § 4.2 Claude.md, da der Papiertext zum Redaktionsschluss nicht vollständig öffentlich vorliegt.) Substantiell führt das Papier vier Instrumente zusammen: Erstens eine ausdrückliche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(„Deshalb werden wir die Bemessung der Gewerbesteuer hier ändern"); zweitens eine höhere Besteuerung großer </w:t>
      </w:r>
      <w:r>
        <w:rPr>
          <w:rFonts w:ascii="Arial" w:hAnsi="Arial"/>
          <w:b w:val="0"/>
          <w:i/>
          <w:sz w:val="19"/>
        </w:rPr>
        <w:t>Tech-Konzerne</w:t>
      </w:r>
      <w:r>
        <w:rPr>
          <w:rFonts w:ascii="Arial" w:hAnsi="Arial"/>
          <w:b w:val="0"/>
          <w:i w:val="0"/>
          <w:sz w:val="19"/>
        </w:rPr>
        <w:t xml:space="preserve"> („large tech companies fairly taxed"); drittens die Verbreiterung der Sozialstaats-Finanzierungsbasis über Kapitaleinkünfte, Produktivitätsgewinne und weitere Wertschöpfungsquellen, wenn nach einer KI-Einführung Lohnsteuer-Einnahmen wegbrächen; viertens eine — nach den vorliegenden Rezeptionen erstmalige — deployerseitige </w:t>
      </w:r>
      <w:r>
        <w:rPr>
          <w:rFonts w:ascii="Arial" w:hAnsi="Arial"/>
          <w:b w:val="0"/>
          <w:i/>
          <w:sz w:val="19"/>
        </w:rPr>
        <w:t>KI-Ausbildungsgarantie</w:t>
      </w:r>
      <w:r>
        <w:rPr>
          <w:rFonts w:ascii="Arial" w:hAnsi="Arial"/>
          <w:b w:val="0"/>
          <w:i w:val="0"/>
          <w:sz w:val="19"/>
        </w:rPr>
        <w:t xml:space="preserve"> für größere Betriebe: „Sinkt nach einer KI-Einführung die Zahl qualifizierter Einstiegsstellen deutlich, müsse der Betrieb bezahlte Berufseinstiegsprogramme, zusätzliche Ausbildungsplätze oder vergleichbare Lernstellen schaffen. Tue er das nicht, zahle er in einen branchenbezogenen </w:t>
      </w:r>
      <w:r>
        <w:rPr>
          <w:rFonts w:ascii="Arial" w:hAnsi="Arial"/>
          <w:b w:val="0"/>
          <w:i/>
          <w:sz w:val="19"/>
        </w:rPr>
        <w:t>Nachwuchsfonds</w:t>
      </w:r>
      <w:r>
        <w:rPr>
          <w:rFonts w:ascii="Arial" w:hAnsi="Arial"/>
          <w:b w:val="0"/>
          <w:i w:val="0"/>
          <w:sz w:val="19"/>
        </w:rPr>
        <w:t xml:space="preserve"> ein."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KI-Ausbildungsgarantie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(Ausbildungsgarantie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werden wir die Bemessung der Gewerbesteuer hier ändern"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KI-Ausbildungsgarantie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KI-Ausbildungsgarantie</w:t>
      </w:r>
      <w:r>
        <w:rPr>
          <w:rFonts w:ascii="Arial" w:hAnsi="Arial"/>
          <w:b w:val="0"/>
          <w:i w:val="0"/>
          <w:sz w:val="19"/>
        </w:rPr>
        <w:t xml:space="preserve"> verpflichtet Betriebe,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Konjunktivpflicht nach § 4.2 Claude.md, da der vollständige Papiertext zum Redaktionsschluss nicht öffentlich vorliegt.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https://www.bundestag.de/dokumente/textarchiv/2026/kw37-de-digitales-1194742 und https://www.bundestag.de/dokumente/textarchiv/2026/kw37-de-wirtschaft-1194768</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8. September 2026 — Lauf 001 vom 8. September 2026, Version 88.0)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