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Mit dem am 26. Juni 2026 veröffentlichten Folgebericht </w:t>
      </w:r>
      <w:r>
        <w:rPr>
          <w:rFonts w:ascii="Arial" w:hAnsi="Arial"/>
          <w:b w:val="0"/>
          <w:i/>
          <w:sz w:val="19"/>
        </w:rPr>
        <w:t>„Cadences"</w:t>
      </w:r>
      <w:r>
        <w:rPr>
          <w:rFonts w:ascii="Arial" w:hAnsi="Arial"/>
          <w:b w:val="0"/>
          <w:i w:val="0"/>
          <w:sz w:val="19"/>
        </w:rPr>
        <w:t xml:space="preserve"> hat Anthropic das im April 2026 begonnene qualitative Survey-Format mit den nutzungsdatenbasierten Index-Daten verschränkt: Eine Befragung von rund 9.700 Claude-Nutzerinnen und -Nutzern, deren Antworten privacy-preserving an die tatsächlichen Sitzungsdaten gekoppelt wurden, dokumentiert eine Selbsteinschätzung, die signifikant über der bisher gemessenen Adoption liegt: Etwa die Hälfte der Befragten gibt an, KI könne bereits heute mindestens 50 % ihrer Arbeitstätigkeiten übernehmen; 4 % geben an, Claude könne ihren gesamten Job bewältigen; auf Sicht von zwölf Monaten erwarten 26 % eine KI-Übernahme der Mehrheit ihrer Tätigkeiten und insgesamt mehr als ein Drittel rechnet mit einer KI-Übernahme „der meisten oder fast aller" Aufgaben; zugleich liegt die </w:t>
      </w:r>
      <w:r>
        <w:rPr>
          <w:rFonts w:ascii="Arial" w:hAnsi="Arial"/>
          <w:b w:val="0"/>
          <w:i/>
          <w:sz w:val="19"/>
        </w:rPr>
        <w:t>berichtete</w:t>
      </w:r>
      <w:r>
        <w:rPr>
          <w:rFonts w:ascii="Arial" w:hAnsi="Arial"/>
          <w:b w:val="0"/>
          <w:i w:val="0"/>
          <w:sz w:val="19"/>
        </w:rPr>
        <w:t xml:space="preserve"> Exposition deutlich über der </w:t>
      </w:r>
      <w:r>
        <w:rPr>
          <w:rFonts w:ascii="Arial" w:hAnsi="Arial"/>
          <w:b w:val="0"/>
          <w:i/>
          <w:sz w:val="19"/>
        </w:rPr>
        <w:t>beobachteten</w:t>
      </w:r>
      <w:r>
        <w:rPr>
          <w:rFonts w:ascii="Arial" w:hAnsi="Arial"/>
          <w:b w:val="0"/>
          <w:i w:val="0"/>
          <w:sz w:val="19"/>
        </w:rPr>
        <w:t xml:space="preserve">. Die Befragten, die am stärksten an Claude delegieren, sind zugleich am optimistischsten in Bezug auf Lohn, Beschäftigungssicherheit und beruflichen Sinn — eine Vertiefung der bereits im 81k-Folgeband dokumentierten </w:t>
      </w:r>
      <w:r>
        <w:rPr>
          <w:rFonts w:ascii="Arial" w:hAnsi="Arial"/>
          <w:b w:val="0"/>
          <w:i/>
          <w:sz w:val="19"/>
        </w:rPr>
        <w:t>Produktivitäts-Angst-Paradoxie</w:t>
      </w:r>
      <w:r>
        <w:rPr>
          <w:rFonts w:ascii="Arial" w:hAnsi="Arial"/>
          <w:b w:val="0"/>
          <w:i w:val="0"/>
          <w:sz w:val="19"/>
        </w:rPr>
        <w:t xml:space="preserve">, weil sich nun zeigt, dass Optimismus und intensive Nutzung positiv korrelieren, nicht negativ. Methodisch neu ist die Stundenraster-Auswertung über drei Plattformen (Claude.ai, Cowork, Claude Code) im Zeitraum 10. April – 10. Juni 2026: Wochenend-Nutzung verschiebt sich von Arbeits- zu persönlichen Themen (Anteil persönlicher Konversationen wochentags rund 35 %, am Wochenende fast 50 %), und Claude Code zeigt in 26 von 31 Output-Typen eine höhere KI-Autonomie als Chat oder Cowork (durchschnittliche Differenz 0,37 auf der Autonomie-Skala). Auch geschlechtsspezifische Nutzungsmuster werden erstmals quantifiziert (Frauen nutzen den automatisierten Modus 7,3 Prozentpunkte seltener und bevorzugen iterative Kollaboration). Für die hier geführte Steuerdebatte verschärft der Bericht zwei Befunde, ohne den Yale-Budget-Lab-Aggregatbefund zu widerlegen: Erstens öffnet sich die Schere zwischen </w:t>
      </w:r>
      <w:r>
        <w:rPr>
          <w:rFonts w:ascii="Arial" w:hAnsi="Arial"/>
          <w:b w:val="0"/>
          <w:i/>
          <w:sz w:val="19"/>
        </w:rPr>
        <w:t>erwarteter</w:t>
      </w:r>
      <w:r>
        <w:rPr>
          <w:rFonts w:ascii="Arial" w:hAnsi="Arial"/>
          <w:b w:val="0"/>
          <w:i w:val="0"/>
          <w:sz w:val="19"/>
        </w:rPr>
        <w:t xml:space="preserve"> Substitutionsbreite (über ein Drittel innerhalb von zwölf Monaten) und </w:t>
      </w:r>
      <w:r>
        <w:rPr>
          <w:rFonts w:ascii="Arial" w:hAnsi="Arial"/>
          <w:b w:val="0"/>
          <w:i/>
          <w:sz w:val="19"/>
        </w:rPr>
        <w:t>gemessener</w:t>
      </w:r>
      <w:r>
        <w:rPr>
          <w:rFonts w:ascii="Arial" w:hAnsi="Arial"/>
          <w:b w:val="0"/>
          <w:i w:val="0"/>
          <w:sz w:val="19"/>
        </w:rPr>
        <w:t xml:space="preserve"> aggregierter Disruption (weiterhin im historischen Korridor) weiter — die in § 8.4 entwickelte Vertrauens-Design-Linie wird damit zeitlich knapper. Zweitens ist die Tatsache, dass intensive Nutzung mit höherer Sicherheits- und Lohnerwartung einhergeht, ein eigenständiges Argument gegen die Innovationsbremse-These des Bloomberg-Editorials (§ 4.5): Nicht KI-Adoption an sich, sondern ungleich verteilte Adoption erzeugt Verteilungsdruck, und eine Reform, die Adoptionsgewinne sichtbar abschöpft und teilbar zurückgibt, kann diesen Druck mildern, ohne die Adoption zu drosseln.</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Am 7. Mai 2026 haben Parlament und Rat eine politische Vorab-Einigung erzielt, die der Rat am 13. Mai 2026 auf Mitgliedstaats-Ebene bestätigt hat; das Europäische Parlament hat den Text am 16. Juni 2026 in der Plenardebatte mit 423 zu 57 Stimmen bei 174 Enthaltungen angenommen. Die förmliche Annahme durch den Rat ist für die Sitzung am 29. Juni 2026 vorgesehen; im Anschluss folgen Unterzeichnung durch die Präsidenten beider Institutionen und Veröffentlichung im </w:t>
      </w:r>
      <w:r>
        <w:rPr>
          <w:rFonts w:ascii="Arial" w:hAnsi="Arial"/>
          <w:b w:val="0"/>
          <w:i/>
          <w:sz w:val="19"/>
        </w:rPr>
        <w:t>Amtsblatt der Europäischen Union</w:t>
      </w:r>
      <w:r>
        <w:rPr>
          <w:rFonts w:ascii="Arial" w:hAnsi="Arial"/>
          <w:b w:val="0"/>
          <w:i w:val="0"/>
          <w:sz w:val="19"/>
        </w:rPr>
        <w:t>, voraussichtlich im Juli 2026, jedenfalls vor dem ursprünglichen Stichtag 2. August 2026. Inhaltlich bestätigt die Einigung die in den Trilog-Verhandlungen konvergierten Stichtage; ergänzend wurde ein ausdrückliches Verbot KI-generierter nicht-konsensueller intimer Bildinhalte („nudification tools" und Kinderpornographie-Generatoren) für Anbieter und Deployer aufgenommen, das ab dem 2. Dezember 2026 verbindlich gilt. Bis zur förmlichen Ratsannahme und Veröffentlichung im Amtsblatt bleiben die ursprünglichen AI-Act-Fristen rechtlich verbindlich. Die zypriotische Ratspräsidentschaft schließt das Dossier damit innerhalb ihrer am 30. Juni 2026 endenden Amtszeit ab; die irische Präsidentschaft (zweite Jahreshälfte 2026) übernimmt eine bereits konsolidierte Rechtslage.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die Linie schließlich in einen eigenständigen Gesetzentwurf überführt und im Senat den </w:t>
      </w:r>
      <w:r>
        <w:rPr>
          <w:rFonts w:ascii="Arial" w:hAnsi="Arial"/>
          <w:b w:val="0"/>
          <w:i/>
          <w:sz w:val="19"/>
        </w:rPr>
        <w:t>American AI Sovereign Wealth Fund Act</w:t>
      </w:r>
      <w:r>
        <w:rPr>
          <w:rFonts w:ascii="Arial" w:hAnsi="Arial"/>
          <w:b w:val="0"/>
          <w:i w:val="0"/>
          <w:sz w:val="19"/>
        </w:rPr>
        <w:t xml:space="preserve"> eingebracht; flankierend ist ein gemeinsam mit dem </w:t>
      </w:r>
      <w:r>
        <w:rPr>
          <w:rFonts w:ascii="Arial" w:hAnsi="Arial"/>
          <w:b w:val="0"/>
          <w:i/>
          <w:sz w:val="19"/>
        </w:rPr>
        <w:t>Fortune-Beitrag</w:t>
      </w:r>
      <w:r>
        <w:rPr>
          <w:rFonts w:ascii="Arial" w:hAnsi="Arial"/>
          <w:b w:val="0"/>
          <w:i w:val="0"/>
          <w:sz w:val="19"/>
        </w:rPr>
        <w:t xml:space="preserve"> von Sanders verfasster Namensartikel („The Public Should Own Half of the Big A.I. Companies") erschienen. Der Entwurf zielt — anders als das im März 2026 eingebrachte Rechenzentren-Moratorium und anders als die Original-„Robotersteuer"-Idee aus dem Oktober-2025-Report — nicht auf eine Tätigkeits-, Lohn- oder Ersatzanknüpfung, sondern auf eine </w:t>
      </w:r>
      <w:r>
        <w:rPr>
          <w:rFonts w:ascii="Arial" w:hAnsi="Arial"/>
          <w:b w:val="0"/>
          <w:i/>
          <w:sz w:val="19"/>
        </w:rPr>
        <w:t>einmalige Vermögensanknüpfung</w:t>
      </w:r>
      <w:r>
        <w:rPr>
          <w:rFonts w:ascii="Arial" w:hAnsi="Arial"/>
          <w:b w:val="0"/>
          <w:i w:val="0"/>
          <w:sz w:val="19"/>
        </w:rPr>
        <w:t xml:space="preserve">: KI-Unternehmen mit jährlichen KI-Umsätzen ab 200 Millionen US-Dollar (genannt werden OpenAI, Anthropic, xAI u. a.) sollen 50 % ihres Aktienkapitals an einen neuen </w:t>
      </w:r>
      <w:r>
        <w:rPr>
          <w:rFonts w:ascii="Arial" w:hAnsi="Arial"/>
          <w:b w:val="0"/>
          <w:i/>
          <w:sz w:val="19"/>
        </w:rPr>
        <w:t>American AI Sovereign Wealth Fund</w:t>
      </w:r>
      <w:r>
        <w:rPr>
          <w:rFonts w:ascii="Arial" w:hAnsi="Arial"/>
          <w:b w:val="0"/>
          <w:i w:val="0"/>
          <w:sz w:val="19"/>
        </w:rPr>
        <w:t xml:space="preserve"> abführen, der von einer siebenköpfigen, vom Präsidenten nominierten und vom Senat bestätigten </w:t>
      </w:r>
      <w:r>
        <w:rPr>
          <w:rFonts w:ascii="Arial" w:hAnsi="Arial"/>
          <w:b w:val="0"/>
          <w:i/>
          <w:sz w:val="19"/>
        </w:rPr>
        <w:t>Independent Commission for Democratic AI</w:t>
      </w:r>
      <w:r>
        <w:rPr>
          <w:rFonts w:ascii="Arial" w:hAnsi="Arial"/>
          <w:b w:val="0"/>
          <w:i w:val="0"/>
          <w:sz w:val="19"/>
        </w:rPr>
        <w:t xml:space="preserve"> verwaltet wird. Über die Stimmrechtsanteile soll der Fonds Entscheidungen blockieren können, die nach Einschätzung der Kommission der amerikanischen Bevölkerung schaden, und Sanders beziffert das Fondsvolumen — gestützt auf eine begleitende Pressemitteilung von Senatsbüro und Associated-Press-Aufgriff — bei aktuellen Bewertungen auf rund 7 Billionen US-Dollar; eine fünfprozentige Jahresdividende des Fonds könnte demnach jeder US-Bürgerin und jedem US-Bürger jährlich rund 1.000 US-Dollar Direktzahlung verschaffen. Unternehmen, die sowohl KI- als auch Nicht-KI-Geschäft betreiben, müssen die Bereiche zur Anwendung der 50-Prozent-Tranche organisatorisch trennen. Die Aussicht auf Annahme des Entwurfs in einem republikanisch geführten Kongress gilt als gering — der konservative </w:t>
      </w:r>
      <w:r>
        <w:rPr>
          <w:rFonts w:ascii="Arial" w:hAnsi="Arial"/>
          <w:b w:val="0"/>
          <w:i/>
          <w:sz w:val="19"/>
        </w:rPr>
        <w:t>Reason</w:t>
      </w:r>
      <w:r>
        <w:rPr>
          <w:rFonts w:ascii="Arial" w:hAnsi="Arial"/>
          <w:b w:val="0"/>
          <w:i w:val="0"/>
          <w:sz w:val="19"/>
        </w:rPr>
        <w:t xml:space="preserve"> (2. Juni 2026) sowie das </w:t>
      </w:r>
      <w:r>
        <w:rPr>
          <w:rFonts w:ascii="Arial" w:hAnsi="Arial"/>
          <w:b w:val="0"/>
          <w:i/>
          <w:sz w:val="19"/>
        </w:rPr>
        <w:t>AEI</w:t>
      </w:r>
      <w:r>
        <w:rPr>
          <w:rFonts w:ascii="Arial" w:hAnsi="Arial"/>
          <w:b w:val="0"/>
          <w:i w:val="0"/>
          <w:sz w:val="19"/>
        </w:rPr>
        <w:t xml:space="preserve"> haben den Vorschlag als ökonomisch unausgereift kritisiert; bemerkenswert ist allerdings, dass </w:t>
      </w:r>
      <w:r>
        <w:rPr>
          <w:rFonts w:ascii="Arial" w:hAnsi="Arial"/>
          <w:b w:val="0"/>
          <w:i/>
          <w:sz w:val="19"/>
        </w:rPr>
        <w:t>Fortune</w:t>
      </w:r>
      <w:r>
        <w:rPr>
          <w:rFonts w:ascii="Arial" w:hAnsi="Arial"/>
          <w:b w:val="0"/>
          <w:i w:val="0"/>
          <w:sz w:val="19"/>
        </w:rPr>
        <w:t xml:space="preserve"> (3. Juni 2026) parallel auf eine kongruente Strömung im Weißen Haus verweist, die ein „Universal Basic Capital"-Modell als Antwort auf KI-induzierte Verteilungsfragen diskutiert. Für die hier geführte Debatte ist der Entwurf doppelt relevant: Erstens verlagert er die fiskalische Anknüpfung von der Tätigkeitsebene (Typ 5 nach § 2.1) auf die Eigentumsebene (Typ 4 in seiner radikalsten Ausgestaltung: nicht Steuersatzkorrektur, sondern Anteilsabgabe) und liefert damit ein US-amerikanisches Pendant zur in § 5.4 und § 8.3 diskutierten Staatsfonds-Logik; zweitens überspringt er die in § 9.1 dokumentierten Mess- und Definitionsprobleme einer Displacement-basierten Anknüpfung, indem er Unternehmens-, nicht Tätigkeitseigenschaften adressiert. Die in § 4.5 weiter unten diskutierten Bloomberg-/IW-Köln-Einwände gegen eine KI-Steuer treffen den Entwurf in modifizierter Form: nicht als Innovations-, sondern als Eigentumseingriffs-Argument.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fand am 12. Juni 2026 statt, in derselben Sitzungswoche hat auch der Bundesrat im ersten Durchgang Stellung genommen (Stand 18. Juni 2026 in der ressortinternen Auflistung). Die öffentliche Anhörung des Gesundheitsausschusses des Bundestages folgte am 22. Juni 2026 im Paul-Löbe-Haus (Europasaal 4900, 14:15 bis 16:45 Uhr): Über neunzig geladene Sachverständige und Verbände — darunter Kassenärztliche Bundesvereinigung, Deutsche Krankenhausgesellschaft, GKV-Spitzenverband, Sozialverbände, Gewerkschaften, pharmazeutische Verbände und Heilmittelverbände — haben überwiegend schriftliche Stellungnahmen vorgelegt und im Termin vertieft. Die gemeinsame Stoßrichtung der Stellungnahmen zielt nach der Berichterstattung des Bundestags-Pressedienstes und des </w:t>
      </w:r>
      <w:r>
        <w:rPr>
          <w:rFonts w:ascii="Arial" w:hAnsi="Arial"/>
          <w:b w:val="0"/>
          <w:i/>
          <w:sz w:val="19"/>
        </w:rPr>
        <w:t>Deutschen Ärzteblatts</w:t>
      </w:r>
      <w:r>
        <w:rPr>
          <w:rFonts w:ascii="Arial" w:hAnsi="Arial"/>
          <w:b w:val="0"/>
          <w:i w:val="0"/>
          <w:sz w:val="19"/>
        </w:rPr>
        <w:t xml:space="preserve"> darauf, dass der Entwurf einseitig die Versicherten- und Leistungserbringerseite belaste, eine Verbreiterung der </w:t>
      </w:r>
      <w:r>
        <w:rPr>
          <w:rFonts w:ascii="Arial" w:hAnsi="Arial"/>
          <w:b w:val="0"/>
          <w:i/>
          <w:sz w:val="19"/>
        </w:rPr>
        <w:t>Einnahmenseite</w:t>
      </w:r>
      <w:r>
        <w:rPr>
          <w:rFonts w:ascii="Arial" w:hAnsi="Arial"/>
          <w:b w:val="0"/>
          <w:i w:val="0"/>
          <w:sz w:val="19"/>
        </w:rPr>
        <w:t xml:space="preserve"> — Übernahme versicherungsfremder Leistungen aus Bundesmitteln, Bemessungsgrundlagen-Reform, Wertschöpfungsbezug — aber weitgehend ausspare; mehrere Sozialverbände und Gewerkschaften fordern eine paritätische Lastenverteilung. Eine endgültige Bundestagsabstimmung war zum Stand 30. Juni 2026 noch ausstehend und wurde nach Berichterstattung des </w:t>
      </w:r>
      <w:r>
        <w:rPr>
          <w:rFonts w:ascii="Arial" w:hAnsi="Arial"/>
          <w:b w:val="0"/>
          <w:i/>
          <w:sz w:val="19"/>
        </w:rPr>
        <w:t>Deutschen Ärzteblatts</w:t>
      </w:r>
      <w:r>
        <w:rPr>
          <w:rFonts w:ascii="Arial" w:hAnsi="Arial"/>
          <w:b w:val="0"/>
          <w:i w:val="0"/>
          <w:sz w:val="19"/>
        </w:rPr>
        <w:t xml:space="preserve"> in eine spätere Sitzungswoche (Kalenderwoche 28, Juli 2026) verschoben. Für die hier geführte Steuerdebatte ist die Anhörung relevant, weil sie die in § 5.1 (Wertschöpfungsabgabe) und § 5.2 (Bürgerversicherung) angelegte Erweiterung der Bemessungsgrundlage erstmals systematisch in das Verbände-Echo zur GKV-Konsolidierungsdebatte trägt: Die Sachverständigenseite verschiebt damit die fachliche Gewichtung von „Ausgaben an Einnahmen koppeln" hin zu „Einnahmenseite verbreitern" — eine Stoßrichtung, die mit der in § 8 entwickelten Deutschland-These finanzierungs­seitig kompatibel ist.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Anthropic. (26. Juni 2026). </w:t>
      </w:r>
      <w:r>
        <w:rPr>
          <w:rFonts w:ascii="Arial" w:hAnsi="Arial"/>
          <w:b w:val="0"/>
          <w:i/>
          <w:sz w:val="19"/>
        </w:rPr>
        <w:t>Anthropic Economic Index Report: Cadences.</w:t>
      </w:r>
      <w:r>
        <w:rPr>
          <w:rFonts w:ascii="Arial" w:hAnsi="Arial"/>
          <w:b w:val="0"/>
          <w:i w:val="0"/>
          <w:sz w:val="19"/>
        </w:rPr>
        <w:t xml:space="preserve"> Verschränkt Nutzungs-Telemetrie der drei Plattformen (Claude.ai, Cowork, Claude Code) zwischen 10. April und 10. Juni 2026 mit einer linked-survey-Stichprobe von rund 9.700 Claude-Nutzerinnen und -Nutzern. Schlüsselbefunde: etwa die Hälfte berichtet, KI könne bereits heute mindestens 50 % der Tätigkeiten übernehmen; 4 % berichten vollständige Job-Substitution; auf Sicht von zwölf Monaten erwarten 26 % die KI-Übernahme der Mehrheit ihrer Tätigkeiten; mehr als ein Drittel rechnet mit „der meisten oder fast aller" Aufgaben; </w:t>
      </w:r>
      <w:r>
        <w:rPr>
          <w:rFonts w:ascii="Arial" w:hAnsi="Arial"/>
          <w:b w:val="0"/>
          <w:i/>
          <w:sz w:val="19"/>
        </w:rPr>
        <w:t>berichtete</w:t>
      </w:r>
      <w:r>
        <w:rPr>
          <w:rFonts w:ascii="Arial" w:hAnsi="Arial"/>
          <w:b w:val="0"/>
          <w:i w:val="0"/>
          <w:sz w:val="19"/>
        </w:rPr>
        <w:t xml:space="preserve"> Exposition über </w:t>
      </w:r>
      <w:r>
        <w:rPr>
          <w:rFonts w:ascii="Arial" w:hAnsi="Arial"/>
          <w:b w:val="0"/>
          <w:i/>
          <w:sz w:val="19"/>
        </w:rPr>
        <w:t>beobachteter</w:t>
      </w:r>
      <w:r>
        <w:rPr>
          <w:rFonts w:ascii="Arial" w:hAnsi="Arial"/>
          <w:b w:val="0"/>
          <w:i w:val="0"/>
          <w:sz w:val="19"/>
        </w:rPr>
        <w:t xml:space="preserve"> Exposition; positive Korrelation zwischen Nutzungsintensität und Lohn-/Beschäftigungs-Optimismus; tageszeitliche Nutzungsmuster (Nachrichten 7 Uhr, Rezepte 18 Uhr +2,3×, Schlaf 5 Uhr); wochenend-Verschiebung von Arbeits- (rund 35 %) auf persönliche Themen (rund 50 %); Claude Code mit 26 von 31 Output-Typen höhere AI-Autonomie als Chat/Cowork (Differenz 0,37); Frauen 7,3 Pp. seltener in automatisiertem Modus. https://www.anthropic.com/research/economic-index-june-2026-report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Deutscher Bundestag, Gesundheitsausschuss. (22. Juni 2026). </w:t>
      </w:r>
      <w:r>
        <w:rPr>
          <w:rFonts w:ascii="Arial" w:hAnsi="Arial"/>
          <w:b w:val="0"/>
          <w:i/>
          <w:sz w:val="19"/>
        </w:rPr>
        <w:t>Öffentliche Anhörung zum GKV-Beitragssatzstabilisierungsgesetz und weiteren Anträgen zur gesetzlichen Krankenversicherung.</w:t>
      </w:r>
      <w:r>
        <w:rPr>
          <w:rFonts w:ascii="Arial" w:hAnsi="Arial"/>
          <w:b w:val="0"/>
          <w:i w:val="0"/>
          <w:sz w:val="19"/>
        </w:rPr>
        <w:t xml:space="preserve"> Paul-Löbe-Haus, Europasaal 4900, 14:15–16:45 Uhr; über 90 geladene Sachverständige und Verbände (KBV, DKG, GKV-Spitzenverband, IFK, pharmazeutische Verbände, Sozialverbände, Gewerkschaften) mit überwiegend schriftlichen Stellungnahmen. https://www.bundestag.de/ausschuesse/gesundheit/anhoerungen/1184692-1184692 | https://www.bundestag.de/presse/pressemitteilungen/2026/pm-260616-oepm-gesundheit-gkv-1185004 | Berichterstattung Bundestag-Pressedienst (HIB): https://www.bundestag.de/presse/hib/kurzmeldungen-1191520</w:t>
      </w:r>
    </w:p>
    <w:p>
      <w:pPr>
        <w:jc w:val="both"/>
      </w:pPr>
      <w:r>
        <w:rPr>
          <w:rFonts w:ascii="Arial" w:hAnsi="Arial"/>
          <w:b w:val="0"/>
          <w:i w:val="0"/>
          <w:sz w:val="19"/>
        </w:rPr>
        <w:t xml:space="preserve">Deutscher Bundestag. (12. Juni 2026). </w:t>
      </w:r>
      <w:r>
        <w:rPr>
          <w:rFonts w:ascii="Arial" w:hAnsi="Arial"/>
          <w:b w:val="0"/>
          <w:i/>
          <w:sz w:val="19"/>
        </w:rPr>
        <w:t>Heftiger Streit über die Reform der Krankenversicherung — Erste Lesung des GKV-Beitragssatzstabilisierungsgesetzes.</w:t>
      </w:r>
      <w:r>
        <w:rPr>
          <w:rFonts w:ascii="Arial" w:hAnsi="Arial"/>
          <w:b w:val="0"/>
          <w:i w:val="0"/>
          <w:sz w:val="19"/>
        </w:rPr>
        <w:t xml:space="preserve"> Textarchiv Bundestag KW 24. https://www.bundestag.de/dokumente/textarchiv/2026/kw24-de-gkv-1181958 | Verfahrensdokumentation Bundesrat 0256/26: https://www.bundesrat.de/SharedDocs/beratungsvorgaenge/2026/0201-0300/0256-26.html</w:t>
      </w:r>
    </w:p>
    <w:p>
      <w:pPr>
        <w:jc w:val="both"/>
      </w:pPr>
      <w:r>
        <w:rPr>
          <w:rFonts w:ascii="Arial" w:hAnsi="Arial"/>
          <w:b w:val="0"/>
          <w:i w:val="0"/>
          <w:sz w:val="19"/>
        </w:rPr>
        <w:t xml:space="preserve">Deutsches Ärzteblatt. (Juni 2026). </w:t>
      </w:r>
      <w:r>
        <w:rPr>
          <w:rFonts w:ascii="Arial" w:hAnsi="Arial"/>
          <w:b w:val="0"/>
          <w:i/>
          <w:sz w:val="19"/>
        </w:rPr>
        <w:t>Entscheidung über GKV-Beitragssatzstabilisierungsgesetz im Bundestag verschoben.</w:t>
      </w:r>
      <w:r>
        <w:rPr>
          <w:rFonts w:ascii="Arial" w:hAnsi="Arial"/>
          <w:b w:val="0"/>
          <w:i w:val="0"/>
          <w:sz w:val="19"/>
        </w:rPr>
        <w:t xml:space="preserve"> Berichterstattung zur Verschiebung der Schlussabstimmung über die Anhörung am 22. Juni 2026 hinaus. https://www.aerzteblatt.de/news/entscheidung-uber-gkv-beitragssatzstabilisierungsgesetz-im-bundestag-verschoben-ca5ff6cc-7169-4373-9172-9f5a644c9352</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politischen Trilog-Einigung; Konvergenz auf Hochrisiko-Stichtage 2. Dezember 2027 (Anhang III) und 2. August 2028 (Anhang I); ergänzendes Verbot KI-generierter nicht-konsensueller intimer Bildinhalte ab 2. Dezember 2026. https://www.consilium.europa.eu/en/press/press-releases/2026/05/07/artificial-intelligence-council-and-parliament-agree-to-simplify-and-streamline-rules/</w:t>
      </w:r>
    </w:p>
    <w:p>
      <w:pPr>
        <w:jc w:val="both"/>
      </w:pPr>
      <w:r>
        <w:rPr>
          <w:rFonts w:ascii="Arial" w:hAnsi="Arial"/>
          <w:b w:val="0"/>
          <w:i w:val="0"/>
          <w:sz w:val="19"/>
        </w:rPr>
        <w:t xml:space="preserve">Europäisches Parlament. (16. Juni 2026). </w:t>
      </w:r>
      <w:r>
        <w:rPr>
          <w:rFonts w:ascii="Arial" w:hAnsi="Arial"/>
          <w:b w:val="0"/>
          <w:i/>
          <w:sz w:val="19"/>
        </w:rPr>
        <w:t>Digital Omnibus on AI — Plenarabstimmung über die im Trilog erzielte politische Einigung.</w:t>
      </w:r>
      <w:r>
        <w:rPr>
          <w:rFonts w:ascii="Arial" w:hAnsi="Arial"/>
          <w:b w:val="0"/>
          <w:i w:val="0"/>
          <w:sz w:val="19"/>
        </w:rPr>
        <w:t xml:space="preserve"> Ergebnis: 423 zu 57 Stimmen bei 174 Enthaltungen; formelle Annahme durch den Rat zur Sitzung am 29. Juni 2026 vorgesehen, anschließend Unterzeichnung und Veröffentlichung im Amtsblatt vor dem ursprünglichen Stichtag 2. August 2026. Sekundäranalysen: White &amp; Case, Gibson Dunn, iubenda, NicFab. https://www.iubenda.com/en/blog/ai-omnibus-parliament-adoption-june-2026/ | https://www.nicfab.eu/en/posts/digital-omnibus-ai-final-approval/ | https://www.gibsondunn.com/eu-ai-act-omnibus-agreement-postponed-high-risk-deadlines-and-other-key-changes/</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American AI Sovereign Wealth Fund Act</w:t>
      </w:r>
      <w:r>
        <w:rPr>
          <w:rFonts w:ascii="Arial" w:hAnsi="Arial"/>
          <w:b w:val="0"/>
          <w:i w:val="0"/>
          <w:sz w:val="19"/>
        </w:rPr>
        <w:t xml:space="preserve"> — Gesetzentwurf im US-Senat (119. Kongress) zur einmaligen Anteilsabgabe von 50 % an KI-Unternehmen mit jährlichen KI-Umsätzen ab 200 Mio. USD (genannt: OpenAI, Anthropic, xAI); Aktien fließen in einen Sovereign Wealth Fund, der von einer siebenköpfigen </w:t>
      </w:r>
      <w:r>
        <w:rPr>
          <w:rFonts w:ascii="Arial" w:hAnsi="Arial"/>
          <w:b w:val="0"/>
          <w:i/>
          <w:sz w:val="19"/>
        </w:rPr>
        <w:t>Independent Commission for Democratic AI</w:t>
      </w:r>
      <w:r>
        <w:rPr>
          <w:rFonts w:ascii="Arial" w:hAnsi="Arial"/>
          <w:b w:val="0"/>
          <w:i w:val="0"/>
          <w:sz w:val="19"/>
        </w:rPr>
        <w:t xml:space="preserve"> verwaltet wird; Fondsvolumen nach Berechnung des Senatsbüros rund 7 Bio. USD; 5 %-Jahresdividende implizierte rund 1.000 USD jährliche Direktzahlung pro US-Bürgerin und -Bürger. Pressemitteilung und begleitender Namensartikel: https://www.sanders.senate.gov/press-releases/news-sanders-introduces-legislation-to-create-7-trillion-ai-sovereign-wealth-fund/ | https://www.sanders.senate.gov/op-eds/the-public-should-own-half-of-the-big-a-i-companies/</w:t>
      </w:r>
    </w:p>
    <w:p>
      <w:pPr>
        <w:jc w:val="both"/>
      </w:pPr>
      <w:r>
        <w:rPr>
          <w:rFonts w:ascii="Arial" w:hAnsi="Arial"/>
          <w:b w:val="0"/>
          <w:i w:val="0"/>
          <w:sz w:val="19"/>
        </w:rPr>
        <w:t xml:space="preserve">Reason / Forbes / Fortune. (Juni 2026). </w:t>
      </w:r>
      <w:r>
        <w:rPr>
          <w:rFonts w:ascii="Arial" w:hAnsi="Arial"/>
          <w:b w:val="0"/>
          <w:i/>
          <w:sz w:val="19"/>
        </w:rPr>
        <w:t>Diskussion und Rezeption des American AI Sovereign Wealth Fund Act und kongruenter Universal-Basic-Capital-Vorschläge.</w:t>
      </w:r>
      <w:r>
        <w:rPr>
          <w:rFonts w:ascii="Arial" w:hAnsi="Arial"/>
          <w:b w:val="0"/>
          <w:i w:val="0"/>
          <w:sz w:val="19"/>
        </w:rPr>
        <w:t xml:space="preserve"> Reason 2. Juni 2026 (kritisch), Forbes 6. Juni 2026 (Trump-Administration-Parallele), Fortune 3. Juni 2026 (Sanders/Trump-Konvergenz auf AI-Equity-Sharing). https://reason.com/2026/06/02/bernie-sanders-ai-wealth-fund-bill-shows-that-he-doesnt-understand-ai-or-wealth/ | https://www.forbes.com/sites/alisondurkee/2026/06/06/could-americans-build-wealth-through-ai-why-trump-may-be-considering-equity-sharing-scheme/ | https://fortune.com/2026/06/03/bernie-sanders-ai-ownership-sovereign-wealth-fund-electrification/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30. Juni 2026 — Lauf 001 vom 30. Juni 2026) wieder. Die Debatte entwickelt sich dynamisch, insbesondere im Zuge des am 18. Juni 2026 von US-Senator Bernie Sanders im Senat eingebrachten </w:t>
      </w:r>
      <w:r>
        <w:rPr>
          <w:rFonts w:ascii="Arial" w:hAnsi="Arial"/>
          <w:b w:val="0"/>
          <w:i/>
          <w:sz w:val="19"/>
        </w:rPr>
        <w:t>American AI Sovereign Wealth Fund Act</w:t>
      </w:r>
      <w:r>
        <w:rPr>
          <w:rFonts w:ascii="Arial" w:hAnsi="Arial"/>
          <w:b w:val="0"/>
          <w:i w:val="0"/>
          <w:sz w:val="19"/>
        </w:rPr>
        <w:t xml:space="preserve"> (einmalige 50 %-Anteilsabgabe an KI-Unternehmen mit jährlichen KI-Umsätzen ab 200 Mio. USD; siebenköpfige </w:t>
      </w:r>
      <w:r>
        <w:rPr>
          <w:rFonts w:ascii="Arial" w:hAnsi="Arial"/>
          <w:b w:val="0"/>
          <w:i/>
          <w:sz w:val="19"/>
        </w:rPr>
        <w:t>Independent Commission for Democratic AI</w:t>
      </w:r>
      <w:r>
        <w:rPr>
          <w:rFonts w:ascii="Arial" w:hAnsi="Arial"/>
          <w:b w:val="0"/>
          <w:i w:val="0"/>
          <w:sz w:val="19"/>
        </w:rPr>
        <w:t xml:space="preserve">; geschätztes Fondsvolumen rund 7 Bio. USD; rund 1.000 USD/Jahr Direktzahlung pro US-Bürgerin und -Bürger über eine 5 %-Jahresdividende), des am 26. Juni 2026 veröffentlichten Anthropic-Economic-Index-Folgeberichts </w:t>
      </w:r>
      <w:r>
        <w:rPr>
          <w:rFonts w:ascii="Arial" w:hAnsi="Arial"/>
          <w:b w:val="0"/>
          <w:i/>
          <w:sz w:val="19"/>
        </w:rPr>
        <w:t>„Cadences"</w:t>
      </w:r>
      <w:r>
        <w:rPr>
          <w:rFonts w:ascii="Arial" w:hAnsi="Arial"/>
          <w:b w:val="0"/>
          <w:i w:val="0"/>
          <w:sz w:val="19"/>
        </w:rPr>
        <w:t xml:space="preserve"> (linked survey von rund 9.700 Claude-Nutzerinnen und -Nutzern; etwa die Hälfte berichtet, KI könne bereits heute mindestens 50 % der Tätigkeiten übernehmen; auf Sicht von zwölf Monaten erwartet mehr als ein Drittel die Übernahme „der meisten oder fast aller" Aufgaben; intensive Nutzung korreliert positiv mit Lohn-/Beschäftigungs-Optimismus), des am 7. Mai 2026 erzielten politischen Trilog-Konsenses zum Digital Omnibus on AI mit Bestätigung durch das Europäische Parlament am 16. Juni 2026 (423 zu 57 Stimmen, 174 Enthaltungen) und förmlicher Ratsannahme zum 29. Juni 2026 (Veröffentlichung im Amtsblatt vor dem Stichtag 2. August 2026; ergänzendes Verbot KI-generierter nicht-konsensueller intimer Bildinhalte ab 2. Dezember 2026), der ersten Bundestagslesung des GKV-Beitragssatzstabilisierungsgesetzes am 12. Juni 2026 und der öffentlichen Anhörung des Bundestags-Gesundheitsausschusses am 22. Juni 2026 mit über 90 Sachverständigen und Verbänden (gemeinsame Stoßrichtung: einseitige Belastung der Versicherten- und Leistungserbringerseite, fehlende Verbreiterung der Einnahmenseite; endgültige Bundestagsabstimmung in KW 28 verschoben),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vorausgegangenen Trilog-Verhandlungen zum Digital Omnibus on AI (zweite Runde 28. April 2026 ohne Einigung; politische Einigung am 7. Mai 2026 unter zypriotischer Ratspräsidentschaft, die das Dossier vor Ablauf ihrer Amtszeit am 30. Juni 2026 abschließt),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