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1.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zum 29. Mai 2026 weisen </w:t>
      </w:r>
      <w:r>
        <w:rPr>
          <w:rFonts w:ascii="Arial" w:hAnsi="Arial"/>
          <w:b w:val="0"/>
          <w:i/>
          <w:sz w:val="19"/>
        </w:rPr>
        <w:t>Techtimes</w:t>
      </w:r>
      <w:r>
        <w:rPr>
          <w:rFonts w:ascii="Arial" w:hAnsi="Arial"/>
          <w:b w:val="0"/>
          <w:i w:val="0"/>
          <w:sz w:val="19"/>
        </w:rPr>
        <w:t xml:space="preserve"> und </w:t>
      </w:r>
      <w:r>
        <w:rPr>
          <w:rFonts w:ascii="Arial" w:hAnsi="Arial"/>
          <w:b w:val="0"/>
          <w:i/>
          <w:sz w:val="19"/>
        </w:rPr>
        <w:t>TechSpot</w:t>
      </w:r>
      <w:r>
        <w:rPr>
          <w:rFonts w:ascii="Arial" w:hAnsi="Arial"/>
          <w:b w:val="0"/>
          <w:i w:val="0"/>
          <w:sz w:val="19"/>
        </w:rPr>
        <w:t xml:space="preserve"> einen aggregierten 2026-Tech-Layoff-Bestand von rund 142.000 betroffenen Beschäftigten aus und ordnen die Welle ausdrücklich als Selbstfinanzierungs­mechanismus für das in §1.1 dokumentierte Hyperscaler-Capex-Programm ein („profitable companies cut jobs to fund 700B AI infrastructure"); </w:t>
      </w:r>
      <w:r>
        <w:rPr>
          <w:rFonts w:ascii="Arial" w:hAnsi="Arial"/>
          <w:b w:val="0"/>
          <w:i/>
          <w:sz w:val="19"/>
        </w:rPr>
        <w:t>TrueUp</w:t>
      </w:r>
      <w:r>
        <w:rPr>
          <w:rFonts w:ascii="Arial" w:hAnsi="Arial"/>
          <w:b w:val="0"/>
          <w:i w:val="0"/>
          <w:sz w:val="19"/>
        </w:rPr>
        <w:t xml:space="preserve"> projiziert für das Gesamtjahr 2026 inzwischen rund 370.000 betroffene Beschäftigte und damit eine deutliche Überschreitung der Vorjahresniveaus 2024 und 2025; treibend sind im Mai 2026 die am 20. Mai 2026 von </w:t>
      </w:r>
      <w:r>
        <w:rPr>
          <w:rFonts w:ascii="Arial" w:hAnsi="Arial"/>
          <w:b w:val="0"/>
          <w:i/>
          <w:sz w:val="19"/>
        </w:rPr>
        <w:t>Meta</w:t>
      </w:r>
      <w:r>
        <w:rPr>
          <w:rFonts w:ascii="Arial" w:hAnsi="Arial"/>
          <w:b w:val="0"/>
          <w:i w:val="0"/>
          <w:sz w:val="19"/>
        </w:rPr>
        <w:t xml:space="preserve"> notifizierten rund 8.000 Streichungen (rund 10 % der Belegschaft), die im selben Monat von </w:t>
      </w:r>
      <w:r>
        <w:rPr>
          <w:rFonts w:ascii="Arial" w:hAnsi="Arial"/>
          <w:b w:val="0"/>
          <w:i/>
          <w:sz w:val="19"/>
        </w:rPr>
        <w:t>Oracle</w:t>
      </w:r>
      <w:r>
        <w:rPr>
          <w:rFonts w:ascii="Arial" w:hAnsi="Arial"/>
          <w:b w:val="0"/>
          <w:i w:val="0"/>
          <w:sz w:val="19"/>
        </w:rPr>
        <w:t xml:space="preserve"> gemeldete Reduktion von rund 30.000 Stellen — die größte Einzel-Layoff-Meldung des Jahres 2026 — sowie die parallele Ankündigung von </w:t>
      </w:r>
      <w:r>
        <w:rPr>
          <w:rFonts w:ascii="Arial" w:hAnsi="Arial"/>
          <w:b w:val="0"/>
          <w:i/>
          <w:sz w:val="19"/>
        </w:rPr>
        <w:t>Intuit</w:t>
      </w:r>
      <w:r>
        <w:rPr>
          <w:rFonts w:ascii="Arial" w:hAnsi="Arial"/>
          <w:b w:val="0"/>
          <w:i w:val="0"/>
          <w:sz w:val="19"/>
        </w:rPr>
        <w:t xml:space="preserve"> (rund 3.000 Stellen, 17 % der globalen Belegschaft) im Kontext einer KI-getriebenen Restrukturierung. Die zusätzlichen Meldungen sind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Eine deutsche Parallelmessung liefert das </w:t>
      </w:r>
      <w:r>
        <w:rPr>
          <w:rFonts w:ascii="Arial" w:hAnsi="Arial"/>
          <w:b w:val="0"/>
          <w:i/>
          <w:sz w:val="19"/>
        </w:rPr>
        <w:t>IAB</w:t>
      </w:r>
      <w:r>
        <w:rPr>
          <w:rFonts w:ascii="Arial" w:hAnsi="Arial"/>
          <w:b w:val="0"/>
          <w:i w:val="0"/>
          <w:sz w:val="19"/>
        </w:rPr>
        <w:t xml:space="preserve"> mit dem </w:t>
      </w:r>
      <w:r>
        <w:rPr>
          <w:rFonts w:ascii="Arial" w:hAnsi="Arial"/>
          <w:b w:val="0"/>
          <w:i/>
          <w:sz w:val="19"/>
        </w:rPr>
        <w:t>IAB-Kurzbericht 8/2026</w:t>
      </w:r>
      <w:r>
        <w:rPr>
          <w:rFonts w:ascii="Arial" w:hAnsi="Arial"/>
          <w:b w:val="0"/>
          <w:i w:val="0"/>
          <w:sz w:val="19"/>
        </w:rPr>
        <w:t xml:space="preserve"> vom 5. Mai 2026 (Friedrich/Kagerl): Innerhalb von zwei Jahren ist der Anteil der Betriebe, die generative KI einsetzen, von rund fünf auf rund 25 Prozent gestiegen — eine annähernde Verfünffachung; weitere neun Prozent der Betriebe planen den Einstieg. Die Adoption ist deutlich nach Größe und Alter gestaffelt: 48 Prozent der Betriebe mit 200 oder mehr Beschäftigten gegenüber 21 Prozent der Betriebe mit weniger als zehn Beschäftigten, 30 Prozent der vor weniger als fünf Jahren gegründeten Betriebe gegenüber 21 Prozent der seit mindestens 25 Jahren bestehenden. 90 Prozent der nutzenden Betriebe greifen auf frei zugängliche KI-Anwendungen zurück, nur 16 Prozent auf eigens trainierte gekaufte Modelle und sechs Prozent auf selbst entwickelte Modelle; eine Schulung der Beschäftigten findet in mehr als jedem vierten KI-nutzenden Betrieb statt, jeweils rund ein Fünftel hat interne Regeln eingeführt oder plant deren Einführung. Der Befund ist für die Steuerdebatte aus zwei Gründen relevant: Erstens belegt er, dass die in der internationalen Optimalsteuer-Literatur unterstellte rapide Diffusion auch in einer mittelständisch geprägten Volkswirtschaft eintritt — die zeitliche Differenz zur USA wird kleiner als ursprünglich erwartet. Zweitens ist die deutliche Größenabhängigkeit ein empirischer Hinweis darauf, dass eine pauschale „Robotersteuer" nach Typ 1 oder Typ 2 (§ 2.1) systematisch große Betriebe trifft, während eine Wertschöpfungsabgabe (§ 5.1) die Verfünffachung der KI-Nutzungsbreite in der vollen Betriebsgrößenverteilung als Bemessungsgrundlage erfasst, ohne die mit der Definitionsfrage verbundenen Abgrenzungsprobleme reproduzieren zu müssen.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der unmittelbar darauffolgenden Trilogrunde haben Rat und Parlament am 7. Mai 2026 eine </w:t>
      </w:r>
      <w:r>
        <w:rPr>
          <w:rFonts w:ascii="Arial" w:hAnsi="Arial"/>
          <w:b w:val="0"/>
          <w:i/>
          <w:sz w:val="19"/>
        </w:rPr>
        <w:t>vorläufige politische Einigung</w:t>
      </w:r>
      <w:r>
        <w:rPr>
          <w:rFonts w:ascii="Arial" w:hAnsi="Arial"/>
          <w:b w:val="0"/>
          <w:i w:val="0"/>
          <w:sz w:val="19"/>
        </w:rPr>
        <w:t xml:space="preserve"> erzielt, die der Rat über seine Vertreter am 13. Mai 2026 bestätigt hat (Consilium-Pressemitteilung vom 7. Mai 2026; Berichterstattung Gibson Dunn, Hogan Lovells, Travers Smith, IAPP). Sie verschiebt die Anwendbarkeit der Hochrisiko-Pflichten für eigenständige Anhang-III-Systeme auf den 2. Dezember 2027 und für in regulierte Produkte eingebettete Anhang-I-Systeme auf den 2. August 2028; bereits vor dem 2. August 2026 in Verkehr gebrachte KI-Systeme erhalten zudem eine viermonatige Übergangsfrist auf die Kennzeichnungspflicht nach Art. 50 Abs. 2 AI Act bis zum 2. Dezember 2026. Ergänzend führt das Omnibus-Paket in Art. 5 AI Act eine neue ausdrückliche Prohibitionsnorm gegen KI-generierte nicht einvernehmliche intime Bildinhalte (</w:t>
      </w:r>
      <w:r>
        <w:rPr>
          <w:rFonts w:ascii="Arial" w:hAnsi="Arial"/>
          <w:b w:val="0"/>
          <w:i/>
          <w:sz w:val="19"/>
        </w:rPr>
        <w:t>„nudifiers"</w:t>
      </w:r>
      <w:r>
        <w:rPr>
          <w:rFonts w:ascii="Arial" w:hAnsi="Arial"/>
          <w:b w:val="0"/>
          <w:i w:val="0"/>
          <w:sz w:val="19"/>
        </w:rPr>
        <w:t>) sowie gegen die Erzeugung kindlicher Missbrauchsdarstellungen ein. Die förmliche Annahme und Veröffentlichung im Amtsblatt steht noch aus; sie wird vor dem 2. August 2026 angestrebt. Die zypriotische Ratspräsidentschaft hat sich vorgenommen, das Dossier vor Ablauf ihrer Amtszeit am 30. Juni 2026 abzuschließen; gelingt das nicht, übernimmt zur zweiten Jahreshälfte 2026 die irische Präsidentschaft. Scheitert die förmliche Verabschiedung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val="0"/>
          <w:i w:val="0"/>
          <w:sz w:val="19"/>
        </w:rPr>
        <w:t xml:space="preserve">Am 1. Juni 2026 hat Sanders die Linie mit einem Namensbeitrag in der </w:t>
      </w:r>
      <w:r>
        <w:rPr>
          <w:rFonts w:ascii="Arial" w:hAnsi="Arial"/>
          <w:b w:val="0"/>
          <w:i/>
          <w:sz w:val="19"/>
        </w:rPr>
        <w:t>New York Times</w:t>
      </w:r>
      <w:r>
        <w:rPr>
          <w:rFonts w:ascii="Arial" w:hAnsi="Arial"/>
          <w:b w:val="0"/>
          <w:i w:val="0"/>
          <w:sz w:val="19"/>
        </w:rPr>
        <w:t xml:space="preserve"> („The Public Should Own Half of the Big A.I. Companies", über sanders.senate.gov sekundärveröffentlicht) ausgeweitet: Er kündigt den </w:t>
      </w:r>
      <w:r>
        <w:rPr>
          <w:rFonts w:ascii="Arial" w:hAnsi="Arial"/>
          <w:b w:val="0"/>
          <w:i/>
          <w:sz w:val="19"/>
        </w:rPr>
        <w:t>American A.I. Sovereign Wealth Fund Act</w:t>
      </w:r>
      <w:r>
        <w:rPr>
          <w:rFonts w:ascii="Arial" w:hAnsi="Arial"/>
          <w:b w:val="0"/>
          <w:i w:val="0"/>
          <w:sz w:val="19"/>
        </w:rPr>
        <w:t xml:space="preserve"> an, der eine </w:t>
      </w:r>
      <w:r>
        <w:rPr>
          <w:rFonts w:ascii="Arial" w:hAnsi="Arial"/>
          <w:b w:val="0"/>
          <w:i/>
          <w:sz w:val="19"/>
        </w:rPr>
        <w:t>einmalige Sondersteuer in Höhe von 50 Prozent</w:t>
      </w:r>
      <w:r>
        <w:rPr>
          <w:rFonts w:ascii="Arial" w:hAnsi="Arial"/>
          <w:b w:val="0"/>
          <w:i w:val="0"/>
          <w:sz w:val="19"/>
        </w:rPr>
        <w:t xml:space="preserve"> auf die Anteile der größten US-amerikanischen KI-Unternehmen — namentlich genannt OpenAI, Anthropic, xAI — vorsehe. Die Steuer würde nicht in Cash, sondern in Aktien entrichtet; die Aktien würden in einen neu zu schaffenden öffentlichen Wohlstandsfonds eingebracht, dessen Erträge unmittelbar an die Bürgerinnen und Bürger ausgeschüttet werden sollen. Der Fonds soll außerdem Stimmrechte und gleichwertige Sitze im Aufsichtsrat der erfassten Unternehmen erhalten, um „Entscheidungen, die der Allgemeinheit schaden, blockieren und Politik, die ihr nützt, voranzutreiben" zu können. Sanders verweist auf das norwegische Staatsfondsmodell (Marktwert über zwei Billionen US-Dollar) und auf den durch Donald Trump per Executive Order angeordneten US-Souveränitäts-fonds als Präzedenzen. Der Vorschlag ist als Gesetzentwurf zum Zeitpunkt des Op-Eds noch nicht förmlich eingebracht, sondern als Ankündigung („will soon introduce") formuliert; politisch markiert er die deutlichste Eigentumslinie in der laufenden US-Debatte und greift damit unmittelbar in das in § 5.4 und § 8.3 entwickelte Staatsfondsraster ein.</w:t>
      </w:r>
    </w:p>
    <w:p>
      <w:pPr>
        <w:jc w:val="both"/>
      </w:pPr>
      <w:r>
        <w:rPr>
          <w:rFonts w:ascii="Arial" w:hAnsi="Arial"/>
          <w:b/>
          <w:i w:val="0"/>
          <w:sz w:val="19"/>
        </w:rPr>
        <w:t>Warren-Op-Ed (Time, 27. Mai 2026):</w:t>
      </w:r>
      <w:r>
        <w:rPr>
          <w:rFonts w:ascii="Arial" w:hAnsi="Arial"/>
          <w:b w:val="0"/>
          <w:i w:val="0"/>
          <w:sz w:val="19"/>
        </w:rPr>
        <w:t xml:space="preserve"> Wenige Tage vor dem Sanders-Op-Ed hat US-Senatorin Elizabeth Warren (D-MA) im </w:t>
      </w:r>
      <w:r>
        <w:rPr>
          <w:rFonts w:ascii="Arial" w:hAnsi="Arial"/>
          <w:b w:val="0"/>
          <w:i/>
          <w:sz w:val="19"/>
        </w:rPr>
        <w:t>Time-Magazin</w:t>
      </w:r>
      <w:r>
        <w:rPr>
          <w:rFonts w:ascii="Arial" w:hAnsi="Arial"/>
          <w:b w:val="0"/>
          <w:i w:val="0"/>
          <w:sz w:val="19"/>
        </w:rPr>
        <w:t xml:space="preserve"> unter dem Titel </w:t>
      </w:r>
      <w:r>
        <w:rPr>
          <w:rFonts w:ascii="Arial" w:hAnsi="Arial"/>
          <w:b w:val="0"/>
          <w:i/>
          <w:sz w:val="19"/>
        </w:rPr>
        <w:t>„Why We Need to Tax AI"</w:t>
      </w:r>
      <w:r>
        <w:rPr>
          <w:rFonts w:ascii="Arial" w:hAnsi="Arial"/>
          <w:b w:val="0"/>
          <w:i w:val="0"/>
          <w:sz w:val="19"/>
        </w:rPr>
        <w:t xml:space="preserve"> (27. Mai 2026) eine eigenständige fiskalische Linie skizziert und konditional formuliert. Warren schlägt eine </w:t>
      </w:r>
      <w:r>
        <w:rPr>
          <w:rFonts w:ascii="Arial" w:hAnsi="Arial"/>
          <w:b w:val="0"/>
          <w:i/>
          <w:sz w:val="19"/>
        </w:rPr>
        <w:t>Verbrauchsteuer auf den Stromverbrauch von KI-Rechenzentren</w:t>
      </w:r>
      <w:r>
        <w:rPr>
          <w:rFonts w:ascii="Arial" w:hAnsi="Arial"/>
          <w:b w:val="0"/>
          <w:i w:val="0"/>
          <w:sz w:val="19"/>
        </w:rPr>
        <w:t xml:space="preserve"> (Bemessung pro Kilowattstunde) sowie eine flankierende </w:t>
      </w:r>
      <w:r>
        <w:rPr>
          <w:rFonts w:ascii="Arial" w:hAnsi="Arial"/>
          <w:b w:val="0"/>
          <w:i/>
          <w:sz w:val="19"/>
        </w:rPr>
        <w:t>Vermögensteuer auf KI-Sektor-Milliardäre</w:t>
      </w:r>
      <w:r>
        <w:rPr>
          <w:rFonts w:ascii="Arial" w:hAnsi="Arial"/>
          <w:b w:val="0"/>
          <w:i w:val="0"/>
          <w:sz w:val="19"/>
        </w:rPr>
        <w:t xml:space="preserve"> vor. Das Aufkommen soll zweckgebunden in </w:t>
      </w:r>
      <w:r>
        <w:rPr>
          <w:rFonts w:ascii="Arial" w:hAnsi="Arial"/>
          <w:b w:val="0"/>
          <w:i/>
          <w:sz w:val="19"/>
        </w:rPr>
        <w:t>Universal Healthcare</w:t>
      </w:r>
      <w:r>
        <w:rPr>
          <w:rFonts w:ascii="Arial" w:hAnsi="Arial"/>
          <w:b w:val="0"/>
          <w:i w:val="0"/>
          <w:sz w:val="19"/>
        </w:rPr>
        <w:t xml:space="preserve">, </w:t>
      </w:r>
      <w:r>
        <w:rPr>
          <w:rFonts w:ascii="Arial" w:hAnsi="Arial"/>
          <w:b w:val="0"/>
          <w:i/>
          <w:sz w:val="19"/>
        </w:rPr>
        <w:t>gebührenfreie Hochschulbildung</w:t>
      </w:r>
      <w:r>
        <w:rPr>
          <w:rFonts w:ascii="Arial" w:hAnsi="Arial"/>
          <w:b w:val="0"/>
          <w:i w:val="0"/>
          <w:sz w:val="19"/>
        </w:rPr>
        <w:t xml:space="preserve"> sowie eine </w:t>
      </w:r>
      <w:r>
        <w:rPr>
          <w:rFonts w:ascii="Arial" w:hAnsi="Arial"/>
          <w:b w:val="0"/>
          <w:i/>
          <w:sz w:val="19"/>
        </w:rPr>
        <w:t>gestärkte Arbeitslosenversicherung für KI-verdrängte Beschäftigte</w:t>
      </w:r>
      <w:r>
        <w:rPr>
          <w:rFonts w:ascii="Arial" w:hAnsi="Arial"/>
          <w:b w:val="0"/>
          <w:i w:val="0"/>
          <w:sz w:val="19"/>
        </w:rPr>
        <w:t xml:space="preserve"> fließen. Sie begründet die Konstruktion damit, dass KI „auf menschlichem Wissen und menschlicher Kreativität trainiert" worden sei, „teils durch bundesstaatliche Forschungsfinanzierung mitfinanziert" wurde und „auf amerikanischem Boden und über das gemeinsame Stromnetz" betrieben werde — die Bürgerschaft solle daher am Erfolg der Technologie teilhaben. Der Vorschlag verbindet zwei in der hier dargestellten Typologie (§ 2.1) bislang getrennte Schienen: Typ 2 (Anknüpfung an die physische Infrastruktur der Automatisierung — hier Rechenzentren-Strom statt Roboter-AfA) und Typ 4 (Verschiebung der relativen Steuerlast über eine zusätzliche Kapitaleinkommensteuer). Beide Komponenten sind im Konjunktiv referiert; ein Gesetzentwurf liegt zum Stichtag dieses Arbeitspapiers nicht vor. Zusammen mit der ergänzenden Forderung Greg Casars (D-TX) nach „neuen Steuern auf KI für Jobs, Universal Healthcare und andere Programme" markieren Warren, Sanders und Casar die schärfste fiskalische Linie, die im US-Senat seit dem Sanders-Bericht vom Oktober 2025 vorgetragen wurde.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(D) hat das Gesetz am 29. Mai 2026 unterzeichnet (Bloomberg Law, Davis Wright Tremaine, Akin Gump, Jackson Lewis), womit Connecticut nach Colorado und Texas als dritter US-Bundesstaat einen umfassenden, sektorübergreifenden KI-Regelungsrahmen verabschiedet hat.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 xml:space="preserve">Praktisch erfordert dies entweder eine Pflichtbeteiligung des Staates an KI-Unternehmen (politisch hoch problematisch) oder eine zweckgebundene Steuer auf Kapitalerträge und Unternehmensgewinne, deren Aufkommen in einen solchen Fonds fließt. Der von Senator Bernie Sanders am 1. Juni 2026 angekündigte </w:t>
      </w:r>
      <w:r>
        <w:rPr>
          <w:rFonts w:ascii="Arial" w:hAnsi="Arial"/>
          <w:b w:val="0"/>
          <w:i/>
          <w:sz w:val="19"/>
        </w:rPr>
        <w:t>American A.I. Sovereign Wealth Fund Act</w:t>
      </w:r>
      <w:r>
        <w:rPr>
          <w:rFonts w:ascii="Arial" w:hAnsi="Arial"/>
          <w:b w:val="0"/>
          <w:i w:val="0"/>
          <w:sz w:val="19"/>
        </w:rPr>
        <w:t xml:space="preserve"> (ausführlich in § 4.5) verfolgt erstmals ausdrücklich den ersten Pfad: Er sieht vor, die Beteiligung des Staates über eine einmalige Stocksteuer in Höhe von 50 % der Anteile großer US-KI-Unternehmen herzustellen — ein politischer Vorstoß, der die in diesem Abschnitt referierten Modellüberlegungen in einen konkreten Gesetzesvorschlag überführt, aber zugleich die in § 4.5 beschriebenen verfassungs- und wettbewerbsrechtlichen Bedenken in den USA mobilisiert.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Die Konzentrationslogik hat sich seit der Erstfassung dieses Kapitels weiter verschärft: Am 28. Mai 2026 hat Anthropic eine Finanzierungsrunde über 65 Milliarden US-Dollar bei einer Post-Money-Bewertung von rund 965 Milliarden US-Dollar abgeschlossen — damit zieht das Unternehmen erstmals an der Bewertung des US-Wettbewerbers OpenAI vorbei — und hat am 1. Juni 2026 einen vertraulichen S-1-Entwurf für einen US-amerikanischen Börsengang bei der SEC eingereicht (Berichterstattung </w:t>
      </w:r>
      <w:r>
        <w:rPr>
          <w:rFonts w:ascii="Arial" w:hAnsi="Arial"/>
          <w:b w:val="0"/>
          <w:i/>
          <w:sz w:val="19"/>
        </w:rPr>
        <w:t>CNBC</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Reuters</w:t>
      </w:r>
      <w:r>
        <w:rPr>
          <w:rFonts w:ascii="Arial" w:hAnsi="Arial"/>
          <w:b w:val="0"/>
          <w:i w:val="0"/>
          <w:sz w:val="19"/>
        </w:rPr>
        <w:t>). Eine Bewertung dieser Größenordnung — annähernd das Doppelte der Marktkapitalisierung der DAX-Schwergewichte SAP und Siemens zusammen — illustriert die in diesem Kapitel beschriebene Rohstoffanalogie quantitativ: Die Förderrenten einer einzigen Anbieterregion (Bay Area / Silicon Valley) konzentrieren sich in einer einzigen Unternehmensbilanz, während die Anwender- und Veredelungsseite global verteilt bleibt. 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Friedrich, M., &amp; Kagerl, C. (5. Mai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8/2026. Anteil der Betriebe mit generativer KI-Nutzung von rund 5 % (2023) auf rund 25 % (2025); weitere 9 % planen den Einstieg. Stark gestaffelt nach Größe (48 % bei ≥ 200 Beschäftigten gegenüber 21 % bei &lt; 10 Beschäftigten) und nach Alter (30 % bei Betrieben jünger als fünf Jahre gegenüber 21 % bei Betrieben älter als 25 Jahre); 90 % nutzen frei zugängliche Modelle, 16 % gekaufte und mit eigenen Daten trainierte Modelle, 6 % selbst entwickelte Modelle. https://doku.iab.de/kurzber/2026/kb2026-08.pdf | https://iab.de/presseinfo/jeder-vierte-betrieb-in-deutschland-nutzt-generative-ki/</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Council of the European Union. (7. Mai 2026). </w:t>
      </w:r>
      <w:r>
        <w:rPr>
          <w:rFonts w:ascii="Arial" w:hAnsi="Arial"/>
          <w:b w:val="0"/>
          <w:i/>
          <w:sz w:val="19"/>
        </w:rPr>
        <w:t>Artificial Intelligence: Council and Parliament agree to simplify and streamline rules.</w:t>
      </w:r>
      <w:r>
        <w:rPr>
          <w:rFonts w:ascii="Arial" w:hAnsi="Arial"/>
          <w:b w:val="0"/>
          <w:i w:val="0"/>
          <w:sz w:val="19"/>
        </w:rPr>
        <w:t xml:space="preserve"> Pressemitteilung zur vorläufigen politischen Einigung im Trilog (Bestätigung der COREPER-Vertreter am 13. Mai 2026): Verschiebung der Hochrisiko-Pflichten für eigenständige Anhang-III-Systeme auf 2. Dezember 2027 und für eingebettete Anhang-I-Systeme auf 2. August 2028; viermonatige Übergangsfrist bis 2. Dezember 2026 für die Kennzeichnungspflicht nach Art. 50 Abs. 2 AI Act bei vor dem 2. August 2026 in Verkehr gebrachten Systemen; neue Prohibition KI-generierter nicht einvernehmlicher intimer Bildinhalte und CSAM nach Art. 5; förmliche Annahme und Veröffentlichung im Amtsblatt vor dem 2. August 2026 angestrebt. https://www.consilium.europa.eu/en/press/press-releases/2026/05/07/artificial-intelligence-council-and-parliament-agree-to-simplify-and-streamline-rules/ | Vertiefte Analysen: https://www.gibsondunn.com/eu-ai-act-omnibus-agreement-postponed-high-risk-deadlines-and-other-key-changes/ | https://www.hoganlovells.com/en/publications/eu-legislators-agree-to-delay-for-highrisk-ai-rules | https://www.traverssmith.com/knowledge/knowledge-container/eu-agrees-to-delay-key-ai-act-compliance-deadlines/</w:t>
      </w:r>
    </w:p>
    <w:p>
      <w:pPr>
        <w:jc w:val="both"/>
      </w:pPr>
      <w:r>
        <w:rPr>
          <w:rFonts w:ascii="Arial" w:hAnsi="Arial"/>
          <w:b w:val="0"/>
          <w:i w:val="0"/>
          <w:sz w:val="19"/>
        </w:rPr>
        <w:t xml:space="preserve">Office of the Governor of Connecticut. (29. Mai 2026). </w:t>
      </w:r>
      <w:r>
        <w:rPr>
          <w:rFonts w:ascii="Arial" w:hAnsi="Arial"/>
          <w:b w:val="0"/>
          <w:i/>
          <w:sz w:val="19"/>
        </w:rPr>
        <w:t>Governor Lamont signs Senate Bill 5 — Connecticut Artificial Intelligence Responsibility and Transparency Act.</w:t>
      </w:r>
      <w:r>
        <w:rPr>
          <w:rFonts w:ascii="Arial" w:hAnsi="Arial"/>
          <w:b w:val="0"/>
          <w:i w:val="0"/>
          <w:sz w:val="19"/>
        </w:rPr>
        <w:t xml:space="preserve"> Berichterstattung Bloomberg Law („Connecticut's Lamont Signs AI Law With Employer Notice Mandate"), Davis Wright Tremaine, Akin Gump, Jackson Lewis, Littler. Connecticut wird damit nach Colorado und Texas zum dritten US-Bundesstaat mit einem umfassenden, sektorübergreifenden KI-Gesetz; gestaffelte Geltungsdaten 1. Oktober 2026 / 1. Januar 2027 / 1. Oktober 2027 / 1. Januar 2028. https://news.bloomberglaw.com/daily-labor-report/connecticuts-lamont-signs-ai-law-with-employer-notice-mandate | https://www.dwt.com/blogs/artificial-intelligence-law-advisor/2026/05/ct-ai-transparency-safety-consumer-protection-law | https://www.dlapiper.com/en-us/insights/publications/2026/05/unpacking-connecticuts-new-ai-law</w:t>
      </w:r>
    </w:p>
    <w:p>
      <w:pPr>
        <w:jc w:val="both"/>
      </w:pPr>
      <w:r>
        <w:rPr>
          <w:rFonts w:ascii="Arial" w:hAnsi="Arial"/>
          <w:b w:val="0"/>
          <w:i w:val="0"/>
          <w:sz w:val="19"/>
        </w:rPr>
        <w:t xml:space="preserve">Sanders, B. (1. Juni 2026). </w:t>
      </w:r>
      <w:r>
        <w:rPr>
          <w:rFonts w:ascii="Arial" w:hAnsi="Arial"/>
          <w:b w:val="0"/>
          <w:i/>
          <w:sz w:val="19"/>
        </w:rPr>
        <w:t>The Public Should Own Half of the Big A.I. Companies.</w:t>
      </w:r>
      <w:r>
        <w:rPr>
          <w:rFonts w:ascii="Arial" w:hAnsi="Arial"/>
          <w:b w:val="0"/>
          <w:i w:val="0"/>
          <w:sz w:val="19"/>
        </w:rPr>
        <w:t xml:space="preserve"> New York Times Op-Ed, sekundärveröffentlicht auf sanders.senate.gov. Ankündigung des </w:t>
      </w:r>
      <w:r>
        <w:rPr>
          <w:rFonts w:ascii="Arial" w:hAnsi="Arial"/>
          <w:b w:val="0"/>
          <w:i/>
          <w:sz w:val="19"/>
        </w:rPr>
        <w:t>American A.I. Sovereign Wealth Fund Act</w:t>
      </w:r>
      <w:r>
        <w:rPr>
          <w:rFonts w:ascii="Arial" w:hAnsi="Arial"/>
          <w:b w:val="0"/>
          <w:i w:val="0"/>
          <w:sz w:val="19"/>
        </w:rPr>
        <w:t>: einmalige Stocksteuer in Höhe von 50 % auf Anteile von OpenAI, Anthropic, xAI und vergleichbar großen KI-Unternehmen; Einbringung der Aktien in einen öffentlichen Wohlstandsfonds mit Stimmrechten und Sitzen im Aufsichtsrat; Ausschüttung der Fondserträge an die Bürgerinnen und Bürger; Bezug auf das norwegische Staatsfondsmodell (Marktwert über 2 Bio. USD) und auf den per Executive Order angeordneten US-Souveränitätsfonds als Präzedenzen. https://www.sanders.senate.gov/op-eds/the-public-should-own-half-of-the-big-a-i-companies/</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Warren, E. (27. Mai 2026). </w:t>
      </w:r>
      <w:r>
        <w:rPr>
          <w:rFonts w:ascii="Arial" w:hAnsi="Arial"/>
          <w:b w:val="0"/>
          <w:i/>
          <w:sz w:val="19"/>
        </w:rPr>
        <w:t>Why We Need to Tax AI.</w:t>
      </w:r>
      <w:r>
        <w:rPr>
          <w:rFonts w:ascii="Arial" w:hAnsi="Arial"/>
          <w:b w:val="0"/>
          <w:i w:val="0"/>
          <w:sz w:val="19"/>
        </w:rPr>
        <w:t xml:space="preserve"> Time-Magazin Op-Ed. Vorschlag einer Verbrauchsteuer auf den Stromverbrauch von KI-Rechenzentren (pro Kilowattstunde) und einer flankierenden Vermögensteuer auf KI-Sektor-Milliardäre; zweckgebunden für Universal Healthcare, gebührenfreie Hochschulbildung und gestärkte Arbeitslosenversicherung für KI-verdrängte Beschäftigte. Sammelberichterstattung: https://time.com/article/2026/05/27/why-we-need-to-tax-ai/ | https://www.axios.com/2026/05/27/elizabeth-warren-tax-ai-companies-benefit-americans | https://thehill.com/homenews/senate/5898081-warren-proposes-ai-tax/ | https://www.techspot.com/news/112549-elizabeth-warren-wants-tax-ai-data-centers-power.html</w:t>
      </w:r>
    </w:p>
    <w:p>
      <w:pPr>
        <w:jc w:val="both"/>
      </w:pPr>
      <w:r>
        <w:rPr>
          <w:rFonts w:ascii="Arial" w:hAnsi="Arial"/>
          <w:b w:val="0"/>
          <w:i w:val="0"/>
          <w:sz w:val="19"/>
        </w:rPr>
        <w:t xml:space="preserve">CNBC / Fortune / CNN Business / TechCrunch / Reuters. (1. Juni 2026). </w:t>
      </w:r>
      <w:r>
        <w:rPr>
          <w:rFonts w:ascii="Arial" w:hAnsi="Arial"/>
          <w:b w:val="0"/>
          <w:i/>
          <w:sz w:val="19"/>
        </w:rPr>
        <w:t>Anthropic confidentially files for IPO after raising $65 billion in a funding round at a $965 billion valuation / Anthropic confidentially files IPO prospectus with SEC, prepping Wall Street for landmark AI deal / Anthropic files to go public in a potentially trillion-dollar debut.</w:t>
      </w:r>
      <w:r>
        <w:rPr>
          <w:rFonts w:ascii="Arial" w:hAnsi="Arial"/>
          <w:b w:val="0"/>
          <w:i w:val="0"/>
          <w:sz w:val="19"/>
        </w:rPr>
        <w:t xml:space="preserve"> Vertrauliche S-1-Einreichung bei der SEC am 1. Juni 2026 nach Abschluss der 65-Mrd.-USD-Finanzierungsrunde am 28. Mai 2026 bei einer Post-Money-Bewertung von rund 965 Mrd. USD; erste Bewertung, die diejenige des US-Wettbewerbers OpenAI übersteigt. https://fortune.com/2026/06/01/anthropic-confidentially-files-ipo-965-billion-valuation/ | https://www.cnbc.com/2026/06/01/anthropic-ipo-s1-prospectus.html | https://www.cnn.com/2026/06/01/tech/anthropic-ipo-filing | https://techcrunch.com/2026/06/01/anthropic-files-to-go-public/</w:t>
      </w:r>
    </w:p>
    <w:p>
      <w:pPr>
        <w:jc w:val="both"/>
      </w:pPr>
      <w:r>
        <w:rPr>
          <w:rFonts w:ascii="Arial" w:hAnsi="Arial"/>
          <w:b w:val="0"/>
          <w:i w:val="0"/>
          <w:sz w:val="19"/>
        </w:rPr>
        <w:t xml:space="preserve">TechTimes / TechSpot. (29. Mai 2026). </w:t>
      </w:r>
      <w:r>
        <w:rPr>
          <w:rFonts w:ascii="Arial" w:hAnsi="Arial"/>
          <w:b w:val="0"/>
          <w:i/>
          <w:sz w:val="19"/>
        </w:rPr>
        <w:t>Tech Layoffs Reach 142,000 in 2026: Profitable Companies Cut Jobs to Fund $700B AI Infrastructure / Tech layoffs have already passed 100,000 in 2026 as the industry cuts jobs to fund AI.</w:t>
      </w:r>
      <w:r>
        <w:rPr>
          <w:rFonts w:ascii="Arial" w:hAnsi="Arial"/>
          <w:b w:val="0"/>
          <w:i w:val="0"/>
          <w:sz w:val="19"/>
        </w:rPr>
        <w:t xml:space="preserve"> Aggregat-Bestand 2026-Tech-Layoffs zum 29. Mai 2026 rund 142.000 betroffene Beschäftigte; TrueUp-Projektion 2026 Gesamtjahr rund 370.000; Meta-Notifikation 20. Mai 2026 (rund 8.000 / 10 %), Oracle-Ankündigung Mai 2026 (rund 30.000, größte Einzel-Layoff-Meldung 2026), Intuit (rund 3.000 / 17 %). https://www.techtimes.com/articles/317392/20260529/tech-layoffs-reach-142000-2026-profitable-companies-cut-jobs-fund-700b-ai-infrastructure.htm | https://www.techspot.com/news/112493-tech-layoffs-pass-100000-2026-tracker-points-ai.html</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Anfang Juni 2026 (Schnitt am 2. Juni 2026 — Lauf 002 vom 2. Juni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Bundestags-Erstlesung 11. Juni 2026, Bundesrat-Erstdurchgang 12. Juni 2026 angesetzt), der am 7. Mai 2026 zwischen Rat und Parlament im Trilog erzielten und am 13. Mai 2026 durch die Mitgliedstaatenvertreter im Rat bestätigten </w:t>
      </w:r>
      <w:r>
        <w:rPr>
          <w:rFonts w:ascii="Arial" w:hAnsi="Arial"/>
          <w:b w:val="0"/>
          <w:i/>
          <w:sz w:val="19"/>
        </w:rPr>
        <w:t>vorläufigen politischen Einigung</w:t>
      </w:r>
      <w:r>
        <w:rPr>
          <w:rFonts w:ascii="Arial" w:hAnsi="Arial"/>
          <w:b w:val="0"/>
          <w:i w:val="0"/>
          <w:sz w:val="19"/>
        </w:rPr>
        <w:t xml:space="preserve"> zum Digital Omnibus on AI (Hochrisiko-Pflichten für eigenständige Anhang-III-Systeme verschoben auf 2. Dezember 2027, für eingebettete Anhang-I-Systeme auf 2. August 2028; viermonatige Übergangsfrist bis 2. Dezember 2026 für Art. 50 Abs. 2 AI Act; neue Art.-5-Prohibition KI-generierter nicht einvernehmlicher intimer Bildinhalte und CSAM; förmliche Annahme und Amtsblatt-Veröffentlichung vor dem 2. August 2026 angestrebt; bei Scheitern bliebe es bei der ursprünglichen Stichtag-Anwendung),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und von Gouverneur Ned Lamont am 29. Mai 2026 unterzeichneten </w:t>
      </w:r>
      <w:r>
        <w:rPr>
          <w:rFonts w:ascii="Arial" w:hAnsi="Arial"/>
          <w:b w:val="0"/>
          <w:i/>
          <w:sz w:val="19"/>
        </w:rPr>
        <w:t>SB 5 — Connecticut Artificial Intelligence Responsibility and Transparency Act</w:t>
      </w:r>
      <w:r>
        <w:rPr>
          <w:rFonts w:ascii="Arial" w:hAnsi="Arial"/>
          <w:b w:val="0"/>
          <w:i w:val="0"/>
          <w:sz w:val="19"/>
        </w:rPr>
        <w:t xml:space="preserve"> (dritter US-Bundesstaat nach Colorado und Texas mit umfassendem KI-Rahmen) mit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1. Juli 2026; Cash-Einmalzahlung 8–39 Wochen Grundgehalt nach Level und Betriebszugehörigkeit, bis zu fünfjährige Krankenversicherungs-Verlängerung)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27. Mai 2026 von US-Senatorin Elizabeth Warren im </w:t>
      </w:r>
      <w:r>
        <w:rPr>
          <w:rFonts w:ascii="Arial" w:hAnsi="Arial"/>
          <w:b w:val="0"/>
          <w:i/>
          <w:sz w:val="19"/>
        </w:rPr>
        <w:t>Time-Magazin</w:t>
      </w:r>
      <w:r>
        <w:rPr>
          <w:rFonts w:ascii="Arial" w:hAnsi="Arial"/>
          <w:b w:val="0"/>
          <w:i w:val="0"/>
          <w:sz w:val="19"/>
        </w:rPr>
        <w:t xml:space="preserve"> unter dem Titel </w:t>
      </w:r>
      <w:r>
        <w:rPr>
          <w:rFonts w:ascii="Arial" w:hAnsi="Arial"/>
          <w:b w:val="0"/>
          <w:i/>
          <w:sz w:val="19"/>
        </w:rPr>
        <w:t>„Why We Need to Tax AI"</w:t>
      </w:r>
      <w:r>
        <w:rPr>
          <w:rFonts w:ascii="Arial" w:hAnsi="Arial"/>
          <w:b w:val="0"/>
          <w:i w:val="0"/>
          <w:sz w:val="19"/>
        </w:rPr>
        <w:t xml:space="preserve"> vorgelegten Vorschlags einer Verbrauchsteuer auf den Stromverbrauch von KI-Rechenzentren (pro Kilowattstunde) und einer Vermögensteuer auf KI-Sektor-Milliardäre — zweckgebunden für Universal Healthcare, gebührenfreie Hochschulbildung und Arbeitslosenversicherung für KI-verdrängte Beschäftigte —, des am 1. Juni 2026 von US-Senator Bernie Sanders in einem </w:t>
      </w:r>
      <w:r>
        <w:rPr>
          <w:rFonts w:ascii="Arial" w:hAnsi="Arial"/>
          <w:b w:val="0"/>
          <w:i/>
          <w:sz w:val="19"/>
        </w:rPr>
        <w:t>New York Times</w:t>
      </w:r>
      <w:r>
        <w:rPr>
          <w:rFonts w:ascii="Arial" w:hAnsi="Arial"/>
          <w:b w:val="0"/>
          <w:i w:val="0"/>
          <w:sz w:val="19"/>
        </w:rPr>
        <w:t>-Namensbeitrag (</w:t>
      </w:r>
      <w:r>
        <w:rPr>
          <w:rFonts w:ascii="Arial" w:hAnsi="Arial"/>
          <w:b w:val="0"/>
          <w:i/>
          <w:sz w:val="19"/>
        </w:rPr>
        <w:t>„The Public Should Own Half of the Big A.I. Companies"</w:t>
      </w:r>
      <w:r>
        <w:rPr>
          <w:rFonts w:ascii="Arial" w:hAnsi="Arial"/>
          <w:b w:val="0"/>
          <w:i w:val="0"/>
          <w:sz w:val="19"/>
        </w:rPr>
        <w:t xml:space="preserve">) angekündigten </w:t>
      </w:r>
      <w:r>
        <w:rPr>
          <w:rFonts w:ascii="Arial" w:hAnsi="Arial"/>
          <w:b w:val="0"/>
          <w:i/>
          <w:sz w:val="19"/>
        </w:rPr>
        <w:t>American A.I. Sovereign Wealth Fund Act</w:t>
      </w:r>
      <w:r>
        <w:rPr>
          <w:rFonts w:ascii="Arial" w:hAnsi="Arial"/>
          <w:b w:val="0"/>
          <w:i w:val="0"/>
          <w:sz w:val="19"/>
        </w:rPr>
        <w:t xml:space="preserve"> mit einmaliger Stocksteuer in Höhe von 50 % auf Anteile von OpenAI, Anthropic, xAI und vergleichbar großen KI-Unternehmen sowie öffentlichem Wohlstandsfonds mit Stimmrechten und Aufsichtsratssitzen, der am 1. Juni 2026 vertraulich bei der SEC eingereichten S-1-Erklärung von Anthropic im Anschluss an die am 28. Mai 2026 abgeschlossene Finanzierungsrunde über 65 Mrd. USD bei einer Post-Money-Bewertung von rund 965 Mrd. USD (erste Bewertung über derjenigen von OpenAI), des am 5. Mai 2026 erschienenen </w:t>
      </w:r>
      <w:r>
        <w:rPr>
          <w:rFonts w:ascii="Arial" w:hAnsi="Arial"/>
          <w:b w:val="0"/>
          <w:i/>
          <w:sz w:val="19"/>
        </w:rPr>
        <w:t>IAB-Kurzberichts 8/2026</w:t>
      </w:r>
      <w:r>
        <w:rPr>
          <w:rFonts w:ascii="Arial" w:hAnsi="Arial"/>
          <w:b w:val="0"/>
          <w:i w:val="0"/>
          <w:sz w:val="19"/>
        </w:rPr>
        <w:t xml:space="preserve"> (Friedrich/Kagerl) mit annähernder Verfünffachung des Anteils generative-KI-nutzender Betriebe von rund 5 % im Jahr 2023 auf rund 25 % im Jahr 2025 (48 % bei ≥ 200 Beschäftigten gegenüber 21 % bei &lt; 10 Beschäftigten; 30 % bei Betrieben jünger als fünf Jahre gegenüber 21 % bei Betrieben älter als 25 Jahre) sowie des Tech-Layoff-Trackerstandes zum 29. Mai 2026 (</w:t>
      </w:r>
      <w:r>
        <w:rPr>
          <w:rFonts w:ascii="Arial" w:hAnsi="Arial"/>
          <w:b w:val="0"/>
          <w:i/>
          <w:sz w:val="19"/>
        </w:rPr>
        <w:t>Techtimes / TechSpot</w:t>
      </w:r>
      <w:r>
        <w:rPr>
          <w:rFonts w:ascii="Arial" w:hAnsi="Arial"/>
          <w:b w:val="0"/>
          <w:i w:val="0"/>
          <w:sz w:val="19"/>
        </w:rPr>
        <w:t xml:space="preserve">: rund 142.000 betroffene Beschäftigte 2026; </w:t>
      </w:r>
      <w:r>
        <w:rPr>
          <w:rFonts w:ascii="Arial" w:hAnsi="Arial"/>
          <w:b w:val="0"/>
          <w:i/>
          <w:sz w:val="19"/>
        </w:rPr>
        <w:t>TrueUp</w:t>
      </w:r>
      <w:r>
        <w:rPr>
          <w:rFonts w:ascii="Arial" w:hAnsi="Arial"/>
          <w:b w:val="0"/>
          <w:i w:val="0"/>
          <w:sz w:val="19"/>
        </w:rPr>
        <w:t>-Projektion 2026 Gesamtjahr rund 370.000; treibend Meta-Notifikation 20. Mai 2026 rund 8.000 / 10 %, Oracle Mai 2026 rund 30.000 — größte Einzel-Layoff-Meldung 2026, Intuit rund 3.000 / 17 %).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