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Anfang Juni 2026 veröffentlichte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setzt diese Reihe fort und verschärft sie: Insgesamt wurden 97.006 Streichungen für den Monat Mai 2026 angekündigt (+16 % gegenüber April; höchster Mai-Wert seit der pandemiegeprägten Mai-2020-Phase), davon 38.579 ausdrücklich KI- oder Automatisierungsbezogen — entsprechend rund 40 % aller Mai-Streichungen und damit der höchste Monatswert seit Beginn der Challenger-KI-Tracking-Reihe 2023 (Reihe Jan 7 %, Mär 25 %, Apr 26 %, Mai 40 %). Die Tech-Branche allein meldete 38.242 Stellenstreichungen im Mai (höchster Monatswert seit August 2024) und liegt nun bei 123.653 kumuliert (+66 % gegenüber dem Vorjahreszeitraum); kumuliert für die ersten fünf Monate des Jahres 2026 liegen die KI-bezogenen Streichungen bei 87.714 — rund 22 % aller 2026-Streichungspläne — und übersteigen damit bereits den gesamten Jahreswert 2025 (54.836 KI-bezogene Streichungen) deutlich. Eine parallele TrueUp-Tagesfortschreibung zur Wochenmitte des 11./12. Juni 2026 weist 247 Tech-Layoff-Ereignisse mit 183.966 betroffenen Personen aus (rund 1.129 Stellen pro Tag); 55 % der Ereignisse nennen explizit KI, Automatisierung oder maschinelles Lernen als Treiber. TrueUp projiziert auf dieser Basis für das Gesamtjahr 2026 rund 370.000 Tech-Stellenstreichungen — eine Größenordnung, die deutlich über den Werten 2024 und 2025 liegt. Eine geopolitisch motivierte Sonderlinie liefert </w:t>
      </w:r>
      <w:r>
        <w:rPr>
          <w:rFonts w:ascii="Arial" w:hAnsi="Arial"/>
          <w:b w:val="0"/>
          <w:i/>
          <w:sz w:val="19"/>
        </w:rPr>
        <w:t>Microsoft Azure China</w:t>
      </w:r>
      <w:r>
        <w:rPr>
          <w:rFonts w:ascii="Arial" w:hAnsi="Arial"/>
          <w:b w:val="0"/>
          <w:i w:val="0"/>
          <w:sz w:val="19"/>
        </w:rPr>
        <w:t xml:space="preserve">: Im späten Juni 2026 sind 200 bis 400 Beschäftigte in den Niederlassungen Peking und Shanghai über eine bevorstehende Trennung zum 6. Juli 2026 informiert worden; die Reduktion betrifft primär Engineering-, Vertriebs- und Support-Rollen und ist ausdrücklich mit US-Exportkontrollen für fortgeschrittene Chips begründet, die lokalen KI-Betrieb rechtlich riskant machen — ein Beispiel dafür, dass KI-getriebene Personalanpassungen nicht nur Substitutionseffekte, sondern auch geopolitische Decoupling-Effekte abbilden.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In der dritten Trilogrunde haben Rat und Parlament am 7. Mai 2026 in den frühen Morgenstunden eine politische Einigung über den Digital Omnibus on AI erzielt; sie verschiebt die Hochrisiko-Pflichten für eigenständige Anhang-III-Systeme auf den 2. Dezember 2027, koppelt die Anwendbarkeit an die Verfügbarkeit harmonisierter Normen und vereinfacht administrative Pflichten für kleine und mittlere Unternehmen. Die Einigung ist als politisches Übereinkommen formuliert, das Parlament und Rat förmlich beschließen und das im Amtsblatt vor dem 2. August 2026 veröffentlicht werden müsste, damit es Wirksamkeit entfaltet; Artikel 4 (KI-Kompetenz der Beschäftigten) bleibt von der Verschiebung ausgenommen und ist ab dem 2. August 2026 anwendbar. Scheitert die formale Verabschiedung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 Juni 2026 hat Sanders zusätzlich den </w:t>
      </w:r>
      <w:r>
        <w:rPr>
          <w:rFonts w:ascii="Arial" w:hAnsi="Arial"/>
          <w:b w:val="0"/>
          <w:i/>
          <w:sz w:val="19"/>
        </w:rPr>
        <w:t>American AI Sovereign Wealth Fund Act</w:t>
      </w:r>
      <w:r>
        <w:rPr>
          <w:rFonts w:ascii="Arial" w:hAnsi="Arial"/>
          <w:b w:val="0"/>
          <w:i w:val="0"/>
          <w:sz w:val="19"/>
        </w:rPr>
        <w:t xml:space="preserve"> in den Senat eingebracht: Der Entwurf sieht eine einmalige Steuer in Höhe von 50 % auf die Eigenkapitalanteile großer KI-Unternehmen — namentlich genannt werden OpenAI, Anthropic und xAI — vor; die abgeführten Anteile sollen in einen neu zu errichtenden öffentlichen Wohlstandsfonds nach norwegischem Vorbild fließen, der für jeden US-Bürger einen anteiligen Ertrag aus KI-Wertschöpfung sichern soll, und die Bundesregierung soll Stimmrechte sowie gleichberechtigte Sitze in den Vorständen erhalten, um Entscheidungen mit Schadenspotenzial blockieren zu können. Sanders ordnet den Entwurf ausdrücklich als Antwort auf die in den OpenAI-/Anthropic-Strategiepapieren (§ 4.5) sowie in akademischen Beiträgen (Korinek/Lockwood, § 3.5) geforderte direkte Beteiligung der Bevölkerung an der KI-Wertschöpfung ein. Die Aussicht auf Annahme der beiden Entwürfe in einem republikanisch geführten Kongress gilt als gering; als Signalgebung ist die Doppelinitiative aus </w:t>
      </w:r>
      <w:r>
        <w:rPr>
          <w:rFonts w:ascii="Arial" w:hAnsi="Arial"/>
          <w:b w:val="0"/>
          <w:i/>
          <w:sz w:val="19"/>
        </w:rPr>
        <w:t>Data Center Moratorium</w:t>
      </w:r>
      <w:r>
        <w:rPr>
          <w:rFonts w:ascii="Arial" w:hAnsi="Arial"/>
          <w:b w:val="0"/>
          <w:i w:val="0"/>
          <w:sz w:val="19"/>
        </w:rPr>
        <w:t xml:space="preserve"> (März 2026) und </w:t>
      </w:r>
      <w:r>
        <w:rPr>
          <w:rFonts w:ascii="Arial" w:hAnsi="Arial"/>
          <w:b w:val="0"/>
          <w:i/>
          <w:sz w:val="19"/>
        </w:rPr>
        <w:t>Sovereign Wealth Fund Act</w:t>
      </w:r>
      <w:r>
        <w:rPr>
          <w:rFonts w:ascii="Arial" w:hAnsi="Arial"/>
          <w:b w:val="0"/>
          <w:i w:val="0"/>
          <w:sz w:val="19"/>
        </w:rPr>
        <w:t xml:space="preserve"> (Juni 2026) jedoch der bislang konkreteste politische Vorstoß auf US-Bundesebene und überführt die Sanders-Robotersteuer in das funktional verwandte Format eines Eigenkapital-Abgriffs nach Typ 4 (§ 2.1).</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Entwurf am 2. Juni 2026 als </w:t>
      </w:r>
      <w:r>
        <w:rPr>
          <w:rFonts w:ascii="Arial" w:hAnsi="Arial"/>
          <w:b w:val="0"/>
          <w:i/>
          <w:sz w:val="19"/>
        </w:rPr>
        <w:t>Public Act 26-15</w:t>
      </w:r>
      <w:r>
        <w:rPr>
          <w:rFonts w:ascii="Arial" w:hAnsi="Arial"/>
          <w:b w:val="0"/>
          <w:i w:val="0"/>
          <w:sz w:val="19"/>
        </w:rPr>
        <w:t xml:space="preserve"> unterzeichnet — Connecticut ist damit der erste US-Bundesstaat, der ein umfassendes KI-Rahmengesetz mit kombinierten Verpflichtungen für Frontier-Modell-Anbieter, </w:t>
      </w:r>
      <w:r>
        <w:rPr>
          <w:rFonts w:ascii="Arial" w:hAnsi="Arial"/>
          <w:b w:val="0"/>
          <w:i/>
          <w:sz w:val="19"/>
        </w:rPr>
        <w:t>automated employment decision technology</w:t>
      </w:r>
      <w:r>
        <w:rPr>
          <w:rFonts w:ascii="Arial" w:hAnsi="Arial"/>
          <w:b w:val="0"/>
          <w:i w:val="0"/>
          <w:sz w:val="19"/>
        </w:rPr>
        <w:t xml:space="preserve">, Generative-AI-Provenance und Online-Plattformen für Minderjährige in Kraft setzt.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OpenAI „Built to Benefit Everyone: Our Plan" (8. Juni 2026):</w:t>
      </w:r>
      <w:r>
        <w:rPr>
          <w:rFonts w:ascii="Arial" w:hAnsi="Arial"/>
          <w:b w:val="0"/>
          <w:i w:val="0"/>
          <w:sz w:val="19"/>
        </w:rPr>
        <w:t xml:space="preserve"> In einem von Sam Altman und Jakub Pachocki gezeichneten Folgepapier hat OpenAI das Strategiepapier vom April 2026 zu einer organisationsinternen Strukturzusage fortgeschrieben. Der OpenAI-Nonprofit soll in der geplanten Reorganisation die ihm nachgeordnete </w:t>
      </w:r>
      <w:r>
        <w:rPr>
          <w:rFonts w:ascii="Arial" w:hAnsi="Arial"/>
          <w:b w:val="0"/>
          <w:i/>
          <w:sz w:val="19"/>
        </w:rPr>
        <w:t>Public Benefit Corporation</w:t>
      </w:r>
      <w:r>
        <w:rPr>
          <w:rFonts w:ascii="Arial" w:hAnsi="Arial"/>
          <w:b w:val="0"/>
          <w:i w:val="0"/>
          <w:sz w:val="19"/>
        </w:rPr>
        <w:t xml:space="preserve"> (PBC) weiterhin kontrollieren und direkt an deren wirtschaftlichem Erfolg beteiligt sein; der Eigenkapitalanteil des Nonprofits soll laut Papier mehr als 100 Mrd. US-Dollar betragen — nach Eigenangaben damit eine der finanziell am besten ausgestatteten philanthropischen Strukturen weltweit. Operativ kündigt das Papier ein zunächst auf 50 Mio. US-Dollar dotiertes Förderprogramm für Nichtregierungsorganisationen in den Feldern KI-Kompetenz, Gemeinschaftsinnovation und ökonomische Teilhabe an und nutzt die Analogie ländlicher Elektrifizierung, um KI-Zugang als Infrastrukturfrage zu rahmen. Für die Steuer- und Verteilungsdebatte ist das Papier relevant, weil es den im April-Papier formulierten Anspruch auf öffentliche Beteiligung an KI-Wertschöpfung erstmals in einer privatrechtlichen Eigentumsstruktur konkretisiert — als private Antwort auf die durch Sanders im </w:t>
      </w:r>
      <w:r>
        <w:rPr>
          <w:rFonts w:ascii="Arial" w:hAnsi="Arial"/>
          <w:b w:val="0"/>
          <w:i/>
          <w:sz w:val="19"/>
        </w:rPr>
        <w:t>American AI Sovereign Wealth Fund Act</w:t>
      </w:r>
      <w:r>
        <w:rPr>
          <w:rFonts w:ascii="Arial" w:hAnsi="Arial"/>
          <w:b w:val="0"/>
          <w:i w:val="0"/>
          <w:sz w:val="19"/>
        </w:rPr>
        <w:t xml:space="preserve"> (1. Juni 2026, § 4.5) parallel formulierte staatliche Beteiligungslogik. Die Initiative ist organisations­intern und schafft keine fiskalisch wirksame Abgabe; sie verlagert vielmehr Teilhabe von der Steuerseite auf die Eigentümerseite und bleibt damit für eine ordnungspolitische Bewertung gegenüber dem Sanders-Modell offen.</w:t>
      </w:r>
    </w:p>
    <w:p>
      <w:pPr>
        <w:jc w:val="both"/>
      </w:pPr>
      <w:r>
        <w:rPr>
          <w:rFonts w:ascii="Arial" w:hAnsi="Arial"/>
          <w:b/>
          <w:i w:val="0"/>
          <w:sz w:val="19"/>
        </w:rPr>
        <w:t>Anthropic Economic Futures Research Fund (10. Juni 2026):</w:t>
      </w:r>
      <w:r>
        <w:rPr>
          <w:rFonts w:ascii="Arial" w:hAnsi="Arial"/>
          <w:b w:val="0"/>
          <w:i w:val="0"/>
          <w:sz w:val="19"/>
        </w:rPr>
        <w:t xml:space="preserve"> Anthropic hat parallel zur eigenen Index-Reihe (§ 3.5) am 10. Juni 2026 einen zunächst 200 Mio. US-Dollar schweren </w:t>
      </w:r>
      <w:r>
        <w:rPr>
          <w:rFonts w:ascii="Arial" w:hAnsi="Arial"/>
          <w:b w:val="0"/>
          <w:i/>
          <w:sz w:val="19"/>
        </w:rPr>
        <w:t>Economic Futures Research Fund</w:t>
      </w:r>
      <w:r>
        <w:rPr>
          <w:rFonts w:ascii="Arial" w:hAnsi="Arial"/>
          <w:b w:val="0"/>
          <w:i w:val="0"/>
          <w:sz w:val="19"/>
        </w:rPr>
        <w:t xml:space="preserve"> angekündigt, der empirische Forschung und Politikevaluationen zu KI-Arbeitsmarktwirkungen finanzieren soll, sowie ein flankierendes </w:t>
      </w:r>
      <w:r>
        <w:rPr>
          <w:rFonts w:ascii="Arial" w:hAnsi="Arial"/>
          <w:b w:val="0"/>
          <w:i/>
          <w:sz w:val="19"/>
        </w:rPr>
        <w:t>Claude-Corps</w:t>
      </w:r>
      <w:r>
        <w:rPr>
          <w:rFonts w:ascii="Arial" w:hAnsi="Arial"/>
          <w:b w:val="0"/>
          <w:i w:val="0"/>
          <w:sz w:val="19"/>
        </w:rPr>
        <w:t>-Programm mit zusätzlich 150 Mio. US-Dollar; verbunden ist die Mittelvergabe mit einem dreistufigen Politikrahmen, der KI-induzierte Arbeitsmarktinterventionen an Schwellenwerte der Arbeitslosenquote koppelt. Anthropic markiert damit eine Position, die sich vom OpenAI-Eigentumsmodell (8. Juni 2026) und vom Sanders-Eigenkapital-Modell (1. Juni 2026) durch eine ausgabenseitige Forschungs- und Maßnahmenarchitektur unterscheidet — keine fiskalisch wirksame Abgabe, aber eine systematische Finanzierungs- und Wirkungsmessungs-Infrastruktur, die dem in § 8.4 entwickelten Stabilitätsargument empirisch zuarbeiten könnte.</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Gewerkschaftliche Reformagenda (11. Juni 2026):</w:t>
      </w:r>
      <w:r>
        <w:rPr>
          <w:rFonts w:ascii="Arial" w:hAnsi="Arial"/>
          <w:b w:val="0"/>
          <w:i w:val="0"/>
          <w:sz w:val="19"/>
        </w:rPr>
        <w:t xml:space="preserve"> Die Vorsitzenden von DGB (Yasmin Fahimi), IG Metall (Christiane Benner), ver.di (Frank Werneke) und IGBCE (Michael Vassiliadis) haben am 11. Juni 2026 eine gemeinsame Erklärung </w:t>
      </w:r>
      <w:r>
        <w:rPr>
          <w:rFonts w:ascii="Arial" w:hAnsi="Arial"/>
          <w:b w:val="0"/>
          <w:i/>
          <w:sz w:val="19"/>
        </w:rPr>
        <w:t>„Reformagenda für wirtschaftliche Stärke, gute Arbeit und soziale Sicherheit"</w:t>
      </w:r>
      <w:r>
        <w:rPr>
          <w:rFonts w:ascii="Arial" w:hAnsi="Arial"/>
          <w:b w:val="0"/>
          <w:i w:val="0"/>
          <w:sz w:val="19"/>
        </w:rPr>
        <w:t xml:space="preserve"> vorgelegt. Sie verbindet eine sozialstaatliche Bestandsgarantie für die paritätisch finanzierten Sicherungszweige mit der Forderung, die Bemessungsgrundlage der Sozialversicherung „über die reine Lohnsumme hinaus zu denken" — eine sprachlich vorsichtige, sachlich aber an die in § 5.1 entwickelte Wertschöpfungsabgaben-Linie anschlussfähige Position. Der Vorgang ist relevant, weil mit DGB und IG Metall erstmals zwei Spitzenorganisationen, die einer Robotersteuer im engeren Sinne reserviert gegenüberstanden, eine programmatische Öffnung in Richtung breiterer Finanzierungsgrundlagen vornehmen.</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wurde dem Bundesrat im ersten Durchgang am 8. Mai 2026 zugeleitet (1065. Sitzung; insgesamt 79 Tagesordnungspunkte, darunter eine flankierende Thüringer Entschließung zum Bürokratieabbau in der gesetzlichen Krankenversicherung); die erste Bundestagslesung erfolgte am 12. Juni 2026 in einer kontroversen Debatte und wurde im Anschluss an die Ausschüsse überwiesen (Bundesgesundheitsministerin Nina Warken verteidigte das Maßnahmenpaket gegen die Kritik der Opposition; eine Bundestagsanhörung ist auf den 22. Juni 2026 anberaumt). In der parallelen 1066. Bundesratssitzung am 12. Juni 2026 haben die Länder zu 24 Regierungsvorhaben Stellung genommen, ohne dass eine Zustimmungsverweigerung absehbar wurde.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val="0"/>
          <w:i w:val="0"/>
          <w:sz w:val="19"/>
        </w:rPr>
        <w:t xml:space="preserve">Eine zusätzliche Dynamik ergibt sich aus dem Inferenz-Preisverfall. Mit der zum 22. Mai 2026 angekündigten dauerhaften Preisreduktion des chinesischen Anbieters </w:t>
      </w:r>
      <w:r>
        <w:rPr>
          <w:rFonts w:ascii="Arial" w:hAnsi="Arial"/>
          <w:b w:val="0"/>
          <w:i/>
          <w:sz w:val="19"/>
        </w:rPr>
        <w:t>DeepSeek</w:t>
      </w:r>
      <w:r>
        <w:rPr>
          <w:rFonts w:ascii="Arial" w:hAnsi="Arial"/>
          <w:b w:val="0"/>
          <w:i w:val="0"/>
          <w:sz w:val="19"/>
        </w:rPr>
        <w:t xml:space="preserve"> für sein Modell </w:t>
      </w:r>
      <w:r>
        <w:rPr>
          <w:rFonts w:ascii="Arial" w:hAnsi="Arial"/>
          <w:b w:val="0"/>
          <w:i/>
          <w:sz w:val="19"/>
        </w:rPr>
        <w:t>V4-Pro</w:t>
      </w:r>
      <w:r>
        <w:rPr>
          <w:rFonts w:ascii="Arial" w:hAnsi="Arial"/>
          <w:b w:val="0"/>
          <w:i w:val="0"/>
          <w:sz w:val="19"/>
        </w:rPr>
        <w:t xml:space="preserve"> um 75 % auf rund 0,87 US-Dollar je Million Output-Token — bei einer Leistung im SWE-bench Verified-Test (80,6) auf Augenhöhe mit </w:t>
      </w:r>
      <w:r>
        <w:rPr>
          <w:rFonts w:ascii="Arial" w:hAnsi="Arial"/>
          <w:b w:val="0"/>
          <w:i/>
          <w:sz w:val="19"/>
        </w:rPr>
        <w:t>Claude Opus 4.7</w:t>
      </w:r>
      <w:r>
        <w:rPr>
          <w:rFonts w:ascii="Arial" w:hAnsi="Arial"/>
          <w:b w:val="0"/>
          <w:i w:val="0"/>
          <w:sz w:val="19"/>
        </w:rPr>
        <w:t xml:space="preserve"> (80,8) und einem Inferenz-Preis-Gefälle von rund 1:7 zu Anthropic und 1:9 zu OpenAI (Output) — verschiebt sich die Wettbewerbslogik bei kommerziellen Anwendungen Richtung kostengetriebener Substitution. Für eine deutsche Veredelungsstrategie bedeutet das eine ambivalente Lage: einerseits sinkende Eintrittsschwellen für branchenspezifische Veredelung; andererseits eine wachsende Abhängigkeit von Anbietern in zwei geopolitischen Räumen (USA, VR China), die sich gegenseitig fiskalisch und exportrechtlich unter Druck setzen.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 Juni 2026). </w:t>
      </w:r>
      <w:r>
        <w:rPr>
          <w:rFonts w:ascii="Arial" w:hAnsi="Arial"/>
          <w:b w:val="0"/>
          <w:i/>
          <w:sz w:val="19"/>
        </w:rPr>
        <w:t>American AI Sovereign Wealth Fund Act.</w:t>
      </w:r>
      <w:r>
        <w:rPr>
          <w:rFonts w:ascii="Arial" w:hAnsi="Arial"/>
          <w:b w:val="0"/>
          <w:i w:val="0"/>
          <w:sz w:val="19"/>
        </w:rPr>
        <w:t xml:space="preserve"> Senatsentwurf des 119. Kongresses. Einmalige Steuer von 50 % auf das Eigenkapital großer KI-Unternehmen (u. a. OpenAI, Anthropic, xAI) zur Speisung eines öffentlichen Wohlstandsfonds; Stimmrechte und Vorstandssitze für die Bundesregierung. https://thehill.com/policy/technology/5906140-sanders-ai-ownership-wealth/ | https://www.foxbusiness.com/politics/sanders-unveils-plan-take-50-stake-ai-companies-government-wealth-fund</w:t>
      </w:r>
    </w:p>
    <w:p>
      <w:pPr>
        <w:jc w:val="both"/>
      </w:pPr>
      <w:r>
        <w:rPr>
          <w:rFonts w:ascii="Arial" w:hAnsi="Arial"/>
          <w:b w:val="0"/>
          <w:i w:val="0"/>
          <w:sz w:val="19"/>
        </w:rPr>
        <w:t xml:space="preserve">OpenAI. (8. Juni 2026). </w:t>
      </w:r>
      <w:r>
        <w:rPr>
          <w:rFonts w:ascii="Arial" w:hAnsi="Arial"/>
          <w:b w:val="0"/>
          <w:i/>
          <w:sz w:val="19"/>
        </w:rPr>
        <w:t>Built to Benefit Everyone: Our Plan.</w:t>
      </w:r>
      <w:r>
        <w:rPr>
          <w:rFonts w:ascii="Arial" w:hAnsi="Arial"/>
          <w:b w:val="0"/>
          <w:i w:val="0"/>
          <w:sz w:val="19"/>
        </w:rPr>
        <w:t xml:space="preserve"> Strategieessay von Sam Altman und Jakub Pachocki. Nonprofit-PBC-Struktur mit Eigenkapitalanteil &gt; 100 Mrd. US-Dollar, 50 Mio. US-Dollar Förderprogramm für Nichtregierungsorganisationen, Analogie zur ländlichen Elektrifizierung. https://openai.com/index/built-to-benefit-everyone-our-plan/</w:t>
      </w:r>
    </w:p>
    <w:p>
      <w:pPr>
        <w:jc w:val="both"/>
      </w:pPr>
      <w:r>
        <w:rPr>
          <w:rFonts w:ascii="Arial" w:hAnsi="Arial"/>
          <w:b w:val="0"/>
          <w:i w:val="0"/>
          <w:sz w:val="19"/>
        </w:rPr>
        <w:t xml:space="preserve">Anthropic. (10. Juni 2026). </w:t>
      </w:r>
      <w:r>
        <w:rPr>
          <w:rFonts w:ascii="Arial" w:hAnsi="Arial"/>
          <w:b w:val="0"/>
          <w:i/>
          <w:sz w:val="19"/>
        </w:rPr>
        <w:t>Economic Futures Research Fund.</w:t>
      </w:r>
      <w:r>
        <w:rPr>
          <w:rFonts w:ascii="Arial" w:hAnsi="Arial"/>
          <w:b w:val="0"/>
          <w:i w:val="0"/>
          <w:sz w:val="19"/>
        </w:rPr>
        <w:t xml:space="preserve"> 200 Mio. US-Dollar Forschungsfonds zu KI-Arbeitsmarktwirkungen plus 150 Mio. US-Dollar </w:t>
      </w:r>
      <w:r>
        <w:rPr>
          <w:rFonts w:ascii="Arial" w:hAnsi="Arial"/>
          <w:b w:val="0"/>
          <w:i/>
          <w:sz w:val="19"/>
        </w:rPr>
        <w:t>Claude Corps</w:t>
      </w:r>
      <w:r>
        <w:rPr>
          <w:rFonts w:ascii="Arial" w:hAnsi="Arial"/>
          <w:b w:val="0"/>
          <w:i w:val="0"/>
          <w:sz w:val="19"/>
        </w:rPr>
        <w:t>; dreistufiger Politikrahmen entlang Schwellenwerten der Arbeitslosenquote.</w:t>
      </w:r>
    </w:p>
    <w:p>
      <w:pPr>
        <w:jc w:val="both"/>
      </w:pPr>
      <w:r>
        <w:rPr>
          <w:rFonts w:ascii="Arial" w:hAnsi="Arial"/>
          <w:b w:val="0"/>
          <w:i w:val="0"/>
          <w:sz w:val="19"/>
        </w:rPr>
        <w:t xml:space="preserve">Connecticut General Assembly / Office of the Governor. (2. Juni 2026). </w:t>
      </w:r>
      <w:r>
        <w:rPr>
          <w:rFonts w:ascii="Arial" w:hAnsi="Arial"/>
          <w:b w:val="0"/>
          <w:i/>
          <w:sz w:val="19"/>
        </w:rPr>
        <w:t>Public Act 26-15 — An Act Concerning Artificial Intelligence (Senate Bill 5, „Connecticut Artificial Intelligence Responsibility and Transparency Act / CART Act").</w:t>
      </w:r>
      <w:r>
        <w:rPr>
          <w:rFonts w:ascii="Arial" w:hAnsi="Arial"/>
          <w:b w:val="0"/>
          <w:i w:val="0"/>
          <w:sz w:val="19"/>
        </w:rPr>
        <w:t xml:space="preserve"> Unterzeichnung durch Gouverneur Ned Lamont; gestaffeltes Inkrafttreten zwischen 1. Oktober 2026 und 1. Januar 2028. https://portal.ct.gov/governor/news/press-releases/2026/06-2026/governor-lamont-signs-legislation-establishing-youth-online-safety-protections | https://www.ropesgray.com/en/insights/alerts/2026/06/connecticut-enacts-sweeping-ai-law-covering-employment-healthcare-and-online-safety</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 OpenTools / Newkerala. (Anfang Juni 2026). </w:t>
      </w:r>
      <w:r>
        <w:rPr>
          <w:rFonts w:ascii="Arial" w:hAnsi="Arial"/>
          <w:b w:val="0"/>
          <w:i/>
          <w:sz w:val="19"/>
        </w:rPr>
        <w:t>Challenger Report: May Job Cuts Rise 16 % from April; Highest May Total Since 2020 / AI Drives 40% of US Job Cuts in May as 97,000 Positions Eliminated.</w:t>
      </w:r>
      <w:r>
        <w:rPr>
          <w:rFonts w:ascii="Arial" w:hAnsi="Arial"/>
          <w:b w:val="0"/>
          <w:i w:val="0"/>
          <w:sz w:val="19"/>
        </w:rPr>
        <w:t xml:space="preserve"> Gesamt 97.006 Streichungen (höchster Mai-Wert seit 2020); KI-bezogen 38.579 (40 % des Monats; Reihe Jan 7 %, Mär 25 %, Apr 26 %, Mai 40 %); Tech-Branche 38.242 (höchster Monatswert seit Aug 2024); YTD-Tech 123.653 (+66 %); YTD-KI 87.714 (22 % aller 2026-Pläne; bereits über dem Gesamtjahr 2025). https://www.challengergray.com/blog/challenger-report-may-job-cuts-rise-16-from-april-highest-may-total-since-2020/ | https://opentools.ai/news/ai-drives-40-percent-us-job-cuts-may-97000-positions</w:t>
      </w:r>
    </w:p>
    <w:p>
      <w:pPr>
        <w:jc w:val="both"/>
      </w:pPr>
      <w:r>
        <w:rPr>
          <w:rFonts w:ascii="Arial" w:hAnsi="Arial"/>
          <w:b w:val="0"/>
          <w:i w:val="0"/>
          <w:sz w:val="19"/>
        </w:rPr>
        <w:t xml:space="preserve">TrueUp. (Stand 11./12. Juni 2026). </w:t>
      </w:r>
      <w:r>
        <w:rPr>
          <w:rFonts w:ascii="Arial" w:hAnsi="Arial"/>
          <w:b w:val="0"/>
          <w:i/>
          <w:sz w:val="19"/>
        </w:rPr>
        <w:t>Tech Layoffs Tracker — Monatsfortschreibung: 247 Layoff-Ereignisse, 183.966 Personen, rund 1.129 Stellen pro Tag; 55 % der Ereignisse mit explizitem KI-/Automatisierungs-/ML-Bezug; Jahresprojektion rund 370.000 Tech-Stellen für 2026.</w:t>
      </w:r>
      <w:r>
        <w:rPr>
          <w:rFonts w:ascii="Arial" w:hAnsi="Arial"/>
          <w:b w:val="0"/>
          <w:i w:val="0"/>
          <w:sz w:val="19"/>
        </w:rPr>
        <w:t xml:space="preserve"> https://www.trueup.io/layoffs</w:t>
      </w:r>
    </w:p>
    <w:p>
      <w:pPr>
        <w:jc w:val="both"/>
      </w:pPr>
      <w:r>
        <w:rPr>
          <w:rFonts w:ascii="Arial" w:hAnsi="Arial"/>
          <w:b w:val="0"/>
          <w:i w:val="0"/>
          <w:sz w:val="19"/>
        </w:rPr>
        <w:t xml:space="preserve">Windows News / OutlookBusiness. (Spätes Juni 2026). </w:t>
      </w:r>
      <w:r>
        <w:rPr>
          <w:rFonts w:ascii="Arial" w:hAnsi="Arial"/>
          <w:b w:val="0"/>
          <w:i/>
          <w:sz w:val="19"/>
        </w:rPr>
        <w:t>Microsoft Cuts 200–400 Azure Jobs in China as Cloud, AI Geopolitics Tighten.</w:t>
      </w:r>
      <w:r>
        <w:rPr>
          <w:rFonts w:ascii="Arial" w:hAnsi="Arial"/>
          <w:b w:val="0"/>
          <w:i w:val="0"/>
          <w:sz w:val="19"/>
        </w:rPr>
        <w:t xml:space="preserve"> Reduktion in Peking und Shanghai, Trennungsdatum 6. Juli 2026, Begründung mit US-Exportkontrollen für fortgeschrittene Chips und damit verbundener rechtlicher Risikolage für lokalen KI-Betrieb. https://windowsnews.ai/article/microsoft-cuts-200400-azure-jobs-in-china-as-cloud-ai-geopolitics-tighten.425550</w:t>
      </w:r>
    </w:p>
    <w:p>
      <w:pPr>
        <w:jc w:val="both"/>
      </w:pPr>
      <w:r>
        <w:rPr>
          <w:rFonts w:ascii="Arial" w:hAnsi="Arial"/>
          <w:b w:val="0"/>
          <w:i w:val="0"/>
          <w:sz w:val="19"/>
        </w:rPr>
        <w:t xml:space="preserve">ScaleWise / BDI / datensicherheit.de. (7. Mai 2026). </w:t>
      </w:r>
      <w:r>
        <w:rPr>
          <w:rFonts w:ascii="Arial" w:hAnsi="Arial"/>
          <w:b w:val="0"/>
          <w:i/>
          <w:sz w:val="19"/>
        </w:rPr>
        <w:t>Digital Omnibus auf AI Act — Politische Einigung in der dritten Trilogrunde.</w:t>
      </w:r>
      <w:r>
        <w:rPr>
          <w:rFonts w:ascii="Arial" w:hAnsi="Arial"/>
          <w:b w:val="0"/>
          <w:i w:val="0"/>
          <w:sz w:val="19"/>
        </w:rPr>
        <w:t xml:space="preserve"> Verschiebung der Hochrisiko-Pflichten für eigenständige Anhang-III-Systeme auf den 2. Dezember 2027; Artikel 4 (KI-Kompetenz) bleibt ab dem 2. August 2026 anwendbar; formale Verabschiedung durch Parlament und Rat sowie Veröffentlichung im Amtsblatt vor dem 2. August 2026 erforderlich. https://www.scalewise-ai.de/blog/2026-05-digital-omnibus-einigung-eu-ai-act-fristen | https://bdi.eu/de/articles/presse/bdi-zum-ai-act-omnibus-trilog-einigung-reduziert-doppelzertifizierungen</w:t>
      </w:r>
    </w:p>
    <w:p>
      <w:pPr>
        <w:jc w:val="both"/>
      </w:pPr>
      <w:r>
        <w:rPr>
          <w:rFonts w:ascii="Arial" w:hAnsi="Arial"/>
          <w:b w:val="0"/>
          <w:i w:val="0"/>
          <w:sz w:val="19"/>
        </w:rPr>
        <w:t xml:space="preserve">DGB / IG Metall / ver.di / IGBCE. (11. Juni 2026). </w:t>
      </w:r>
      <w:r>
        <w:rPr>
          <w:rFonts w:ascii="Arial" w:hAnsi="Arial"/>
          <w:b w:val="0"/>
          <w:i/>
          <w:sz w:val="19"/>
        </w:rPr>
        <w:t>Reformagenda für wirtschaftliche Stärke, gute Arbeit und soziale Sicherheit.</w:t>
      </w:r>
      <w:r>
        <w:rPr>
          <w:rFonts w:ascii="Arial" w:hAnsi="Arial"/>
          <w:b w:val="0"/>
          <w:i w:val="0"/>
          <w:sz w:val="19"/>
        </w:rPr>
        <w:t xml:space="preserve"> Gemeinsame Erklärung der Vorsitzenden Yasmin Fahimi, Christiane Benner, Frank Werneke und Michael Vassiliadis; programmatische Öffnung in Richtung Verbreiterung der Sozialversicherungs-Bemessungsgrundlage „über die reine Lohnsumme hinaus". https://www.dgb.de/presse/pressemitteilungen/pressemitteilung/reformagenda-fuer-wirtschaftliche-staerke-gute-arbeit-und-soziale-sicherheit</w:t>
      </w:r>
    </w:p>
    <w:p>
      <w:pPr>
        <w:jc w:val="both"/>
      </w:pPr>
      <w:r>
        <w:rPr>
          <w:rFonts w:ascii="Arial" w:hAnsi="Arial"/>
          <w:b w:val="0"/>
          <w:i w:val="0"/>
          <w:sz w:val="19"/>
        </w:rPr>
        <w:t xml:space="preserve">Deutscher Bundestag. (12. Juni 2026). </w:t>
      </w:r>
      <w:r>
        <w:rPr>
          <w:rFonts w:ascii="Arial" w:hAnsi="Arial"/>
          <w:b w:val="0"/>
          <w:i/>
          <w:sz w:val="19"/>
        </w:rPr>
        <w:t>Erste Lesung des GKV-Beitragssatzstabilisierungsgesetzes.</w:t>
      </w:r>
      <w:r>
        <w:rPr>
          <w:rFonts w:ascii="Arial" w:hAnsi="Arial"/>
          <w:b w:val="0"/>
          <w:i w:val="0"/>
          <w:sz w:val="19"/>
        </w:rPr>
        <w:t xml:space="preserve"> Bundestags-Textarchiv, kontroverse Plenardebatte; Verweisung in die Ausschüsse; Anhörung 22. Juni 2026; parallel 1066. Bundesratssitzung am 12. Juni 2026 mit 24 Regierungsvorlagen. https://www.bundestag.de/dokumente/textarchiv/2026/kw24-de-gkv-1181958 | https://www.bundesrat.de/DE/plenum/bundesrat-kompakt/26/1066/1066-node.html</w:t>
      </w:r>
    </w:p>
    <w:p>
      <w:pPr>
        <w:jc w:val="both"/>
      </w:pPr>
      <w:r>
        <w:rPr>
          <w:rFonts w:ascii="Arial" w:hAnsi="Arial"/>
          <w:b w:val="0"/>
          <w:i w:val="0"/>
          <w:sz w:val="19"/>
        </w:rPr>
        <w:t xml:space="preserve">Techzine / Open Source For You / Verdent. (Mai/Juni 2026). </w:t>
      </w:r>
      <w:r>
        <w:rPr>
          <w:rFonts w:ascii="Arial" w:hAnsi="Arial"/>
          <w:b w:val="0"/>
          <w:i/>
          <w:sz w:val="19"/>
        </w:rPr>
        <w:t>DeepSeek's Permanent V4-Pro Price Cut Puts OpenAI and Anthropic Under Pressure.</w:t>
      </w:r>
      <w:r>
        <w:rPr>
          <w:rFonts w:ascii="Arial" w:hAnsi="Arial"/>
          <w:b w:val="0"/>
          <w:i w:val="0"/>
          <w:sz w:val="19"/>
        </w:rPr>
        <w:t xml:space="preserve"> Dauerhafte Preisreduktion um 75 % auf rund 0,87 US-Dollar je Million Output-Token; SWE-bench Verified 80,6 (Claude Opus 4.7: 80,8); Inferenz-Preis-Gefälle rund 1:7 zu Anthropic, 1:9 zu OpenAI. https://www.techzine.eu/news/applications/141586/deekseek-puts-downward-pressure-on-openai-anthropic-and-google-pricing/ | https://www.opensourceforu.com/2026/05/deepseeks-permanent-v4-pro-price-cut-puts-openai-and-anthropic-under-pressure/</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14. Juni 2026 — Lauf 001 vom 14.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Ergänzt wird der Stand um die in der dritten Trilogrunde am 7. Mai 2026 erzielte politische Einigung zum </w:t>
      </w:r>
      <w:r>
        <w:rPr>
          <w:rFonts w:ascii="Arial" w:hAnsi="Arial"/>
          <w:b w:val="0"/>
          <w:i/>
          <w:sz w:val="19"/>
        </w:rPr>
        <w:t>Digital Omnibus on AI</w:t>
      </w:r>
      <w:r>
        <w:rPr>
          <w:rFonts w:ascii="Arial" w:hAnsi="Arial"/>
          <w:b w:val="0"/>
          <w:i w:val="0"/>
          <w:sz w:val="19"/>
        </w:rPr>
        <w:t xml:space="preserve"> (Verschiebung der Hochrisiko-Pflichten für Anhang-III-Systeme auf den 2. Dezember 2027; Artikel 4 KI-Kompetenz bleibt ab dem 2. August 2026 anwendbar), die Unterzeichnung von </w:t>
      </w:r>
      <w:r>
        <w:rPr>
          <w:rFonts w:ascii="Arial" w:hAnsi="Arial"/>
          <w:b w:val="0"/>
          <w:i/>
          <w:sz w:val="19"/>
        </w:rPr>
        <w:t>SB 5 / Public Act 26-15</w:t>
      </w:r>
      <w:r>
        <w:rPr>
          <w:rFonts w:ascii="Arial" w:hAnsi="Arial"/>
          <w:b w:val="0"/>
          <w:i w:val="0"/>
          <w:sz w:val="19"/>
        </w:rPr>
        <w:t xml:space="preserve"> durch Gouverneur Lamont am 2. Juni 2026, die am 1. Juni 2026 von Senator Sanders eingebrachte Initiative </w:t>
      </w:r>
      <w:r>
        <w:rPr>
          <w:rFonts w:ascii="Arial" w:hAnsi="Arial"/>
          <w:b w:val="0"/>
          <w:i/>
          <w:sz w:val="19"/>
        </w:rPr>
        <w:t>American AI Sovereign Wealth Fund Act</w:t>
      </w:r>
      <w:r>
        <w:rPr>
          <w:rFonts w:ascii="Arial" w:hAnsi="Arial"/>
          <w:b w:val="0"/>
          <w:i w:val="0"/>
          <w:sz w:val="19"/>
        </w:rPr>
        <w:t xml:space="preserve"> (einmalige Eigenkapitalsteuer 50 % auf große KI-Unternehmen zur Speisung eines öffentlichen Wohlstandsfonds), das OpenAI-Folgepapier </w:t>
      </w:r>
      <w:r>
        <w:rPr>
          <w:rFonts w:ascii="Arial" w:hAnsi="Arial"/>
          <w:b w:val="0"/>
          <w:i/>
          <w:sz w:val="19"/>
        </w:rPr>
        <w:t>Built to Benefit Everyone: Our Plan</w:t>
      </w:r>
      <w:r>
        <w:rPr>
          <w:rFonts w:ascii="Arial" w:hAnsi="Arial"/>
          <w:b w:val="0"/>
          <w:i w:val="0"/>
          <w:sz w:val="19"/>
        </w:rPr>
        <w:t xml:space="preserve"> vom 8. Juni 2026 (Nonprofit-PBC-Struktur mit Eigenkapitalanteil &gt; 100 Mrd. USD), den Anthropic </w:t>
      </w:r>
      <w:r>
        <w:rPr>
          <w:rFonts w:ascii="Arial" w:hAnsi="Arial"/>
          <w:b w:val="0"/>
          <w:i/>
          <w:sz w:val="19"/>
        </w:rPr>
        <w:t>Economic Futures Research Fund</w:t>
      </w:r>
      <w:r>
        <w:rPr>
          <w:rFonts w:ascii="Arial" w:hAnsi="Arial"/>
          <w:b w:val="0"/>
          <w:i w:val="0"/>
          <w:sz w:val="19"/>
        </w:rPr>
        <w:t xml:space="preserve"> vom 10. Juni 2026 (200 Mio. USD Forschungsfonds plus 150 Mio. USD </w:t>
      </w:r>
      <w:r>
        <w:rPr>
          <w:rFonts w:ascii="Arial" w:hAnsi="Arial"/>
          <w:b w:val="0"/>
          <w:i/>
          <w:sz w:val="19"/>
        </w:rPr>
        <w:t>Claude Corps</w:t>
      </w:r>
      <w:r>
        <w:rPr>
          <w:rFonts w:ascii="Arial" w:hAnsi="Arial"/>
          <w:b w:val="0"/>
          <w:i w:val="0"/>
          <w:sz w:val="19"/>
        </w:rPr>
        <w:t xml:space="preserve">), die gewerkschaftliche </w:t>
      </w:r>
      <w:r>
        <w:rPr>
          <w:rFonts w:ascii="Arial" w:hAnsi="Arial"/>
          <w:b w:val="0"/>
          <w:i/>
          <w:sz w:val="19"/>
        </w:rPr>
        <w:t>Reformagenda für wirtschaftliche Stärke, gute Arbeit und soziale Sicherheit</w:t>
      </w:r>
      <w:r>
        <w:rPr>
          <w:rFonts w:ascii="Arial" w:hAnsi="Arial"/>
          <w:b w:val="0"/>
          <w:i w:val="0"/>
          <w:sz w:val="19"/>
        </w:rPr>
        <w:t xml:space="preserve"> von DGB, IG Metall, ver.di und IGBCE vom 11. Juni 2026, die erste Lesung des </w:t>
      </w:r>
      <w:r>
        <w:rPr>
          <w:rFonts w:ascii="Arial" w:hAnsi="Arial"/>
          <w:b w:val="0"/>
          <w:i/>
          <w:sz w:val="19"/>
        </w:rPr>
        <w:t>GKV-Beitragssatzstabilisierungsgesetzes</w:t>
      </w:r>
      <w:r>
        <w:rPr>
          <w:rFonts w:ascii="Arial" w:hAnsi="Arial"/>
          <w:b w:val="0"/>
          <w:i w:val="0"/>
          <w:sz w:val="19"/>
        </w:rPr>
        <w:t xml:space="preserve"> im Bundestag am 12. Juni 2026 und den parallelen Stand der 1066. Bundesratssitzung, den </w:t>
      </w:r>
      <w:r>
        <w:rPr>
          <w:rFonts w:ascii="Arial" w:hAnsi="Arial"/>
          <w:b w:val="0"/>
          <w:i/>
          <w:sz w:val="19"/>
        </w:rPr>
        <w:t>Challenger-Mai-2026-Job-Cuts-Report</w:t>
      </w:r>
      <w:r>
        <w:rPr>
          <w:rFonts w:ascii="Arial" w:hAnsi="Arial"/>
          <w:b w:val="0"/>
          <w:i w:val="0"/>
          <w:sz w:val="19"/>
        </w:rPr>
        <w:t xml:space="preserve"> (97.006 Streichungen / höchster Mai-Wert seit 2020; 38.579 KI-bezogen = 40 % des Monats; Tech 38.242 / YTD 123.653 +66 %; YTD-KI 87.714 = 22 % aller 2026-Pläne) und die TrueUp-Tagesfortschreibung Mitte Juni 2026 (247 Ereignisse / 183.966 Personen / rund 1.129 Stellen pro Tag; 55 % mit explizitem KI-Bezug; Gesamtjahresprojektion rund 370.000), die geopolitisch motivierte Microsoft-Azure-China-Reduktion (200–400 Beschäftigte; Trennungsdatum 6. Juli 2026) sowie die dauerhafte DeepSeek-V4-Pro-Preisreduktion vom 22. Mai 2026 (−75 % auf rund 0,87 USD/Mio. Output-Token, Inferenz-Preis-Gefälle rund 1:7 zu Anthropic / 1:9 zu OpenAI).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