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39.0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i w:val="0"/>
          <w:sz w:val="19"/>
        </w:rPr>
        <w:t>Hinweis zur Aktualität:</w:t>
      </w:r>
      <w:r>
        <w:rPr>
          <w:rFonts w:ascii="Arial" w:hAnsi="Arial"/>
          <w:b w:val="0"/>
          <w:i w:val="0"/>
          <w:sz w:val="19"/>
        </w:rPr>
        <w:t xml:space="preserve"> Dieses Arbeitspapier gibt den Stand Mitte Juli 2026 (Schnitt am 19. Juli 2026 — Lauf 001 vom 19.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39.0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