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67.0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 xml:space="preserve">-WARN-Erweiterung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 Nachtrag zum 7./10. August 2026: Der Massachusetts-basierte Cybersecurity-Anbieter </w:t>
      </w:r>
      <w:r>
        <w:rPr>
          <w:rFonts w:ascii="Arial" w:hAnsi="Arial"/>
          <w:b w:val="0"/>
          <w:i/>
          <w:sz w:val="19"/>
        </w:rPr>
        <w:t>Rapid7</w:t>
      </w:r>
      <w:r>
        <w:rPr>
          <w:rFonts w:ascii="Arial" w:hAnsi="Arial"/>
          <w:b w:val="0"/>
          <w:i w:val="0"/>
          <w:sz w:val="19"/>
        </w:rPr>
        <w:t xml:space="preserve"> (Boston) hat im Q2-Ergebnisbericht vom 10. August 2026 eine am 7. August 2026 vom Board beschlossene Restrukturierung mit rund 310 Stellenstreichungen (12 Prozent der rund 2.600 Beschäftigten weltweit) angekündigt und den Restrukturierungsaufwand auf 10 bis 11 Millionen US-Dollar (überwiegend Q3/Q4 2026) beziffert; der neu berufene CEO </w:t>
      </w:r>
      <w:r>
        <w:rPr>
          <w:rFonts w:ascii="Arial" w:hAnsi="Arial"/>
          <w:b w:val="0"/>
          <w:i/>
          <w:sz w:val="19"/>
        </w:rPr>
        <w:t>Wael Mohamed</w:t>
      </w:r>
      <w:r>
        <w:rPr>
          <w:rFonts w:ascii="Arial" w:hAnsi="Arial"/>
          <w:b w:val="0"/>
          <w:i w:val="0"/>
          <w:sz w:val="19"/>
        </w:rPr>
        <w:t xml:space="preserve"> begründet den Schritt mit einer stärkeren Fokussierung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während die Presse-Berichterstattung (Boston Globe, SiliconAngle, HR Katha, TheHRDigest, Pulse2) den Schritt als Umstellung auf eine „AI-first cybersecurity platform"-Strategie einordnet. Q2-Umsatz nach Konzernangaben 210,9 Millionen US-Dollar (−1,5 Prozent gegenüber Vorjahresquartal); außereuropäische Streichungen unterliegen dort örtlichen Konsultationsregeln und könnten sich über das vierte Quartal 2026 hinaus erstrecken (Konjunktivpflicht nach § 4.2 Claude.md). Weiterer Nachtrag zum 13. August 2026: Nach übereinstimmender Berichterstattung von </w:t>
      </w:r>
      <w:r>
        <w:rPr>
          <w:rFonts w:ascii="Arial" w:hAnsi="Arial"/>
          <w:b w:val="0"/>
          <w:i/>
          <w:sz w:val="19"/>
        </w:rPr>
        <w:t>TheNextWeb</w:t>
      </w:r>
      <w:r>
        <w:rPr>
          <w:rFonts w:ascii="Arial" w:hAnsi="Arial"/>
          <w:b w:val="0"/>
          <w:i w:val="0"/>
          <w:sz w:val="19"/>
        </w:rPr>
        <w:t xml:space="preserve"> („Oracle plans fresh August layoffs as its AI spending spree bites", 13. August 2026), </w:t>
      </w:r>
      <w:r>
        <w:rPr>
          <w:rFonts w:ascii="Arial" w:hAnsi="Arial"/>
          <w:b w:val="0"/>
          <w:i/>
          <w:sz w:val="19"/>
        </w:rPr>
        <w:t>Yahoo Finance</w:t>
      </w:r>
      <w:r>
        <w:rPr>
          <w:rFonts w:ascii="Arial" w:hAnsi="Arial"/>
          <w:b w:val="0"/>
          <w:i w:val="0"/>
          <w:sz w:val="19"/>
        </w:rPr>
        <w:t xml:space="preserve"> und </w:t>
      </w:r>
      <w:r>
        <w:rPr>
          <w:rFonts w:ascii="Arial" w:hAnsi="Arial"/>
          <w:b w:val="0"/>
          <w:i/>
          <w:sz w:val="19"/>
        </w:rPr>
        <w:t>NAI 500</w:t>
      </w:r>
      <w:r>
        <w:rPr>
          <w:rFonts w:ascii="Arial" w:hAnsi="Arial"/>
          <w:b w:val="0"/>
          <w:i w:val="0"/>
          <w:sz w:val="19"/>
        </w:rPr>
        <w:t xml:space="preserve"> bereitet </w:t>
      </w:r>
      <w:r>
        <w:rPr>
          <w:rFonts w:ascii="Arial" w:hAnsi="Arial"/>
          <w:b w:val="0"/>
          <w:i/>
          <w:sz w:val="19"/>
        </w:rPr>
        <w:t>Oracle</w:t>
      </w:r>
      <w:r>
        <w:rPr>
          <w:rFonts w:ascii="Arial" w:hAnsi="Arial"/>
          <w:b w:val="0"/>
          <w:i w:val="0"/>
          <w:sz w:val="19"/>
        </w:rPr>
        <w:t xml:space="preserve"> eine weitere Layoff-Runde vor dem Beginn des zweiten Geschäftsquartals am 1. September 2026 vor; Führungskräfte sollen die betroffenen Beschäftigten identifizieren, einzelne Bereiche mit zweistelligen Prozent-Reduktionen. Der Vorgang schreibt die bereits im Geschäftsjahr bis 31. Mai 2026 vollzogene Reduktion von rund 21.000 Stellen (rund 13 Prozent, von 162.000 auf 141.000 Beschäftigte; Restrukturierungsaufwand 1,8 Milliarden US-Dollar mit erwarteter Endabrechnung bis 2,1 Milliarden US-Dollar) fort. Die Berichterstattung stellt die Personalreduktion in direkten Zusammenhang mit dem KI-Investitionsprogramm des Konzerns, dessen Investitionen im Geschäftsjahr 2026 auf rund 55,7 Milliarden US-Dollar (von 21,2 Milliarden US-Dollar im Vorjahr) gestiegen sind und nach Konzernangaben über 43 Milliarden US-Dollar Anleihen und 5 Milliarden US-Dollar Eigenkapital finanziert wurden; für das laufende Jahr sind weitere rund 40 Milliarden US-Dollar an Fremd- und Eigenkapital vorgesehen (Konjunktivpflicht nach § 4.2 Claude.md, da die endgültige Runde noch nicht öffentlich beziffert ist). Die Konstellation — parallel wachsende Capex-Programme und paketförmige Personalreduktionen — bestätigt für die in § 1.1 und § 8.2 dokumentierte Asymmetrie zwischen Personalabbau und Compute-Ausbau einen weiteren datenpunktartigen Belegfall.</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AI Tax and Work Protection Act (US-Repräsentantenhaus, 7. August 2026):</w:t>
      </w:r>
      <w:r>
        <w:rPr>
          <w:rFonts w:ascii="Arial" w:hAnsi="Arial"/>
          <w:b w:val="0"/>
          <w:i w:val="0"/>
          <w:sz w:val="19"/>
        </w:rPr>
        <w:t xml:space="preserve"> Am 7. August 2026 haben die Demokratinnen und Demokraten Greg Casar (D-TX, federführend), Valerie Foushee (D-NC) und Sara Jacobs (D-CA) den </w:t>
      </w:r>
      <w:r>
        <w:rPr>
          <w:rFonts w:ascii="Arial" w:hAnsi="Arial"/>
          <w:b w:val="0"/>
          <w:i/>
          <w:sz w:val="19"/>
        </w:rPr>
        <w:t>AI Tax and Work Protection Act</w:t>
      </w:r>
      <w:r>
        <w:rPr>
          <w:rFonts w:ascii="Arial" w:hAnsi="Arial"/>
          <w:b w:val="0"/>
          <w:i w:val="0"/>
          <w:sz w:val="19"/>
        </w:rPr>
        <w:t xml:space="preserve"> im US-Repräsentantenhaus eingebracht; der Gesetzentwurf wäre nach dem </w:t>
      </w:r>
      <w:r>
        <w:rPr>
          <w:rFonts w:ascii="Arial" w:hAnsi="Arial"/>
          <w:b w:val="0"/>
          <w:i/>
          <w:sz w:val="19"/>
        </w:rPr>
        <w:t>Sanders</w:t>
      </w:r>
      <w:r>
        <w:rPr>
          <w:rFonts w:ascii="Arial" w:hAnsi="Arial"/>
          <w:b w:val="0"/>
          <w:i w:val="0"/>
          <w:sz w:val="19"/>
        </w:rPr>
        <w:t xml:space="preserve">-Robotersteuer-Vorschlag (Oktober 2025) und dem </w:t>
      </w:r>
      <w:r>
        <w:rPr>
          <w:rFonts w:ascii="Arial" w:hAnsi="Arial"/>
          <w:b w:val="0"/>
          <w:i/>
          <w:sz w:val="19"/>
        </w:rPr>
        <w:t>American A.I. Sovereign Wealth Fund Act</w:t>
      </w:r>
      <w:r>
        <w:rPr>
          <w:rFonts w:ascii="Arial" w:hAnsi="Arial"/>
          <w:b w:val="0"/>
          <w:i w:val="0"/>
          <w:sz w:val="19"/>
        </w:rPr>
        <w:t xml:space="preserve"> (18. Juni 2026) die dritte fiskalische Legislativ-Initiative des laufenden Kongresses mit unmittelbarem Bezug zur Verdrängung menschlicher Arbeit durch KI. Der Zugriff ist zweistufig konstruiert: Für </w:t>
      </w:r>
      <w:r>
        <w:rPr>
          <w:rFonts w:ascii="Arial" w:hAnsi="Arial"/>
          <w:b w:val="0"/>
          <w:i/>
          <w:sz w:val="19"/>
        </w:rPr>
        <w:t>closed-weight</w:t>
      </w:r>
      <w:r>
        <w:rPr>
          <w:rFonts w:ascii="Arial" w:hAnsi="Arial"/>
          <w:b w:val="0"/>
          <w:i w:val="0"/>
          <w:sz w:val="19"/>
        </w:rPr>
        <w:t xml:space="preserve">-Anbieter wird das Steueraufkommen alternativ am </w:t>
      </w:r>
      <w:r>
        <w:rPr>
          <w:rFonts w:ascii="Arial" w:hAnsi="Arial"/>
          <w:b w:val="0"/>
          <w:i/>
          <w:sz w:val="19"/>
        </w:rPr>
        <w:t>Token-Verkaufspreis</w:t>
      </w:r>
      <w:r>
        <w:rPr>
          <w:rFonts w:ascii="Arial" w:hAnsi="Arial"/>
          <w:b w:val="0"/>
          <w:i w:val="0"/>
          <w:sz w:val="19"/>
        </w:rPr>
        <w:t xml:space="preserve"> oder am </w:t>
      </w:r>
      <w:r>
        <w:rPr>
          <w:rFonts w:ascii="Arial" w:hAnsi="Arial"/>
          <w:b w:val="0"/>
          <w:i/>
          <w:sz w:val="19"/>
        </w:rPr>
        <w:t>Produktumsatz</w:t>
      </w:r>
      <w:r>
        <w:rPr>
          <w:rFonts w:ascii="Arial" w:hAnsi="Arial"/>
          <w:b w:val="0"/>
          <w:i w:val="0"/>
          <w:sz w:val="19"/>
        </w:rPr>
        <w:t xml:space="preserve"> der KI-Angebote bemessen (jeweils der höhere Wert), für </w:t>
      </w:r>
      <w:r>
        <w:rPr>
          <w:rFonts w:ascii="Arial" w:hAnsi="Arial"/>
          <w:b w:val="0"/>
          <w:i/>
          <w:sz w:val="19"/>
        </w:rPr>
        <w:t>open-weight</w:t>
      </w:r>
      <w:r>
        <w:rPr>
          <w:rFonts w:ascii="Arial" w:hAnsi="Arial"/>
          <w:b w:val="0"/>
          <w:i w:val="0"/>
          <w:sz w:val="19"/>
        </w:rPr>
        <w:t xml:space="preserve">-Modelle greift die Abgabe erst auf der Einsatzebene, sobald ein Unternehmen die Modelle zur Reduktion von Personalkosten verwendet. Der Steuersatz wäre nach Konjunktiv gemäß § 4.2 Claude.md unemployment-elastisch ausgelegt und stiege ausdrücklich, sobald die US-Arbeitslosenquote die 5-Prozent-Marke überschreitet; das Aufkommen fließt vollständig in eine neu zu errichtende </w:t>
      </w:r>
      <w:r>
        <w:rPr>
          <w:rFonts w:ascii="Arial" w:hAnsi="Arial"/>
          <w:b w:val="0"/>
          <w:i/>
          <w:sz w:val="19"/>
        </w:rPr>
        <w:t>Work Protection Administration</w:t>
      </w:r>
      <w:r>
        <w:rPr>
          <w:rFonts w:ascii="Arial" w:hAnsi="Arial"/>
          <w:b w:val="0"/>
          <w:i w:val="0"/>
          <w:sz w:val="19"/>
        </w:rPr>
        <w:t xml:space="preserve"> (WPA), die nach dem Vorbild der New-Deal-</w:t>
      </w:r>
      <w:r>
        <w:rPr>
          <w:rFonts w:ascii="Arial" w:hAnsi="Arial"/>
          <w:b w:val="0"/>
          <w:i/>
          <w:sz w:val="19"/>
        </w:rPr>
        <w:t>Works Progress Administration</w:t>
      </w:r>
      <w:r>
        <w:rPr>
          <w:rFonts w:ascii="Arial" w:hAnsi="Arial"/>
          <w:b w:val="0"/>
          <w:i w:val="0"/>
          <w:sz w:val="19"/>
        </w:rPr>
        <w:t xml:space="preserve"> Bundeszuschüsse an Bundesstaaten, Kommunen, Stämme, gemeinnützige Träger, Gewerkschaften und Bildungseinrichtungen für Wohnraum, Infrastruktur, Kinder- und Altenpflege vergibt. Als tragende Verbände wurden nach der Casar-Presseerklärung die </w:t>
      </w:r>
      <w:r>
        <w:rPr>
          <w:rFonts w:ascii="Arial" w:hAnsi="Arial"/>
          <w:b w:val="0"/>
          <w:i/>
          <w:sz w:val="19"/>
        </w:rPr>
        <w:t>American Federation of Teachers</w:t>
      </w:r>
      <w:r>
        <w:rPr>
          <w:rFonts w:ascii="Arial" w:hAnsi="Arial"/>
          <w:b w:val="0"/>
          <w:i w:val="0"/>
          <w:sz w:val="19"/>
        </w:rPr>
        <w:t xml:space="preserve"> (AFT), die </w:t>
      </w:r>
      <w:r>
        <w:rPr>
          <w:rFonts w:ascii="Arial" w:hAnsi="Arial"/>
          <w:b w:val="0"/>
          <w:i/>
          <w:sz w:val="19"/>
        </w:rPr>
        <w:t>American Federation of State, County, and Municipal Employees</w:t>
      </w:r>
      <w:r>
        <w:rPr>
          <w:rFonts w:ascii="Arial" w:hAnsi="Arial"/>
          <w:b w:val="0"/>
          <w:i w:val="0"/>
          <w:sz w:val="19"/>
        </w:rPr>
        <w:t xml:space="preserve"> (AFSCME), </w:t>
      </w:r>
      <w:r>
        <w:rPr>
          <w:rFonts w:ascii="Arial" w:hAnsi="Arial"/>
          <w:b w:val="0"/>
          <w:i/>
          <w:sz w:val="19"/>
        </w:rPr>
        <w:t>Groundwork Action</w:t>
      </w:r>
      <w:r>
        <w:rPr>
          <w:rFonts w:ascii="Arial" w:hAnsi="Arial"/>
          <w:b w:val="0"/>
          <w:i w:val="0"/>
          <w:sz w:val="19"/>
        </w:rPr>
        <w:t xml:space="preserve"> und </w:t>
      </w:r>
      <w:r>
        <w:rPr>
          <w:rFonts w:ascii="Arial" w:hAnsi="Arial"/>
          <w:b w:val="0"/>
          <w:i/>
          <w:sz w:val="19"/>
        </w:rPr>
        <w:t>Demand Progress Action</w:t>
      </w:r>
      <w:r>
        <w:rPr>
          <w:rFonts w:ascii="Arial" w:hAnsi="Arial"/>
          <w:b w:val="0"/>
          <w:i w:val="0"/>
          <w:sz w:val="19"/>
        </w:rPr>
        <w:t xml:space="preserve"> benannt. Casar wird mit dem Zitat referiert, „we will not let AI billionaires get rich by putting you out of work" und die betroffenen Konzerne müssten „pay their fair share". Für die in diesem Abschnitt aufgenommene Governance-Perspektive markiert der Vorstoß eine neue Zwischenposition: Anders als beim </w:t>
      </w:r>
      <w:r>
        <w:rPr>
          <w:rFonts w:ascii="Arial" w:hAnsi="Arial"/>
          <w:b w:val="0"/>
          <w:i/>
          <w:sz w:val="19"/>
        </w:rPr>
        <w:t>American A.I. Sovereign Wealth Fund Act</w:t>
      </w:r>
      <w:r>
        <w:rPr>
          <w:rFonts w:ascii="Arial" w:hAnsi="Arial"/>
          <w:b w:val="0"/>
          <w:i w:val="0"/>
          <w:sz w:val="19"/>
        </w:rPr>
        <w:t xml:space="preserve"> (Bestandsanknüpfung an ausstehendes Stammkapital) wird die Bemessungsgrundlage explizit an </w:t>
      </w:r>
      <w:r>
        <w:rPr>
          <w:rFonts w:ascii="Arial" w:hAnsi="Arial"/>
          <w:b w:val="0"/>
          <w:i/>
          <w:sz w:val="19"/>
        </w:rPr>
        <w:t>Umsatz-</w:t>
      </w:r>
      <w:r>
        <w:rPr>
          <w:rFonts w:ascii="Arial" w:hAnsi="Arial"/>
          <w:b w:val="0"/>
          <w:i w:val="0"/>
          <w:sz w:val="19"/>
        </w:rPr>
        <w:t xml:space="preserve"> und </w:t>
      </w:r>
      <w:r>
        <w:rPr>
          <w:rFonts w:ascii="Arial" w:hAnsi="Arial"/>
          <w:b w:val="0"/>
          <w:i/>
          <w:sz w:val="19"/>
        </w:rPr>
        <w:t>Nutzungsflüssen</w:t>
      </w:r>
      <w:r>
        <w:rPr>
          <w:rFonts w:ascii="Arial" w:hAnsi="Arial"/>
          <w:b w:val="0"/>
          <w:i w:val="0"/>
          <w:sz w:val="19"/>
        </w:rPr>
        <w:t xml:space="preserve"> der KI-Modelle sowie an der </w:t>
      </w:r>
      <w:r>
        <w:rPr>
          <w:rFonts w:ascii="Arial" w:hAnsi="Arial"/>
          <w:b w:val="0"/>
          <w:i/>
          <w:sz w:val="19"/>
        </w:rPr>
        <w:t>Substitutionsentscheidung</w:t>
      </w:r>
      <w:r>
        <w:rPr>
          <w:rFonts w:ascii="Arial" w:hAnsi="Arial"/>
          <w:b w:val="0"/>
          <w:i w:val="0"/>
          <w:sz w:val="19"/>
        </w:rPr>
        <w:t xml:space="preserve"> des Anwenders angesetzt (Konjunktivpflicht nach § 4.2 Claude.md, da der Gesetzentwurf im republikanisch geführten Repräsentantenhaus keine erkennbare Mehrheit vorfindet). Für die Deutschland-These (§ 8.3) und die dortige Präferenz für wertschöpfungs- statt bestands­orientierte Zugriffe schärft der Vorstoß den strukturellen Kontrast zum bestands­orientierten </w:t>
      </w:r>
      <w:r>
        <w:rPr>
          <w:rFonts w:ascii="Arial" w:hAnsi="Arial"/>
          <w:b w:val="0"/>
          <w:i/>
          <w:sz w:val="19"/>
        </w:rPr>
        <w:t>American A.I. Sovereign Wealth Fund Act</w:t>
      </w:r>
      <w:r>
        <w:rPr>
          <w:rFonts w:ascii="Arial" w:hAnsi="Arial"/>
          <w:b w:val="0"/>
          <w:i w:val="0"/>
          <w:sz w:val="19"/>
        </w:rPr>
        <w:t xml:space="preserve">: Die </w:t>
      </w:r>
      <w:r>
        <w:rPr>
          <w:rFonts w:ascii="Arial" w:hAnsi="Arial"/>
          <w:b w:val="0"/>
          <w:i/>
          <w:sz w:val="19"/>
        </w:rPr>
        <w:t>AI-Tax-and-Work-Protection</w:t>
      </w:r>
      <w:r>
        <w:rPr>
          <w:rFonts w:ascii="Arial" w:hAnsi="Arial"/>
          <w:b w:val="0"/>
          <w:i w:val="0"/>
          <w:sz w:val="19"/>
        </w:rPr>
        <w:t xml:space="preserve">-Konstruktion setzt an derselben Wertschöpfungs­schicht an, die die inländische deutsche Debatte über eine Wertschöpfungsabgabe (§ 5.1) seit den 1970er-Jahren adressiert, und ergänzt zugleich einen expliziten </w:t>
      </w:r>
      <w:r>
        <w:rPr>
          <w:rFonts w:ascii="Arial" w:hAnsi="Arial"/>
          <w:b w:val="0"/>
          <w:i/>
          <w:sz w:val="19"/>
        </w:rPr>
        <w:t>Zweckbindungs</w:t>
      </w:r>
      <w:r>
        <w:rPr>
          <w:rFonts w:ascii="Arial" w:hAnsi="Arial"/>
          <w:b w:val="0"/>
          <w:i w:val="0"/>
          <w:sz w:val="19"/>
        </w:rPr>
        <w:t>-Mechanismus (WPA-Fonds), der als konzeptioneller Vergleichspunkt zu einer möglichen inländischen Teilhabefonds-Konstruktion (§ 8.3) herangezogen werden kann. Zugleich verdeutlicht die Konjunktions­struktur (Anwendungs- statt reine Anbieter­schicht, unemployment-elastischer Tarif) die in § 9.2 skizzierten Abgrenzungs- und Nachweisprobleme, die eine tokenpreis-basierte Anknüpfung ohne robuste maschinenlesbare Meldepflicht mit sich brächte.</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jc w:val="both"/>
      </w:pPr>
      <w:r>
        <w:rPr>
          <w:rFonts w:ascii="Arial" w:hAnsi="Arial"/>
          <w:b/>
          <w:i w:val="0"/>
          <w:sz w:val="19"/>
        </w:rPr>
        <w:t>Aktualisierung (14. August 2026) — AI Transition Response Contribution („AI 전환 대응 분담금"):</w:t>
      </w:r>
      <w:r>
        <w:rPr>
          <w:rFonts w:ascii="Arial" w:hAnsi="Arial"/>
          <w:b w:val="0"/>
          <w:i w:val="0"/>
          <w:sz w:val="19"/>
        </w:rPr>
        <w:t xml:space="preserve"> Nur elf Tage nach der MOEF-Steuerreformvorlage hat die Abgeordnete </w:t>
      </w:r>
      <w:r>
        <w:rPr>
          <w:rFonts w:ascii="Arial" w:hAnsi="Arial"/>
          <w:b w:val="0"/>
          <w:i/>
          <w:sz w:val="19"/>
        </w:rPr>
        <w:t>Lee Hae-min</w:t>
      </w:r>
      <w:r>
        <w:rPr>
          <w:rFonts w:ascii="Arial" w:hAnsi="Arial"/>
          <w:b w:val="0"/>
          <w:i w:val="0"/>
          <w:sz w:val="19"/>
        </w:rPr>
        <w:t xml:space="preserve"> (이해민, </w:t>
      </w:r>
      <w:r>
        <w:rPr>
          <w:rFonts w:ascii="Arial" w:hAnsi="Arial"/>
          <w:b w:val="0"/>
          <w:i/>
          <w:sz w:val="19"/>
        </w:rPr>
        <w:t>Rebuilding Korea Party</w:t>
      </w:r>
      <w:r>
        <w:rPr>
          <w:rFonts w:ascii="Arial" w:hAnsi="Arial"/>
          <w:b w:val="0"/>
          <w:i w:val="0"/>
          <w:sz w:val="19"/>
        </w:rPr>
        <w:t xml:space="preserve"> / 조국혁신당) am 14. August 2026 in der </w:t>
      </w:r>
      <w:r>
        <w:rPr>
          <w:rFonts w:ascii="Arial" w:hAnsi="Arial"/>
          <w:b w:val="0"/>
          <w:i/>
          <w:sz w:val="19"/>
        </w:rPr>
        <w:t>Nationalversammlung</w:t>
      </w:r>
      <w:r>
        <w:rPr>
          <w:rFonts w:ascii="Arial" w:hAnsi="Arial"/>
          <w:b w:val="0"/>
          <w:i w:val="0"/>
          <w:sz w:val="19"/>
        </w:rPr>
        <w:t xml:space="preserve"> gemeinsam mit </w:t>
      </w:r>
      <w:r>
        <w:rPr>
          <w:rFonts w:ascii="Arial" w:hAnsi="Arial"/>
          <w:b w:val="0"/>
          <w:i/>
          <w:sz w:val="19"/>
        </w:rPr>
        <w:t>Lee Joo-hee</w:t>
      </w:r>
      <w:r>
        <w:rPr>
          <w:rFonts w:ascii="Arial" w:hAnsi="Arial"/>
          <w:b w:val="0"/>
          <w:i w:val="0"/>
          <w:sz w:val="19"/>
        </w:rPr>
        <w:t xml:space="preserve"> (이주희, </w:t>
      </w:r>
      <w:r>
        <w:rPr>
          <w:rFonts w:ascii="Arial" w:hAnsi="Arial"/>
          <w:b w:val="0"/>
          <w:i/>
          <w:sz w:val="19"/>
        </w:rPr>
        <w:t>Democratic Party of Korea</w:t>
      </w:r>
      <w:r>
        <w:rPr>
          <w:rFonts w:ascii="Arial" w:hAnsi="Arial"/>
          <w:b w:val="0"/>
          <w:i w:val="0"/>
          <w:sz w:val="19"/>
        </w:rPr>
        <w:t xml:space="preserve"> / 더불어민주당) ein Drei-Gesetzes-Paket vorgelegt, das strukturell in die Gegenrichtung zielt: erstens einen </w:t>
      </w:r>
      <w:r>
        <w:rPr>
          <w:rFonts w:ascii="Arial" w:hAnsi="Arial"/>
          <w:b w:val="0"/>
          <w:i/>
          <w:sz w:val="19"/>
        </w:rPr>
        <w:t>Basic Society Act for AI Transition Response</w:t>
      </w:r>
      <w:r>
        <w:rPr>
          <w:rFonts w:ascii="Arial" w:hAnsi="Arial"/>
          <w:b w:val="0"/>
          <w:i w:val="0"/>
          <w:sz w:val="19"/>
        </w:rPr>
        <w:t xml:space="preserve"> („AI 전환 대응을 위한 기본사회법안"), zweitens eine Änderung des </w:t>
      </w:r>
      <w:r>
        <w:rPr>
          <w:rFonts w:ascii="Arial" w:hAnsi="Arial"/>
          <w:b w:val="0"/>
          <w:i/>
          <w:sz w:val="19"/>
        </w:rPr>
        <w:t>National Finance Act</w:t>
      </w:r>
      <w:r>
        <w:rPr>
          <w:rFonts w:ascii="Arial" w:hAnsi="Arial"/>
          <w:b w:val="0"/>
          <w:i w:val="0"/>
          <w:sz w:val="19"/>
        </w:rPr>
        <w:t xml:space="preserve"> (국가재정법 일부개정법률안) und drittens eine Änderung des </w:t>
      </w:r>
      <w:r>
        <w:rPr>
          <w:rFonts w:ascii="Arial" w:hAnsi="Arial"/>
          <w:b w:val="0"/>
          <w:i/>
          <w:sz w:val="19"/>
        </w:rPr>
        <w:t>Basic Act on Levy Management</w:t>
      </w:r>
      <w:r>
        <w:rPr>
          <w:rFonts w:ascii="Arial" w:hAnsi="Arial"/>
          <w:b w:val="0"/>
          <w:i w:val="0"/>
          <w:sz w:val="19"/>
        </w:rPr>
        <w:t xml:space="preserve"> (부담금 관리 기본법 일부개정법률안). Kernstück ist die Einführung einer </w:t>
      </w:r>
      <w:r>
        <w:rPr>
          <w:rFonts w:ascii="Arial" w:hAnsi="Arial"/>
          <w:b w:val="0"/>
          <w:i/>
          <w:sz w:val="19"/>
        </w:rPr>
        <w:t>AI Transition Response Contribution</w:t>
      </w:r>
      <w:r>
        <w:rPr>
          <w:rFonts w:ascii="Arial" w:hAnsi="Arial"/>
          <w:b w:val="0"/>
          <w:i w:val="0"/>
          <w:sz w:val="19"/>
        </w:rPr>
        <w:t xml:space="preserve"> („AI 전환 대응 분담금"), die nach übereinstimmender Berichterstattung von </w:t>
      </w:r>
      <w:r>
        <w:rPr>
          <w:rFonts w:ascii="Arial" w:hAnsi="Arial"/>
          <w:b w:val="0"/>
          <w:i/>
          <w:sz w:val="19"/>
        </w:rPr>
        <w:t>edaily</w:t>
      </w:r>
      <w:r>
        <w:rPr>
          <w:rFonts w:ascii="Arial" w:hAnsi="Arial"/>
          <w:b w:val="0"/>
          <w:i w:val="0"/>
          <w:sz w:val="19"/>
        </w:rPr>
        <w:t xml:space="preserve">, </w:t>
      </w:r>
      <w:r>
        <w:rPr>
          <w:rFonts w:ascii="Arial" w:hAnsi="Arial"/>
          <w:b w:val="0"/>
          <w:i/>
          <w:sz w:val="19"/>
        </w:rPr>
        <w:t>ZDNet Korea</w:t>
      </w:r>
      <w:r>
        <w:rPr>
          <w:rFonts w:ascii="Arial" w:hAnsi="Arial"/>
          <w:b w:val="0"/>
          <w:i w:val="0"/>
          <w:sz w:val="19"/>
        </w:rPr>
        <w:t xml:space="preserve">, </w:t>
      </w:r>
      <w:r>
        <w:rPr>
          <w:rFonts w:ascii="Arial" w:hAnsi="Arial"/>
          <w:b w:val="0"/>
          <w:i/>
          <w:sz w:val="19"/>
        </w:rPr>
        <w:t>bloter</w:t>
      </w:r>
      <w:r>
        <w:rPr>
          <w:rFonts w:ascii="Arial" w:hAnsi="Arial"/>
          <w:b w:val="0"/>
          <w:i w:val="0"/>
          <w:sz w:val="19"/>
        </w:rPr>
        <w:t xml:space="preserve">, </w:t>
      </w:r>
      <w:r>
        <w:rPr>
          <w:rFonts w:ascii="Arial" w:hAnsi="Arial"/>
          <w:b w:val="0"/>
          <w:i/>
          <w:sz w:val="19"/>
        </w:rPr>
        <w:t>디지털데일리</w:t>
      </w:r>
      <w:r>
        <w:rPr>
          <w:rFonts w:ascii="Arial" w:hAnsi="Arial"/>
          <w:b w:val="0"/>
          <w:i w:val="0"/>
          <w:sz w:val="19"/>
        </w:rPr>
        <w:t xml:space="preserve"> und der englischsprachigen Rezeption von </w:t>
      </w:r>
      <w:r>
        <w:rPr>
          <w:rFonts w:ascii="Arial" w:hAnsi="Arial"/>
          <w:b w:val="0"/>
          <w:i/>
          <w:sz w:val="19"/>
        </w:rPr>
        <w:t>TechTimes</w:t>
      </w:r>
      <w:r>
        <w:rPr>
          <w:rFonts w:ascii="Arial" w:hAnsi="Arial"/>
          <w:b w:val="0"/>
          <w:i w:val="0"/>
          <w:sz w:val="19"/>
        </w:rPr>
        <w:t xml:space="preserve"> (14./15. August 2026) auf jene Arbeitgeber erhoben würde, deren Einsatz von KI und Automatisierung eine wesentliche substituierende Wirkung auf Beschäftigung oder Aufgabenzuschnitt entfaltet; die Konkretisierung des Auslöseschwellenwerts (Beschäftigungs- oder Aufgabenreduktion je Einsatz) bliebe der </w:t>
      </w:r>
      <w:r>
        <w:rPr>
          <w:rFonts w:ascii="Arial" w:hAnsi="Arial"/>
          <w:b w:val="0"/>
          <w:i/>
          <w:sz w:val="19"/>
        </w:rPr>
        <w:t>präsidialen Durchführungsverordnung</w:t>
      </w:r>
      <w:r>
        <w:rPr>
          <w:rFonts w:ascii="Arial" w:hAnsi="Arial"/>
          <w:b w:val="0"/>
          <w:i w:val="0"/>
          <w:sz w:val="19"/>
        </w:rPr>
        <w:t xml:space="preserve"> vorbehalten. Aufkommen fließt in einen neu einzurichtenden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aus dem Umschulung, Kompetenzentwicklung, Vermittlung in neue Beschäftigung und eine Mindest­einkommens­absicherung finanziert werden sollen; Arbeitgeber, die Beschäftigung sichern oder ausweiten sowie besonders belastungsbegrenzte Betriebe können Ermäßigungen oder Befreiungen in Anspruch nehmen. Politisch tritt das Paket unter dem Etikett der </w:t>
      </w:r>
      <w:r>
        <w:rPr>
          <w:rFonts w:ascii="Arial" w:hAnsi="Arial"/>
          <w:b w:val="0"/>
          <w:i/>
          <w:sz w:val="19"/>
        </w:rPr>
        <w:t>Basic Society</w:t>
      </w:r>
      <w:r>
        <w:rPr>
          <w:rFonts w:ascii="Arial" w:hAnsi="Arial"/>
          <w:b w:val="0"/>
          <w:i w:val="0"/>
          <w:sz w:val="19"/>
        </w:rPr>
        <w:t xml:space="preserve"> auf und wird von Lee Hae-min ausdrücklich nicht als Verzögerungs-, sondern als </w:t>
      </w:r>
      <w:r>
        <w:rPr>
          <w:rFonts w:ascii="Arial" w:hAnsi="Arial"/>
          <w:b w:val="0"/>
          <w:i/>
          <w:sz w:val="19"/>
        </w:rPr>
        <w:t>Ausgleichs­instrument</w:t>
      </w:r>
      <w:r>
        <w:rPr>
          <w:rFonts w:ascii="Arial" w:hAnsi="Arial"/>
          <w:b w:val="0"/>
          <w:i w:val="0"/>
          <w:sz w:val="19"/>
        </w:rPr>
        <w:t xml:space="preserve"> der KI-Transformation eingeordnet; die parlamentarische Behandlung steht im Konjunktiv (Konjunktivpflicht nach § 4.2 Claude.md). Für die Steuerdebatte des vorliegenden Papiers ist der Vorschlag in vier Hinsichten bemerkenswert. Erstens verschiebt er die </w:t>
      </w:r>
      <w:r>
        <w:rPr>
          <w:rFonts w:ascii="Arial" w:hAnsi="Arial"/>
          <w:b w:val="0"/>
          <w:i/>
          <w:sz w:val="19"/>
        </w:rPr>
        <w:t>Anknüpfung</w:t>
      </w:r>
      <w:r>
        <w:rPr>
          <w:rFonts w:ascii="Arial" w:hAnsi="Arial"/>
          <w:b w:val="0"/>
          <w:i w:val="0"/>
          <w:sz w:val="19"/>
        </w:rPr>
        <w:t xml:space="preserve"> der Abgabe von der Anbieter- auf die </w:t>
      </w:r>
      <w:r>
        <w:rPr>
          <w:rFonts w:ascii="Arial" w:hAnsi="Arial"/>
          <w:b w:val="0"/>
          <w:i/>
          <w:sz w:val="19"/>
        </w:rPr>
        <w:t>Deployer-Ebene</w:t>
      </w:r>
      <w:r>
        <w:rPr>
          <w:rFonts w:ascii="Arial" w:hAnsi="Arial"/>
          <w:b w:val="0"/>
          <w:i w:val="0"/>
          <w:sz w:val="19"/>
        </w:rPr>
        <w:t xml:space="preserve"> (Arbeitgeber, der KI einsetzt und Beschäftigung reduziert) und ist damit die erste nationale Gesetzgebung, die einen KI-Verdrängungs­beitrag </w:t>
      </w:r>
      <w:r>
        <w:rPr>
          <w:rFonts w:ascii="Arial" w:hAnsi="Arial"/>
          <w:b w:val="0"/>
          <w:i/>
          <w:sz w:val="19"/>
        </w:rPr>
        <w:t>unmittelbar</w:t>
      </w:r>
      <w:r>
        <w:rPr>
          <w:rFonts w:ascii="Arial" w:hAnsi="Arial"/>
          <w:b w:val="0"/>
          <w:i w:val="0"/>
          <w:sz w:val="19"/>
        </w:rPr>
        <w:t xml:space="preserve"> an die Personalentscheidung des Nutzers und nicht an Umsatz, Token-Absatz, Modellvertrieb oder Rechenzentrums-Verbrauch der Anbieterseite koppelt — ein Zugriffspunkt, der der aus § 4.5 und § 9.1 bekannten Deployer-Kausalattribution des US-</w:t>
      </w:r>
      <w:r>
        <w:rPr>
          <w:rFonts w:ascii="Arial" w:hAnsi="Arial"/>
          <w:b w:val="0"/>
          <w:i/>
          <w:sz w:val="19"/>
        </w:rPr>
        <w:t>AI Tax and Work Protection Act</w:t>
      </w:r>
      <w:r>
        <w:rPr>
          <w:rFonts w:ascii="Arial" w:hAnsi="Arial"/>
          <w:b w:val="0"/>
          <w:i w:val="0"/>
          <w:sz w:val="19"/>
        </w:rPr>
        <w:t xml:space="preserve"> strukturell nahe steht, ihn aber vom Anbieter-Excise-Zugriff (H.R. 10044) auf einen reinen </w:t>
      </w:r>
      <w:r>
        <w:rPr>
          <w:rFonts w:ascii="Arial" w:hAnsi="Arial"/>
          <w:b w:val="0"/>
          <w:i/>
          <w:sz w:val="19"/>
        </w:rPr>
        <w:t>Beschäftigungs­kausalitäts</w:t>
      </w:r>
      <w:r>
        <w:rPr>
          <w:rFonts w:ascii="Arial" w:hAnsi="Arial"/>
          <w:b w:val="0"/>
          <w:i w:val="0"/>
          <w:sz w:val="19"/>
        </w:rPr>
        <w:t xml:space="preserve">-Zugriff reduziert. Zweitens fügt Südkorea damit dem in § 6.1 dokumentierten </w:t>
      </w:r>
      <w:r>
        <w:rPr>
          <w:rFonts w:ascii="Arial" w:hAnsi="Arial"/>
          <w:b w:val="0"/>
          <w:i/>
          <w:sz w:val="19"/>
        </w:rPr>
        <w:t>Domestic Production Tax Credit</w:t>
      </w:r>
      <w:r>
        <w:rPr>
          <w:rFonts w:ascii="Arial" w:hAnsi="Arial"/>
          <w:b w:val="0"/>
          <w:i w:val="0"/>
          <w:sz w:val="19"/>
        </w:rPr>
        <w:t xml:space="preserve"> vom 3. August 2026 nur elf Tage später ein </w:t>
      </w:r>
      <w:r>
        <w:rPr>
          <w:rFonts w:ascii="Arial" w:hAnsi="Arial"/>
          <w:b w:val="0"/>
          <w:i/>
          <w:sz w:val="19"/>
        </w:rPr>
        <w:t>Aufkommen­serzeugendes</w:t>
      </w:r>
      <w:r>
        <w:rPr>
          <w:rFonts w:ascii="Arial" w:hAnsi="Arial"/>
          <w:b w:val="0"/>
          <w:i w:val="0"/>
          <w:sz w:val="19"/>
        </w:rPr>
        <w:t xml:space="preserve"> Gegenstück hinzu: Die Robotik-Wertschöpfung wird auf der Fertigungsschicht steuerlich </w:t>
      </w:r>
      <w:r>
        <w:rPr>
          <w:rFonts w:ascii="Arial" w:hAnsi="Arial"/>
          <w:b w:val="0"/>
          <w:i/>
          <w:sz w:val="19"/>
        </w:rPr>
        <w:t>begünstigt</w:t>
      </w:r>
      <w:r>
        <w:rPr>
          <w:rFonts w:ascii="Arial" w:hAnsi="Arial"/>
          <w:b w:val="0"/>
          <w:i w:val="0"/>
          <w:sz w:val="19"/>
        </w:rPr>
        <w:t xml:space="preserve">, während ihre substituierende Anwendung auf der Beschäftigungs­schicht durch eine parafiskalische Abgabe </w:t>
      </w:r>
      <w:r>
        <w:rPr>
          <w:rFonts w:ascii="Arial" w:hAnsi="Arial"/>
          <w:b w:val="0"/>
          <w:i/>
          <w:sz w:val="19"/>
        </w:rPr>
        <w:t>belastet</w:t>
      </w:r>
      <w:r>
        <w:rPr>
          <w:rFonts w:ascii="Arial" w:hAnsi="Arial"/>
          <w:b w:val="0"/>
          <w:i w:val="0"/>
          <w:sz w:val="19"/>
        </w:rPr>
        <w:t xml:space="preserve"> wird — die südkoreanische Politik operiert in derselben Steuerreform­periode auf beiden Seiten der Wertschöpfungskette und liefert damit einen Zwillingsfall zur in § 5.1 und § 8.3 skizzierten Kombination aus Standort­förderung und wertschöpfungs­orientierter Nutzungsabgabe. Drittens folgt die Zweckbindung des </w:t>
      </w:r>
      <w:r>
        <w:rPr>
          <w:rFonts w:ascii="Arial" w:hAnsi="Arial"/>
          <w:b w:val="0"/>
          <w:i/>
          <w:sz w:val="19"/>
        </w:rPr>
        <w:t>Basic Society Support Fund</w:t>
      </w:r>
      <w:r>
        <w:rPr>
          <w:rFonts w:ascii="Arial" w:hAnsi="Arial"/>
          <w:b w:val="0"/>
          <w:i w:val="0"/>
          <w:sz w:val="19"/>
        </w:rPr>
        <w:t xml:space="preserve"> — Umschulung, Wiedereingliederung, Mindest­einkommens­absicherung — funktional dem in § 5.1, § 5.2 und § 10.2 diskutierten Verwendungszweck der Wertschöpfungsabgabe und liegt näher an der bundesdeutschen Wertschöpfungs­abgabe- und Bürgerversicherungs­debatte als am US-Vorbild der </w:t>
      </w:r>
      <w:r>
        <w:rPr>
          <w:rFonts w:ascii="Arial" w:hAnsi="Arial"/>
          <w:b w:val="0"/>
          <w:i/>
          <w:sz w:val="19"/>
        </w:rPr>
        <w:t>Work Protection Administration</w:t>
      </w:r>
      <w:r>
        <w:rPr>
          <w:rFonts w:ascii="Arial" w:hAnsi="Arial"/>
          <w:b w:val="0"/>
          <w:i w:val="0"/>
          <w:sz w:val="19"/>
        </w:rPr>
        <w:t xml:space="preserve"> (§ 4.5). Viertens setzt der Auslösemechanismus (Beschäftigungs- oder Aufgabenreduktion) die in § 9.1 diskutierte </w:t>
      </w:r>
      <w:r>
        <w:rPr>
          <w:rFonts w:ascii="Arial" w:hAnsi="Arial"/>
          <w:b w:val="0"/>
          <w:i/>
          <w:sz w:val="19"/>
        </w:rPr>
        <w:t>Deployer-Kausal­attribution</w:t>
      </w:r>
      <w:r>
        <w:rPr>
          <w:rFonts w:ascii="Arial" w:hAnsi="Arial"/>
          <w:b w:val="0"/>
          <w:i w:val="0"/>
          <w:sz w:val="19"/>
        </w:rPr>
        <w:t xml:space="preserve"> in operatives Recht um und bietet damit — bei parlamentarischer Verabschiedung — eine erste empirisch beobachtbare Verwaltungspraxis für die Attributionsfrage, die in der deutschen Debatte bislang als offen gilt. Politisch bleibt die Umsetzung an die Zustimmung der Nationalversammlung, die </w:t>
      </w:r>
      <w:r>
        <w:rPr>
          <w:rFonts w:ascii="Arial" w:hAnsi="Arial"/>
          <w:b w:val="0"/>
          <w:i/>
          <w:sz w:val="19"/>
        </w:rPr>
        <w:t>präsidiale Durchführungsverordnung</w:t>
      </w:r>
      <w:r>
        <w:rPr>
          <w:rFonts w:ascii="Arial" w:hAnsi="Arial"/>
          <w:b w:val="0"/>
          <w:i w:val="0"/>
          <w:sz w:val="19"/>
        </w:rPr>
        <w:t xml:space="preserve"> zum Auslöseschwellenwert und die Novellierung des Verwaltungs- und Erhebungsapparats gebunden.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 xml:space="preserve">-Absatz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 Nachtrag zum 10. August 2026: Fünf Tage nach der </w:t>
      </w:r>
      <w:r>
        <w:rPr>
          <w:rFonts w:ascii="Arial" w:hAnsi="Arial"/>
          <w:b w:val="0"/>
          <w:i/>
          <w:sz w:val="19"/>
        </w:rPr>
        <w:t>Muse-Spark-1.2</w:t>
      </w:r>
      <w:r>
        <w:rPr>
          <w:rFonts w:ascii="Arial" w:hAnsi="Arial"/>
          <w:b w:val="0"/>
          <w:i w:val="0"/>
          <w:sz w:val="19"/>
        </w:rPr>
        <w:t xml:space="preserve">-Freigabe hat </w:t>
      </w:r>
      <w:r>
        <w:rPr>
          <w:rFonts w:ascii="Arial" w:hAnsi="Arial"/>
          <w:b w:val="0"/>
          <w:i/>
          <w:sz w:val="19"/>
        </w:rPr>
        <w:t>Meta</w:t>
      </w:r>
      <w:r>
        <w:rPr>
          <w:rFonts w:ascii="Arial" w:hAnsi="Arial"/>
          <w:b w:val="0"/>
          <w:i w:val="0"/>
          <w:sz w:val="19"/>
        </w:rPr>
        <w:t xml:space="preserve"> nach eigener Bekanntgabe („Introducing Muse Glimmer: An Open Agentic Model That Runs on Your Device") und übereinstimmender Berichterstattung von </w:t>
      </w:r>
      <w:r>
        <w:rPr>
          <w:rFonts w:ascii="Arial" w:hAnsi="Arial"/>
          <w:b w:val="0"/>
          <w:i/>
          <w:sz w:val="19"/>
        </w:rPr>
        <w:t>CNBC</w:t>
      </w:r>
      <w:r>
        <w:rPr>
          <w:rFonts w:ascii="Arial" w:hAnsi="Arial"/>
          <w:b w:val="0"/>
          <w:i w:val="0"/>
          <w:sz w:val="19"/>
        </w:rPr>
        <w:t xml:space="preserve"> (10. August 2026), </w:t>
      </w:r>
      <w:r>
        <w:rPr>
          <w:rFonts w:ascii="Arial" w:hAnsi="Arial"/>
          <w:b w:val="0"/>
          <w:i/>
          <w:sz w:val="19"/>
        </w:rPr>
        <w:t>SiliconAngle</w:t>
      </w:r>
      <w:r>
        <w:rPr>
          <w:rFonts w:ascii="Arial" w:hAnsi="Arial"/>
          <w:b w:val="0"/>
          <w:i w:val="0"/>
          <w:sz w:val="19"/>
        </w:rPr>
        <w:t xml:space="preserve">, </w:t>
      </w:r>
      <w:r>
        <w:rPr>
          <w:rFonts w:ascii="Arial" w:hAnsi="Arial"/>
          <w:b w:val="0"/>
          <w:i/>
          <w:sz w:val="19"/>
        </w:rPr>
        <w:t>Seeking Alpha</w:t>
      </w:r>
      <w:r>
        <w:rPr>
          <w:rFonts w:ascii="Arial" w:hAnsi="Arial"/>
          <w:b w:val="0"/>
          <w:i w:val="0"/>
          <w:sz w:val="19"/>
        </w:rPr>
        <w:t xml:space="preserve">, </w:t>
      </w:r>
      <w:r>
        <w:rPr>
          <w:rFonts w:ascii="Arial" w:hAnsi="Arial"/>
          <w:b w:val="0"/>
          <w:i/>
          <w:sz w:val="19"/>
        </w:rPr>
        <w:t>Phoronix</w:t>
      </w:r>
      <w:r>
        <w:rPr>
          <w:rFonts w:ascii="Arial" w:hAnsi="Arial"/>
          <w:b w:val="0"/>
          <w:i w:val="0"/>
          <w:sz w:val="19"/>
        </w:rPr>
        <w:t xml:space="preserve"> und der begleitenden </w:t>
      </w:r>
      <w:r>
        <w:rPr>
          <w:rFonts w:ascii="Arial" w:hAnsi="Arial"/>
          <w:b w:val="0"/>
          <w:i/>
          <w:sz w:val="19"/>
        </w:rPr>
        <w:t>Hugging-Face</w:t>
      </w:r>
      <w:r>
        <w:rPr>
          <w:rFonts w:ascii="Arial" w:hAnsi="Arial"/>
          <w:b w:val="0"/>
          <w:i w:val="0"/>
          <w:sz w:val="19"/>
        </w:rPr>
        <w:t xml:space="preserve">-Modellkarte am 10. August 2026 mit </w:t>
      </w:r>
      <w:r>
        <w:rPr>
          <w:rFonts w:ascii="Arial" w:hAnsi="Arial"/>
          <w:b w:val="0"/>
          <w:i/>
          <w:sz w:val="19"/>
        </w:rPr>
        <w:t>Muse Glimmer</w:t>
      </w:r>
      <w:r>
        <w:rPr>
          <w:rFonts w:ascii="Arial" w:hAnsi="Arial"/>
          <w:b w:val="0"/>
          <w:i w:val="0"/>
          <w:sz w:val="19"/>
        </w:rPr>
        <w:t xml:space="preserve"> einen 30-Milliarden-Parameter-</w:t>
      </w:r>
      <w:r>
        <w:rPr>
          <w:rFonts w:ascii="Arial" w:hAnsi="Arial"/>
          <w:b w:val="0"/>
          <w:i/>
          <w:sz w:val="19"/>
        </w:rPr>
        <w:t>Open-Weight</w:t>
      </w:r>
      <w:r>
        <w:rPr>
          <w:rFonts w:ascii="Arial" w:hAnsi="Arial"/>
          <w:b w:val="0"/>
          <w:i w:val="0"/>
          <w:sz w:val="19"/>
        </w:rPr>
        <w:t xml:space="preserve">-Ableger seines </w:t>
      </w:r>
      <w:r>
        <w:rPr>
          <w:rFonts w:ascii="Arial" w:hAnsi="Arial"/>
          <w:b w:val="0"/>
          <w:i/>
          <w:sz w:val="19"/>
        </w:rPr>
        <w:t>Muse-Spark</w:t>
      </w:r>
      <w:r>
        <w:rPr>
          <w:rFonts w:ascii="Arial" w:hAnsi="Arial"/>
          <w:b w:val="0"/>
          <w:i w:val="0"/>
          <w:sz w:val="19"/>
        </w:rPr>
        <w:t>-Familienlaufs freigegeben, der auf lokal ausführbare Agenten-Arbeitslasten (</w:t>
      </w:r>
      <w:r>
        <w:rPr>
          <w:rFonts w:ascii="Arial" w:hAnsi="Arial"/>
          <w:b w:val="0"/>
          <w:i/>
          <w:sz w:val="19"/>
        </w:rPr>
        <w:t>local agents</w:t>
      </w:r>
      <w:r>
        <w:rPr>
          <w:rFonts w:ascii="Arial" w:hAnsi="Arial"/>
          <w:b w:val="0"/>
          <w:i w:val="0"/>
          <w:sz w:val="19"/>
        </w:rPr>
        <w:t xml:space="preserve">, </w:t>
      </w:r>
      <w:r>
        <w:rPr>
          <w:rFonts w:ascii="Arial" w:hAnsi="Arial"/>
          <w:b w:val="0"/>
          <w:i/>
          <w:sz w:val="19"/>
        </w:rPr>
        <w:t>function calling</w:t>
      </w:r>
      <w:r>
        <w:rPr>
          <w:rFonts w:ascii="Arial" w:hAnsi="Arial"/>
          <w:b w:val="0"/>
          <w:i w:val="0"/>
          <w:sz w:val="19"/>
        </w:rPr>
        <w:t xml:space="preserve">, </w:t>
      </w:r>
      <w:r>
        <w:rPr>
          <w:rFonts w:ascii="Arial" w:hAnsi="Arial"/>
          <w:b w:val="0"/>
          <w:i/>
          <w:sz w:val="19"/>
        </w:rPr>
        <w:t>coding</w:t>
      </w:r>
      <w:r>
        <w:rPr>
          <w:rFonts w:ascii="Arial" w:hAnsi="Arial"/>
          <w:b w:val="0"/>
          <w:i w:val="0"/>
          <w:sz w:val="19"/>
        </w:rPr>
        <w:t xml:space="preserve">, </w:t>
      </w:r>
      <w:r>
        <w:rPr>
          <w:rFonts w:ascii="Arial" w:hAnsi="Arial"/>
          <w:b w:val="0"/>
          <w:i/>
          <w:sz w:val="19"/>
        </w:rPr>
        <w:t>LLM-as-a-judge</w:t>
      </w:r>
      <w:r>
        <w:rPr>
          <w:rFonts w:ascii="Arial" w:hAnsi="Arial"/>
          <w:b w:val="0"/>
          <w:i w:val="0"/>
          <w:sz w:val="19"/>
        </w:rPr>
        <w:t xml:space="preserve">) zugeschnitten ist; nach den Anbieterangaben ist das Modell durch 4-Bit-Quantisierung und </w:t>
      </w:r>
      <w:r>
        <w:rPr>
          <w:rFonts w:ascii="Arial" w:hAnsi="Arial"/>
          <w:b w:val="0"/>
          <w:i/>
          <w:sz w:val="19"/>
        </w:rPr>
        <w:t>speculative decoding</w:t>
      </w:r>
      <w:r>
        <w:rPr>
          <w:rFonts w:ascii="Arial" w:hAnsi="Arial"/>
          <w:b w:val="0"/>
          <w:i w:val="0"/>
          <w:sz w:val="19"/>
        </w:rPr>
        <w:t xml:space="preserve"> (Drafter-Verifier-Pipeline) auf einen Speicherbedarf von unter 20 Gigabyte RAM komprimiert (nativ rund 55 Gigabyte) und läuft auf einem einzelnen Consumer-Grafikchip auf Mac- oder PC-Systemen; einstellbare </w:t>
      </w:r>
      <w:r>
        <w:rPr>
          <w:rFonts w:ascii="Arial" w:hAnsi="Arial"/>
          <w:b w:val="0"/>
          <w:i/>
          <w:sz w:val="19"/>
        </w:rPr>
        <w:t>Reasoning-Strength</w:t>
      </w:r>
      <w:r>
        <w:rPr>
          <w:rFonts w:ascii="Arial" w:hAnsi="Arial"/>
          <w:b w:val="0"/>
          <w:i w:val="0"/>
          <w:sz w:val="19"/>
        </w:rPr>
        <w:t xml:space="preserve">-Stufen und automatische Aufgabenwiederholungen ergänzen die Standard-Agenten-Schleife. In den vom Anbieter berichteten Benchmark-Vergleichen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führt </w:t>
      </w:r>
      <w:r>
        <w:rPr>
          <w:rFonts w:ascii="Arial" w:hAnsi="Arial"/>
          <w:b w:val="0"/>
          <w:i/>
          <w:sz w:val="19"/>
        </w:rPr>
        <w:t>Muse Glimmer</w:t>
      </w:r>
      <w:r>
        <w:rPr>
          <w:rFonts w:ascii="Arial" w:hAnsi="Arial"/>
          <w:b w:val="0"/>
          <w:i w:val="0"/>
          <w:sz w:val="19"/>
        </w:rPr>
        <w:t xml:space="preserve"> nach eigener Zählung auf rund der Hälfte der zwei Dutzend geprüften Benchmarks (Online-Recherche, Codegenerierung, wissenschaftliche Chart-Analyse); unabhängige Vergleiche mit den führenden </w:t>
      </w:r>
      <w:r>
        <w:rPr>
          <w:rFonts w:ascii="Arial" w:hAnsi="Arial"/>
          <w:b w:val="0"/>
          <w:i/>
          <w:sz w:val="19"/>
        </w:rPr>
        <w:t>closed-source</w:t>
      </w:r>
      <w:r>
        <w:rPr>
          <w:rFonts w:ascii="Arial" w:hAnsi="Arial"/>
          <w:b w:val="0"/>
          <w:i w:val="0"/>
          <w:sz w:val="19"/>
        </w:rPr>
        <w:t xml:space="preserve">-Modellen von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stehen zum Freigabedatum aus (Konjunktivpflicht nach § 4.2 Claude.md). Die </w:t>
      </w:r>
      <w:r>
        <w:rPr>
          <w:rFonts w:ascii="Arial" w:hAnsi="Arial"/>
          <w:b w:val="0"/>
          <w:i/>
          <w:sz w:val="19"/>
        </w:rPr>
        <w:t>Meta-AI-Research</w:t>
      </w:r>
      <w:r>
        <w:rPr>
          <w:rFonts w:ascii="Arial" w:hAnsi="Arial"/>
          <w:b w:val="0"/>
          <w:i w:val="0"/>
          <w:sz w:val="19"/>
        </w:rPr>
        <w:t xml:space="preserve">-Blog-Freigabe verweist ausdrücklich auf die Ableitung aus dem </w:t>
      </w:r>
      <w:r>
        <w:rPr>
          <w:rFonts w:ascii="Arial" w:hAnsi="Arial"/>
          <w:b w:val="0"/>
          <w:i/>
          <w:sz w:val="19"/>
        </w:rPr>
        <w:t>Muse-Spark</w:t>
      </w:r>
      <w:r>
        <w:rPr>
          <w:rFonts w:ascii="Arial" w:hAnsi="Arial"/>
          <w:b w:val="0"/>
          <w:i w:val="0"/>
          <w:sz w:val="19"/>
        </w:rPr>
        <w:t xml:space="preserve">-Lehrer-Modell und die Möglichkeit, das Gewichtsformat samt Modellkarte über </w:t>
      </w:r>
      <w:r>
        <w:rPr>
          <w:rFonts w:ascii="Arial" w:hAnsi="Arial"/>
          <w:b w:val="0"/>
          <w:i/>
          <w:sz w:val="19"/>
        </w:rPr>
        <w:t>Hugging Face</w:t>
      </w:r>
      <w:r>
        <w:rPr>
          <w:rFonts w:ascii="Arial" w:hAnsi="Arial"/>
          <w:b w:val="0"/>
          <w:i w:val="0"/>
          <w:sz w:val="19"/>
        </w:rPr>
        <w:t xml:space="preserve"> zu beziehen; für die in § 8.2 dokumentierte Verlagerung der Wettbewerbsdynamik auf die Deployment- und Agent-Ebene verdichtet der Schritt die Beobachtung um einen weiteren Datenpunkt: Ein US-Frontier-Anbieter verschiebt binnen einer Woche einen mittelgroßen agentenfähigen Ableger seines Flaggschiff-Modells auf ein </w:t>
      </w:r>
      <w:r>
        <w:rPr>
          <w:rFonts w:ascii="Arial" w:hAnsi="Arial"/>
          <w:b w:val="0"/>
          <w:i/>
          <w:sz w:val="19"/>
        </w:rPr>
        <w:t>lokales</w:t>
      </w:r>
      <w:r>
        <w:rPr>
          <w:rFonts w:ascii="Arial" w:hAnsi="Arial"/>
          <w:b w:val="0"/>
          <w:i w:val="0"/>
          <w:sz w:val="19"/>
        </w:rPr>
        <w:t xml:space="preserve"> Ausführungsprofil unter offenem Gewicht — mit unmittelbarer Rückwirkung auf die Zugriffs- und Bemessungslogik einer künftigen inländischen KI-Nutzungsabgabe (§ 8.3), weil die in diesem Segment relevante Verrechnungsschicht dann nicht mehr die zentralen API-Endpunkte, sondern die betriebliche Anwendung im inländischen Rechnersystem ist. Zugleich stellt die </w:t>
      </w:r>
      <w:r>
        <w:rPr>
          <w:rFonts w:ascii="Arial" w:hAnsi="Arial"/>
          <w:b w:val="0"/>
          <w:i/>
          <w:sz w:val="19"/>
        </w:rPr>
        <w:t>Open-Weight</w:t>
      </w:r>
      <w:r>
        <w:rPr>
          <w:rFonts w:ascii="Arial" w:hAnsi="Arial"/>
          <w:b w:val="0"/>
          <w:i w:val="0"/>
          <w:sz w:val="19"/>
        </w:rPr>
        <w:t xml:space="preserve">-Freigabe eines mittelgroßen Frontier-Ablegers einen weiteren empirischen Beleg gegen die im </w:t>
      </w:r>
      <w:r>
        <w:rPr>
          <w:rFonts w:ascii="Arial" w:hAnsi="Arial"/>
          <w:b w:val="0"/>
          <w:i/>
          <w:sz w:val="19"/>
        </w:rPr>
        <w:t>American A.I. Sovereign Wealth Fund Act</w:t>
      </w:r>
      <w:r>
        <w:rPr>
          <w:rFonts w:ascii="Arial" w:hAnsi="Arial"/>
          <w:b w:val="0"/>
          <w:i w:val="0"/>
          <w:sz w:val="19"/>
        </w:rPr>
        <w:t xml:space="preserve"> (§ 4.5) angelegte bestandsorientierte Zugriffslogik dar: Die Modell-Wertschöpfung diffundiert auf eine Anwendungsschicht, in der die Bemessungsbasis anbieterseitig kaum mehr abgrenzbar ist.</w:t>
      </w:r>
    </w:p>
    <w:p>
      <w:pPr>
        <w:jc w:val="both"/>
      </w:pPr>
      <w:r>
        <w:rPr>
          <w:rFonts w:ascii="Arial" w:hAnsi="Arial"/>
          <w:b w:val="0"/>
          <w:i w:val="0"/>
          <w:sz w:val="19"/>
        </w:rPr>
        <w:t xml:space="preserve">Am API-Frontier setzt sich die in § 8.2 dokumentierte deflationäre Preisdynamik am 11. bis 13. August 2026 in einem doppelten Zug fort. Erstens hat </w:t>
      </w:r>
      <w:r>
        <w:rPr>
          <w:rFonts w:ascii="Arial" w:hAnsi="Arial"/>
          <w:b w:val="0"/>
          <w:i/>
          <w:sz w:val="19"/>
        </w:rPr>
        <w:t>OpenAI</w:t>
      </w:r>
      <w:r>
        <w:rPr>
          <w:rFonts w:ascii="Arial" w:hAnsi="Arial"/>
          <w:b w:val="0"/>
          <w:i w:val="0"/>
          <w:sz w:val="19"/>
        </w:rPr>
        <w:t xml:space="preserve"> am 11. August 2026 nach eigener Bekanntgabe und flankierender Berichterstattung von </w:t>
      </w:r>
      <w:r>
        <w:rPr>
          <w:rFonts w:ascii="Arial" w:hAnsi="Arial"/>
          <w:b w:val="0"/>
          <w:i/>
          <w:sz w:val="19"/>
        </w:rPr>
        <w:t>gHacks</w:t>
      </w:r>
      <w:r>
        <w:rPr>
          <w:rFonts w:ascii="Arial" w:hAnsi="Arial"/>
          <w:b w:val="0"/>
          <w:i w:val="0"/>
          <w:sz w:val="19"/>
        </w:rPr>
        <w:t xml:space="preserve">, </w:t>
      </w:r>
      <w:r>
        <w:rPr>
          <w:rFonts w:ascii="Arial" w:hAnsi="Arial"/>
          <w:b w:val="0"/>
          <w:i/>
          <w:sz w:val="19"/>
        </w:rPr>
        <w:t>Adventure Media</w:t>
      </w:r>
      <w:r>
        <w:rPr>
          <w:rFonts w:ascii="Arial" w:hAnsi="Arial"/>
          <w:b w:val="0"/>
          <w:i w:val="0"/>
          <w:sz w:val="19"/>
        </w:rPr>
        <w:t xml:space="preserve"> und </w:t>
      </w:r>
      <w:r>
        <w:rPr>
          <w:rFonts w:ascii="Arial" w:hAnsi="Arial"/>
          <w:b w:val="0"/>
          <w:i/>
          <w:sz w:val="19"/>
        </w:rPr>
        <w:t>Monks Answer Engine</w:t>
      </w:r>
      <w:r>
        <w:rPr>
          <w:rFonts w:ascii="Arial" w:hAnsi="Arial"/>
          <w:b w:val="0"/>
          <w:i w:val="0"/>
          <w:sz w:val="19"/>
        </w:rPr>
        <w:t xml:space="preserve"> den </w:t>
      </w:r>
      <w:r>
        <w:rPr>
          <w:rFonts w:ascii="Arial" w:hAnsi="Arial"/>
          <w:b w:val="0"/>
          <w:i/>
          <w:sz w:val="19"/>
        </w:rPr>
        <w:t>ChatGPT-Advertising</w:t>
      </w:r>
      <w:r>
        <w:rPr>
          <w:rFonts w:ascii="Arial" w:hAnsi="Arial"/>
          <w:b w:val="0"/>
          <w:i w:val="0"/>
          <w:sz w:val="19"/>
        </w:rPr>
        <w:t xml:space="preserve">-Testlauf, der im Februar 2026 in den USA gestartet und im Frühjahr auf Kanada, Australien und Neuseeland ausgeweitet worden war, in fünf weiteren Zielmärkten produktiv geschaltet: </w:t>
      </w:r>
      <w:r>
        <w:rPr>
          <w:rFonts w:ascii="Arial" w:hAnsi="Arial"/>
          <w:b w:val="0"/>
          <w:i/>
          <w:sz w:val="19"/>
        </w:rPr>
        <w:t>Vereinigtes Königreich</w:t>
      </w:r>
      <w:r>
        <w:rPr>
          <w:rFonts w:ascii="Arial" w:hAnsi="Arial"/>
          <w:b w:val="0"/>
          <w:i w:val="0"/>
          <w:sz w:val="19"/>
        </w:rPr>
        <w:t xml:space="preserve">, </w:t>
      </w:r>
      <w:r>
        <w:rPr>
          <w:rFonts w:ascii="Arial" w:hAnsi="Arial"/>
          <w:b w:val="0"/>
          <w:i/>
          <w:sz w:val="19"/>
        </w:rPr>
        <w:t>Mexiko</w:t>
      </w:r>
      <w:r>
        <w:rPr>
          <w:rFonts w:ascii="Arial" w:hAnsi="Arial"/>
          <w:b w:val="0"/>
          <w:i w:val="0"/>
          <w:sz w:val="19"/>
        </w:rPr>
        <w:t xml:space="preserve">, </w:t>
      </w:r>
      <w:r>
        <w:rPr>
          <w:rFonts w:ascii="Arial" w:hAnsi="Arial"/>
          <w:b w:val="0"/>
          <w:i/>
          <w:sz w:val="19"/>
        </w:rPr>
        <w:t>Brasilien</w:t>
      </w:r>
      <w:r>
        <w:rPr>
          <w:rFonts w:ascii="Arial" w:hAnsi="Arial"/>
          <w:b w:val="0"/>
          <w:i w:val="0"/>
          <w:sz w:val="19"/>
        </w:rPr>
        <w:t xml:space="preserve">, </w:t>
      </w:r>
      <w:r>
        <w:rPr>
          <w:rFonts w:ascii="Arial" w:hAnsi="Arial"/>
          <w:b w:val="0"/>
          <w:i/>
          <w:sz w:val="19"/>
        </w:rPr>
        <w:t>Japan</w:t>
      </w:r>
      <w:r>
        <w:rPr>
          <w:rFonts w:ascii="Arial" w:hAnsi="Arial"/>
          <w:b w:val="0"/>
          <w:i w:val="0"/>
          <w:sz w:val="19"/>
        </w:rPr>
        <w:t xml:space="preserve"> und </w:t>
      </w:r>
      <w:r>
        <w:rPr>
          <w:rFonts w:ascii="Arial" w:hAnsi="Arial"/>
          <w:b w:val="0"/>
          <w:i/>
          <w:sz w:val="19"/>
        </w:rPr>
        <w:t>Republik Korea</w:t>
      </w:r>
      <w:r>
        <w:rPr>
          <w:rFonts w:ascii="Arial" w:hAnsi="Arial"/>
          <w:b w:val="0"/>
          <w:i w:val="0"/>
          <w:sz w:val="19"/>
        </w:rPr>
        <w:t xml:space="preserve">. Die Werbung wird gemäß der Konzern-Selbstbeschreibung ausschließlich den kostenfreien und den </w:t>
      </w:r>
      <w:r>
        <w:rPr>
          <w:rFonts w:ascii="Arial" w:hAnsi="Arial"/>
          <w:b w:val="0"/>
          <w:i/>
          <w:sz w:val="19"/>
        </w:rPr>
        <w:t>Go</w:t>
      </w:r>
      <w:r>
        <w:rPr>
          <w:rFonts w:ascii="Arial" w:hAnsi="Arial"/>
          <w:b w:val="0"/>
          <w:i w:val="0"/>
          <w:sz w:val="19"/>
        </w:rPr>
        <w:t>-Tarifen ausgespielt, während die kostenpflichtigen Tarife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w:t>
      </w:r>
      <w:r>
        <w:rPr>
          <w:rFonts w:ascii="Arial" w:hAnsi="Arial"/>
          <w:b w:val="0"/>
          <w:i/>
          <w:sz w:val="19"/>
        </w:rPr>
        <w:t>Education</w:t>
      </w:r>
      <w:r>
        <w:rPr>
          <w:rFonts w:ascii="Arial" w:hAnsi="Arial"/>
          <w:b w:val="0"/>
          <w:i w:val="0"/>
          <w:sz w:val="19"/>
        </w:rPr>
        <w:t xml:space="preserve">) werbefrei bleiben; nach den Anbieterangaben werden die Werbeanzeigen mit Gesprächskontext und Interaktionshistorie inhaltlich abgeglichen, ohne die Antworten selbst zu beeinflussen, und sind sichtbar als </w:t>
      </w:r>
      <w:r>
        <w:rPr>
          <w:rFonts w:ascii="Arial" w:hAnsi="Arial"/>
          <w:b w:val="0"/>
          <w:i/>
          <w:sz w:val="19"/>
        </w:rPr>
        <w:t>sponsored content</w:t>
      </w:r>
      <w:r>
        <w:rPr>
          <w:rFonts w:ascii="Arial" w:hAnsi="Arial"/>
          <w:b w:val="0"/>
          <w:i w:val="0"/>
          <w:sz w:val="19"/>
        </w:rPr>
        <w:t xml:space="preserve"> gekennzeichnet (Konjunktivpflicht nach § 4.2 Claude.md, da die Verifikation der Non-Influence-Zusage anbieterseitig erfolgt). Zweitens hat </w:t>
      </w:r>
      <w:r>
        <w:rPr>
          <w:rFonts w:ascii="Arial" w:hAnsi="Arial"/>
          <w:b w:val="0"/>
          <w:i/>
          <w:sz w:val="19"/>
        </w:rPr>
        <w:t>OpenAI</w:t>
      </w:r>
      <w:r>
        <w:rPr>
          <w:rFonts w:ascii="Arial" w:hAnsi="Arial"/>
          <w:b w:val="0"/>
          <w:i w:val="0"/>
          <w:sz w:val="19"/>
        </w:rPr>
        <w:t xml:space="preserve"> am 13. August 2026 einen </w:t>
      </w:r>
      <w:r>
        <w:rPr>
          <w:rFonts w:ascii="Arial" w:hAnsi="Arial"/>
          <w:b w:val="0"/>
          <w:i/>
          <w:sz w:val="19"/>
        </w:rPr>
        <w:t>Ultrafast</w:t>
      </w:r>
      <w:r>
        <w:rPr>
          <w:rFonts w:ascii="Arial" w:hAnsi="Arial"/>
          <w:b w:val="0"/>
          <w:i w:val="0"/>
          <w:sz w:val="19"/>
        </w:rPr>
        <w:t xml:space="preserve">-Vorschau-Modus für das Flaggschiff-Modell </w:t>
      </w:r>
      <w:r>
        <w:rPr>
          <w:rFonts w:ascii="Arial" w:hAnsi="Arial"/>
          <w:b w:val="0"/>
          <w:i/>
          <w:sz w:val="19"/>
        </w:rPr>
        <w:t>GPT-5.6 Sol</w:t>
      </w:r>
      <w:r>
        <w:rPr>
          <w:rFonts w:ascii="Arial" w:hAnsi="Arial"/>
          <w:b w:val="0"/>
          <w:i w:val="0"/>
          <w:sz w:val="19"/>
        </w:rPr>
        <w:t xml:space="preserve"> angekündigt: Der Modus läuft auf </w:t>
      </w:r>
      <w:r>
        <w:rPr>
          <w:rFonts w:ascii="Arial" w:hAnsi="Arial"/>
          <w:b w:val="0"/>
          <w:i/>
          <w:sz w:val="19"/>
        </w:rPr>
        <w:t>Cerebras</w:t>
      </w:r>
      <w:r>
        <w:rPr>
          <w:rFonts w:ascii="Arial" w:hAnsi="Arial"/>
          <w:b w:val="0"/>
          <w:i w:val="0"/>
          <w:sz w:val="19"/>
        </w:rPr>
        <w:t xml:space="preserve">-Infrastruktur, erreicht nach Anbieter- und </w:t>
      </w:r>
      <w:r>
        <w:rPr>
          <w:rFonts w:ascii="Arial" w:hAnsi="Arial"/>
          <w:b w:val="0"/>
          <w:i/>
          <w:sz w:val="19"/>
        </w:rPr>
        <w:t>edenai</w:t>
      </w:r>
      <w:r>
        <w:rPr>
          <w:rFonts w:ascii="Arial" w:hAnsi="Arial"/>
          <w:b w:val="0"/>
          <w:i w:val="0"/>
          <w:sz w:val="19"/>
        </w:rPr>
        <w:t xml:space="preserve">-Berichterstattung bis zu 750 Ausgabe-Token pro Sekunde und rund die 14-fache Standard-Ausführungsgeschwindigkeit; die Preisstruktur der </w:t>
      </w:r>
      <w:r>
        <w:rPr>
          <w:rFonts w:ascii="Arial" w:hAnsi="Arial"/>
          <w:b w:val="0"/>
          <w:i/>
          <w:sz w:val="19"/>
        </w:rPr>
        <w:t>Sol</w:t>
      </w:r>
      <w:r>
        <w:rPr>
          <w:rFonts w:ascii="Arial" w:hAnsi="Arial"/>
          <w:b w:val="0"/>
          <w:i w:val="0"/>
          <w:sz w:val="19"/>
        </w:rPr>
        <w:t xml:space="preserve">-Zeile (5 US-Dollar Input, 30 US-Dollar Output je Million Token) bleibt in der Vorschau erhalten, die Kapazität ist auf einen ausgewählten Kundenkreis begrenzt. Für die in § 8.2 dokumentierte Auffächerung der Frontier-Ökonomik in eine deflationäre Workhorse-Klasse und eine knappheits-getriebene Spitzenklasse (Version 45.0) präzisiert die </w:t>
      </w:r>
      <w:r>
        <w:rPr>
          <w:rFonts w:ascii="Arial" w:hAnsi="Arial"/>
          <w:b w:val="0"/>
          <w:i/>
          <w:sz w:val="19"/>
        </w:rPr>
        <w:t>Ultrafast</w:t>
      </w:r>
      <w:r>
        <w:rPr>
          <w:rFonts w:ascii="Arial" w:hAnsi="Arial"/>
          <w:b w:val="0"/>
          <w:i w:val="0"/>
          <w:sz w:val="19"/>
        </w:rPr>
        <w:t xml:space="preserve">-Vorschau das Muster: Neben der reinen Token-Preis-Ebene entsteht eine separate </w:t>
      </w:r>
      <w:r>
        <w:rPr>
          <w:rFonts w:ascii="Arial" w:hAnsi="Arial"/>
          <w:b w:val="0"/>
          <w:i/>
          <w:sz w:val="19"/>
        </w:rPr>
        <w:t>Latenz-Prämie</w:t>
      </w:r>
      <w:r>
        <w:rPr>
          <w:rFonts w:ascii="Arial" w:hAnsi="Arial"/>
          <w:b w:val="0"/>
          <w:i w:val="0"/>
          <w:sz w:val="19"/>
        </w:rPr>
        <w:t xml:space="preserve">, mit der ein Frontier-Anbieter Kunden mit hoher Zeitsensitivität preislich ausdifferenzieren kann, ohne die Standard-Preisliste zu bewegen. Für die Zugriffslogik einer inländischen KI-Nutzungsabgabe (§ 8.3) folgt daraus, dass eine tokenpreis-basierte Bemessung — wie sie der </w:t>
      </w:r>
      <w:r>
        <w:rPr>
          <w:rFonts w:ascii="Arial" w:hAnsi="Arial"/>
          <w:b w:val="0"/>
          <w:i/>
          <w:sz w:val="19"/>
        </w:rPr>
        <w:t>AI Tax and Work Protection Act</w:t>
      </w:r>
      <w:r>
        <w:rPr>
          <w:rFonts w:ascii="Arial" w:hAnsi="Arial"/>
          <w:b w:val="0"/>
          <w:i w:val="0"/>
          <w:sz w:val="19"/>
        </w:rPr>
        <w:t xml:space="preserve"> (§ 4.5) auf US-Seite konzeptionell anlegt — von Zusatzdimensionen (Modellklasse, Latenzstufe, Werbe- versus Abonnement-Refinanzierung) begleitet sein müsste, um Umgehungspfade über nachgelagerte Refinanzierungsformen einzudämmen. Nachtrag zum 14. August 2026: An derselben Frontier-Modell-Achse hat </w:t>
      </w:r>
      <w:r>
        <w:rPr>
          <w:rFonts w:ascii="Arial" w:hAnsi="Arial"/>
          <w:b w:val="0"/>
          <w:i/>
          <w:sz w:val="19"/>
        </w:rPr>
        <w:t>Z.ai</w:t>
      </w:r>
      <w:r>
        <w:rPr>
          <w:rFonts w:ascii="Arial" w:hAnsi="Arial"/>
          <w:b w:val="0"/>
          <w:i w:val="0"/>
          <w:sz w:val="19"/>
        </w:rPr>
        <w:t xml:space="preserve"> (Beijing) am 14. August 2026 nach eigener Freigabemitteilung und übereinstimmender Berichterstattung von </w:t>
      </w:r>
      <w:r>
        <w:rPr>
          <w:rFonts w:ascii="Arial" w:hAnsi="Arial"/>
          <w:b w:val="0"/>
          <w:i/>
          <w:sz w:val="19"/>
        </w:rPr>
        <w:t>Unite.AI</w:t>
      </w:r>
      <w:r>
        <w:rPr>
          <w:rFonts w:ascii="Arial" w:hAnsi="Arial"/>
          <w:b w:val="0"/>
          <w:i w:val="0"/>
          <w:sz w:val="19"/>
        </w:rPr>
        <w:t xml:space="preserve">, </w:t>
      </w:r>
      <w:r>
        <w:rPr>
          <w:rFonts w:ascii="Arial" w:hAnsi="Arial"/>
          <w:b w:val="0"/>
          <w:i/>
          <w:sz w:val="19"/>
        </w:rPr>
        <w:t>Decrypt</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w:t>
      </w:r>
      <w:r>
        <w:rPr>
          <w:rFonts w:ascii="Arial" w:hAnsi="Arial"/>
          <w:b w:val="0"/>
          <w:i/>
          <w:sz w:val="19"/>
        </w:rPr>
        <w:t>fello.ai</w:t>
      </w:r>
      <w:r>
        <w:rPr>
          <w:rFonts w:ascii="Arial" w:hAnsi="Arial"/>
          <w:b w:val="0"/>
          <w:i w:val="0"/>
          <w:sz w:val="19"/>
        </w:rPr>
        <w:t xml:space="preserve"> und </w:t>
      </w:r>
      <w:r>
        <w:rPr>
          <w:rFonts w:ascii="Arial" w:hAnsi="Arial"/>
          <w:b w:val="0"/>
          <w:i/>
          <w:sz w:val="19"/>
        </w:rPr>
        <w:t>The Agent Report</w:t>
      </w:r>
      <w:r>
        <w:rPr>
          <w:rFonts w:ascii="Arial" w:hAnsi="Arial"/>
          <w:b w:val="0"/>
          <w:i w:val="0"/>
          <w:sz w:val="19"/>
        </w:rPr>
        <w:t xml:space="preserve"> mit </w:t>
      </w:r>
      <w:r>
        <w:rPr>
          <w:rFonts w:ascii="Arial" w:hAnsi="Arial"/>
          <w:b w:val="0"/>
          <w:i/>
          <w:sz w:val="19"/>
        </w:rPr>
        <w:t>GLM-5.3</w:t>
      </w:r>
      <w:r>
        <w:rPr>
          <w:rFonts w:ascii="Arial" w:hAnsi="Arial"/>
          <w:b w:val="0"/>
          <w:i w:val="0"/>
          <w:sz w:val="19"/>
        </w:rPr>
        <w:t xml:space="preserve"> die nächste Iteration seines im Juli 2026 als </w:t>
      </w:r>
      <w:r>
        <w:rPr>
          <w:rFonts w:ascii="Arial" w:hAnsi="Arial"/>
          <w:b w:val="0"/>
          <w:i/>
          <w:sz w:val="19"/>
        </w:rPr>
        <w:t>GLM-5.2</w:t>
      </w:r>
      <w:r>
        <w:rPr>
          <w:rFonts w:ascii="Arial" w:hAnsi="Arial"/>
          <w:b w:val="0"/>
          <w:i w:val="0"/>
          <w:sz w:val="19"/>
        </w:rPr>
        <w:t xml:space="preserve"> freigegebenen 744-Milliarden-Parameter-Basismodells vorgestellt. Der Vorgang ist dreifach instruktiv. Erstens: </w:t>
      </w:r>
      <w:r>
        <w:rPr>
          <w:rFonts w:ascii="Arial" w:hAnsi="Arial"/>
          <w:b w:val="0"/>
          <w:i/>
          <w:sz w:val="19"/>
        </w:rPr>
        <w:t>GLM-5.3</w:t>
      </w:r>
      <w:r>
        <w:rPr>
          <w:rFonts w:ascii="Arial" w:hAnsi="Arial"/>
          <w:b w:val="0"/>
          <w:i w:val="0"/>
          <w:sz w:val="19"/>
        </w:rPr>
        <w:t xml:space="preserve"> teilt das Basismodell mit </w:t>
      </w:r>
      <w:r>
        <w:rPr>
          <w:rFonts w:ascii="Arial" w:hAnsi="Arial"/>
          <w:b w:val="0"/>
          <w:i/>
          <w:sz w:val="19"/>
        </w:rPr>
        <w:t>GLM-5.2</w:t>
      </w:r>
      <w:r>
        <w:rPr>
          <w:rFonts w:ascii="Arial" w:hAnsi="Arial"/>
          <w:b w:val="0"/>
          <w:i w:val="0"/>
          <w:sz w:val="19"/>
        </w:rPr>
        <w:t xml:space="preserve">; die berichteten Fortschritte (rund 50 % Verbesserung auf der anbietereigenen </w:t>
      </w:r>
      <w:r>
        <w:rPr>
          <w:rFonts w:ascii="Arial" w:hAnsi="Arial"/>
          <w:b w:val="0"/>
          <w:i/>
          <w:sz w:val="19"/>
        </w:rPr>
        <w:t>Z.ai Code Bench</w:t>
      </w:r>
      <w:r>
        <w:rPr>
          <w:rFonts w:ascii="Arial" w:hAnsi="Arial"/>
          <w:b w:val="0"/>
          <w:i w:val="0"/>
          <w:sz w:val="19"/>
        </w:rPr>
        <w:t xml:space="preserve">, 34,5 % gegenüber 23,4 %) sind nach Anbieterangaben ausschließlich Ergebnis skalierter </w:t>
      </w:r>
      <w:r>
        <w:rPr>
          <w:rFonts w:ascii="Arial" w:hAnsi="Arial"/>
          <w:b w:val="0"/>
          <w:i/>
          <w:sz w:val="19"/>
        </w:rPr>
        <w:t>Nach</w:t>
      </w:r>
      <w:r>
        <w:rPr>
          <w:rFonts w:ascii="Arial" w:hAnsi="Arial"/>
          <w:b w:val="0"/>
          <w:i w:val="0"/>
          <w:sz w:val="19"/>
        </w:rPr>
        <w:t>-Trainings-Verfahren (Konjunktivpflicht nach § 4.2 Claude.md, da unabhängige Nachprüfung aussteht). Zweitens: Auf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bleibt </w:t>
      </w:r>
      <w:r>
        <w:rPr>
          <w:rFonts w:ascii="Arial" w:hAnsi="Arial"/>
          <w:b w:val="0"/>
          <w:i/>
          <w:sz w:val="19"/>
        </w:rPr>
        <w:t>GLM-5.3</w:t>
      </w:r>
      <w:r>
        <w:rPr>
          <w:rFonts w:ascii="Arial" w:hAnsi="Arial"/>
          <w:b w:val="0"/>
          <w:i w:val="0"/>
          <w:sz w:val="19"/>
        </w:rPr>
        <w:t xml:space="preserve"> nach </w:t>
      </w:r>
      <w:r>
        <w:rPr>
          <w:rFonts w:ascii="Arial" w:hAnsi="Arial"/>
          <w:b w:val="0"/>
          <w:i/>
          <w:sz w:val="19"/>
        </w:rPr>
        <w:t>Decrypt</w:t>
      </w:r>
      <w:r>
        <w:rPr>
          <w:rFonts w:ascii="Arial" w:hAnsi="Arial"/>
          <w:b w:val="0"/>
          <w:i w:val="0"/>
          <w:sz w:val="19"/>
        </w:rPr>
        <w:t xml:space="preserve">- und </w:t>
      </w:r>
      <w:r>
        <w:rPr>
          <w:rFonts w:ascii="Arial" w:hAnsi="Arial"/>
          <w:b w:val="0"/>
          <w:i/>
          <w:sz w:val="19"/>
        </w:rPr>
        <w:t>Unite.AI</w:t>
      </w:r>
      <w:r>
        <w:rPr>
          <w:rFonts w:ascii="Arial" w:hAnsi="Arial"/>
          <w:b w:val="0"/>
          <w:i w:val="0"/>
          <w:sz w:val="19"/>
        </w:rPr>
        <w:t xml:space="preserve">-Berichterstattung hinter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zurück (Fable 5: 39,5 %; </w:t>
      </w:r>
      <w:r>
        <w:rPr>
          <w:rFonts w:ascii="Arial" w:hAnsi="Arial"/>
          <w:b w:val="0"/>
          <w:i/>
          <w:sz w:val="19"/>
        </w:rPr>
        <w:t>SWE-Bench Verified</w:t>
      </w:r>
      <w:r>
        <w:rPr>
          <w:rFonts w:ascii="Arial" w:hAnsi="Arial"/>
          <w:b w:val="0"/>
          <w:i w:val="0"/>
          <w:sz w:val="19"/>
        </w:rPr>
        <w:t xml:space="preserve"> Kimi K3 67,5, Fable 5 69,7, GLM-5.3 66,9); zugleich liegt die </w:t>
      </w:r>
      <w:r>
        <w:rPr>
          <w:rFonts w:ascii="Arial" w:hAnsi="Arial"/>
          <w:b w:val="0"/>
          <w:i/>
          <w:sz w:val="19"/>
        </w:rPr>
        <w:t>GLM-5.2</w:t>
      </w:r>
      <w:r>
        <w:rPr>
          <w:rFonts w:ascii="Arial" w:hAnsi="Arial"/>
          <w:b w:val="0"/>
          <w:i w:val="0"/>
          <w:sz w:val="19"/>
        </w:rPr>
        <w:t xml:space="preserve">-API-Preisstruktur (rund 1,40 US-Dollar Input und 4,40 US-Dollar Output je Million Token nach </w:t>
      </w:r>
      <w:r>
        <w:rPr>
          <w:rFonts w:ascii="Arial" w:hAnsi="Arial"/>
          <w:b w:val="0"/>
          <w:i/>
          <w:sz w:val="19"/>
        </w:rPr>
        <w:t>Decrypt</w:t>
      </w:r>
      <w:r>
        <w:rPr>
          <w:rFonts w:ascii="Arial" w:hAnsi="Arial"/>
          <w:b w:val="0"/>
          <w:i w:val="0"/>
          <w:sz w:val="19"/>
        </w:rPr>
        <w:t xml:space="preserve">) etwa eine Größenordnung unter der US-Frontier-Preisliste. Drittens: </w:t>
      </w:r>
      <w:r>
        <w:rPr>
          <w:rFonts w:ascii="Arial" w:hAnsi="Arial"/>
          <w:b w:val="0"/>
          <w:i/>
          <w:sz w:val="19"/>
        </w:rPr>
        <w:t>Z.ai</w:t>
      </w:r>
      <w:r>
        <w:rPr>
          <w:rFonts w:ascii="Arial" w:hAnsi="Arial"/>
          <w:b w:val="0"/>
          <w:i w:val="0"/>
          <w:sz w:val="19"/>
        </w:rPr>
        <w:t xml:space="preserve"> hat die </w:t>
      </w:r>
      <w:r>
        <w:rPr>
          <w:rFonts w:ascii="Arial" w:hAnsi="Arial"/>
          <w:b w:val="0"/>
          <w:i/>
          <w:sz w:val="19"/>
        </w:rPr>
        <w:t>Open-Weight</w:t>
      </w:r>
      <w:r>
        <w:rPr>
          <w:rFonts w:ascii="Arial" w:hAnsi="Arial"/>
          <w:b w:val="0"/>
          <w:i w:val="0"/>
          <w:sz w:val="19"/>
        </w:rPr>
        <w:t xml:space="preserve">-Freigabe der Gewichte zunächst zurückgehalten und für rund zwei Wochen nach </w:t>
      </w:r>
      <w:r>
        <w:rPr>
          <w:rFonts w:ascii="Arial" w:hAnsi="Arial"/>
          <w:b w:val="0"/>
          <w:i/>
          <w:sz w:val="19"/>
        </w:rPr>
        <w:t>Sicherheits­evaluation und Härtung</w:t>
      </w:r>
      <w:r>
        <w:rPr>
          <w:rFonts w:ascii="Arial" w:hAnsi="Arial"/>
          <w:b w:val="0"/>
          <w:i w:val="0"/>
          <w:sz w:val="19"/>
        </w:rPr>
        <w:t xml:space="preserve"> angekündigt — eine deutliche Abweichung von der </w:t>
      </w:r>
      <w:r>
        <w:rPr>
          <w:rFonts w:ascii="Arial" w:hAnsi="Arial"/>
          <w:b w:val="0"/>
          <w:i/>
          <w:sz w:val="19"/>
        </w:rPr>
        <w:t>GLM-5.2</w:t>
      </w:r>
      <w:r>
        <w:rPr>
          <w:rFonts w:ascii="Arial" w:hAnsi="Arial"/>
          <w:b w:val="0"/>
          <w:i w:val="0"/>
          <w:sz w:val="19"/>
        </w:rPr>
        <w:t xml:space="preserve">-Praxis (Veröffentlichung auf </w:t>
      </w:r>
      <w:r>
        <w:rPr>
          <w:rFonts w:ascii="Arial" w:hAnsi="Arial"/>
          <w:b w:val="0"/>
          <w:i/>
          <w:sz w:val="19"/>
        </w:rPr>
        <w:t>Hugging Face</w:t>
      </w:r>
      <w:r>
        <w:rPr>
          <w:rFonts w:ascii="Arial" w:hAnsi="Arial"/>
          <w:b w:val="0"/>
          <w:i w:val="0"/>
          <w:sz w:val="19"/>
        </w:rPr>
        <w:t xml:space="preserve"> unter </w:t>
      </w:r>
      <w:r>
        <w:rPr>
          <w:rFonts w:ascii="Arial" w:hAnsi="Arial"/>
          <w:b w:val="0"/>
          <w:i/>
          <w:sz w:val="19"/>
        </w:rPr>
        <w:t>MIT</w:t>
      </w:r>
      <w:r>
        <w:rPr>
          <w:rFonts w:ascii="Arial" w:hAnsi="Arial"/>
          <w:b w:val="0"/>
          <w:i w:val="0"/>
          <w:sz w:val="19"/>
        </w:rPr>
        <w:t>-Lizenz binnen weniger Tage) und ein struktureller Parallelbefund zur bereits in § 4.5 dokumentierten US-</w:t>
      </w:r>
      <w:r>
        <w:rPr>
          <w:rFonts w:ascii="Arial" w:hAnsi="Arial"/>
          <w:b w:val="0"/>
          <w:i/>
          <w:sz w:val="19"/>
        </w:rPr>
        <w:t>Vor-Freigabe-Praxis</w:t>
      </w:r>
      <w:r>
        <w:rPr>
          <w:rFonts w:ascii="Arial" w:hAnsi="Arial"/>
          <w:b w:val="0"/>
          <w:i w:val="0"/>
          <w:sz w:val="19"/>
        </w:rPr>
        <w:t xml:space="preserve">. Als Emergenz-Beobachtung berichtet </w:t>
      </w:r>
      <w:r>
        <w:rPr>
          <w:rFonts w:ascii="Arial" w:hAnsi="Arial"/>
          <w:b w:val="0"/>
          <w:i/>
          <w:sz w:val="19"/>
        </w:rPr>
        <w:t>Z.ai</w:t>
      </w:r>
      <w:r>
        <w:rPr>
          <w:rFonts w:ascii="Arial" w:hAnsi="Arial"/>
          <w:b w:val="0"/>
          <w:i w:val="0"/>
          <w:sz w:val="19"/>
        </w:rPr>
        <w:t xml:space="preserve"> zusätzlich eine im Trainingsverlauf nicht geplante </w:t>
      </w:r>
      <w:r>
        <w:rPr>
          <w:rFonts w:ascii="Arial" w:hAnsi="Arial"/>
          <w:b w:val="0"/>
          <w:i/>
          <w:sz w:val="19"/>
        </w:rPr>
        <w:t>Cybersicherheits</w:t>
      </w:r>
      <w:r>
        <w:rPr>
          <w:rFonts w:ascii="Arial" w:hAnsi="Arial"/>
          <w:b w:val="0"/>
          <w:i w:val="0"/>
          <w:sz w:val="19"/>
        </w:rPr>
        <w:t>-Fähigkeit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samt Identifikation von 2.436 Schwachstellen (davon 1.097 als kritisch klassifiziert)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(Konjunktivpflicht nach § 4.2 Claude.md, da die Verifikationskette bislang anbieterseitig läuft). Für die in § 8.2 entwickelte Rohstoff-Analogie fügt der Vorgang der bereits dokumentierten Konvergenz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xml:space="preserve">) einen weiteren Datenpunkt hinzu und präzisiert das Muster: Die </w:t>
      </w:r>
      <w:r>
        <w:rPr>
          <w:rFonts w:ascii="Arial" w:hAnsi="Arial"/>
          <w:b w:val="0"/>
          <w:i/>
          <w:sz w:val="19"/>
        </w:rPr>
        <w:t>Open-Weight</w:t>
      </w:r>
      <w:r>
        <w:rPr>
          <w:rFonts w:ascii="Arial" w:hAnsi="Arial"/>
          <w:b w:val="0"/>
          <w:i w:val="0"/>
          <w:sz w:val="19"/>
        </w:rPr>
        <w:t xml:space="preserve">-Freigabe wird nunmehr auch bei chinesischen Anbietern von einer sicherheitsbezogenen Zurückhaltungsphase begleitet, während die reine Wettbewerbsdynamik an der Anwendungsebene (Coding, Agent-Ausführung, Cybersicherheits-Reasoning) und die Preisdifferenz zwischen chinesischen und US-Frontier-Modellen fortbestehen. Für die Zugriffslogik einer inländischen KI-Nutzungsabgabe (§ 8.3) folgt daraus, dass die Bemessungsbasis zunehmend nicht mehr über die Modellfreigabe, sondern erst über die </w:t>
      </w:r>
      <w:r>
        <w:rPr>
          <w:rFonts w:ascii="Arial" w:hAnsi="Arial"/>
          <w:b w:val="0"/>
          <w:i/>
          <w:sz w:val="19"/>
        </w:rPr>
        <w:t>inländische Ausführung</w:t>
      </w:r>
      <w:r>
        <w:rPr>
          <w:rFonts w:ascii="Arial" w:hAnsi="Arial"/>
          <w:b w:val="0"/>
          <w:i w:val="0"/>
          <w:sz w:val="19"/>
        </w:rPr>
        <w:t xml:space="preserve"> eines nachgelagerten Anwendungs- oder Sicherheits-Stacks bestimmbar wird.</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Lee, H.-m. (이해민, </w:t>
      </w:r>
      <w:r>
        <w:rPr>
          <w:rFonts w:ascii="Arial" w:hAnsi="Arial"/>
          <w:b w:val="0"/>
          <w:i/>
          <w:sz w:val="19"/>
        </w:rPr>
        <w:t>Rebuilding Korea Party</w:t>
      </w:r>
      <w:r>
        <w:rPr>
          <w:rFonts w:ascii="Arial" w:hAnsi="Arial"/>
          <w:b w:val="0"/>
          <w:i w:val="0"/>
          <w:sz w:val="19"/>
        </w:rPr>
        <w:t xml:space="preserve"> / 조국혁신당) &amp; Lee, J.-h. (이주희, </w:t>
      </w:r>
      <w:r>
        <w:rPr>
          <w:rFonts w:ascii="Arial" w:hAnsi="Arial"/>
          <w:b w:val="0"/>
          <w:i/>
          <w:sz w:val="19"/>
        </w:rPr>
        <w:t>Democratic Party of Korea</w:t>
      </w:r>
      <w:r>
        <w:rPr>
          <w:rFonts w:ascii="Arial" w:hAnsi="Arial"/>
          <w:b w:val="0"/>
          <w:i w:val="0"/>
          <w:sz w:val="19"/>
        </w:rPr>
        <w:t xml:space="preserve"> / 더불어민주당) / National Assembly of the Republic of Korea / edaily / ZDNet Korea / bloter / 디지털데일리 / TechTimes. (14. August 2026). </w:t>
      </w:r>
      <w:r>
        <w:rPr>
          <w:rFonts w:ascii="Arial" w:hAnsi="Arial"/>
          <w:b w:val="0"/>
          <w:i/>
          <w:sz w:val="19"/>
        </w:rPr>
        <w:t>AI 전환 대응을 위한 기본사회법안 / 국가재정법 일부개정법률안 / 부담금 관리 기본법 일부개정법률안 — AI Transition Response Basic Society Act and companion amendments.</w:t>
      </w:r>
      <w:r>
        <w:rPr>
          <w:rFonts w:ascii="Arial" w:hAnsi="Arial"/>
          <w:b w:val="0"/>
          <w:i w:val="0"/>
          <w:sz w:val="19"/>
        </w:rPr>
        <w:t xml:space="preserve"> Drei-Gesetzes-Paket, das den erstmaligen </w:t>
      </w:r>
      <w:r>
        <w:rPr>
          <w:rFonts w:ascii="Arial" w:hAnsi="Arial"/>
          <w:b w:val="0"/>
          <w:i/>
          <w:sz w:val="19"/>
        </w:rPr>
        <w:t>AI Transition Response Contribution</w:t>
      </w:r>
      <w:r>
        <w:rPr>
          <w:rFonts w:ascii="Arial" w:hAnsi="Arial"/>
          <w:b w:val="0"/>
          <w:i w:val="0"/>
          <w:sz w:val="19"/>
        </w:rPr>
        <w:t xml:space="preserve"> („AI 전환 대응 분담금") einführt: Erhebung auf Arbeitgeber, deren KI- und Automatisierungseinsatz eine wesentliche substituierende Wirkung auf Beschäftigung oder Aufgabenzuschnitt entfaltet, mit dem Auslöseschwellenwert nach präsidialer Durchführungsverordnung; Aufkommen fließt in einen neu eingerichteten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mit Zweckbindung auf Umschulung, Kompetenzentwicklung, Vermittlung in neue Beschäftigung und Mindest­einkommens­absicherung; Ermäßigungen bzw. Befreiungen für Arbeitgeber, die Beschäftigung sichern oder ausweiten, sowie für belastungsbegrenzte Betriebe. Erste nationale Gesetzgebung, die eine KI-Verdrängungs­abgabe an die </w:t>
      </w:r>
      <w:r>
        <w:rPr>
          <w:rFonts w:ascii="Arial" w:hAnsi="Arial"/>
          <w:b w:val="0"/>
          <w:i/>
          <w:sz w:val="19"/>
        </w:rPr>
        <w:t>Deployer-Ebene</w:t>
      </w:r>
      <w:r>
        <w:rPr>
          <w:rFonts w:ascii="Arial" w:hAnsi="Arial"/>
          <w:b w:val="0"/>
          <w:i w:val="0"/>
          <w:sz w:val="19"/>
        </w:rPr>
        <w:t xml:space="preserve"> (Personalentscheidung des Arbeitgebers) statt an Umsatz, Token-Absatz, Modellvertrieb oder Rechenzentrums-Verbrauch der Anbieterseite koppelt; als aufkommenserzeugendes Gegenstück zur nur elf Tage früher vorgelegten MOEF-</w:t>
      </w:r>
      <w:r>
        <w:rPr>
          <w:rFonts w:ascii="Arial" w:hAnsi="Arial"/>
          <w:b w:val="0"/>
          <w:i/>
          <w:sz w:val="19"/>
        </w:rPr>
        <w:t>Domestic Production Tax Credit</w:t>
      </w:r>
      <w:r>
        <w:rPr>
          <w:rFonts w:ascii="Arial" w:hAnsi="Arial"/>
          <w:b w:val="0"/>
          <w:i w:val="0"/>
          <w:sz w:val="19"/>
        </w:rPr>
        <w:t xml:space="preserve"> strukturell komplementär. Aufnahme in § 6.1 als Aktualisierung mit Rückwirkung auf § 4.5 (Deployer-Kausalattribution wie H.R. 10044, aber ohne Anbieter-Excise), § 5.1 (funktional analoge Zweckbindung zur Wertschöpfungsabgabe-Debatte), § 8.3 (Teilhabefonds-Vergleichspunkt) und § 9.1 (Kausalattribution im Verwaltungsvollzug). https://zdnet.co.kr/view/?no=20260814171346 | https://www.bloter.net/news/articleView.html?idxno=671021 | https://www.ddaily.co.kr/page/view/2026081417121671193 | https://edaily.co.kr/News/Read?mediaCodeNo=257&amp;newsId=05366086645547320 | https://newsfn.co.kr/View.aspx?No=4188077 | https://www.techtimes.com/articles/324577/20260815/south-korea-bills-make-employers-pay-when-ai-cuts-jobs-not-ai-vendors.htm</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val="0"/>
          <w:i w:val="0"/>
          <w:sz w:val="19"/>
        </w:rPr>
        <w:t xml:space="preserve">Casar, G., Foushee, V. &amp; Jacobs, S. / US House of Representatives / Quiver Quantitative / MLex / CBS Austin / Common Dreams / New Republic / Reason / Nextgov/FCW / Yournews / BirdsAdvice / Texas Politics / American Immigration Council. (7. August 2026). </w:t>
      </w:r>
      <w:r>
        <w:rPr>
          <w:rFonts w:ascii="Arial" w:hAnsi="Arial"/>
          <w:b w:val="0"/>
          <w:i/>
          <w:sz w:val="19"/>
        </w:rPr>
        <w:t>NEWS: Casar Leads Introduction of New Bill To Protect Workers From Threat of AI Mass Unemployment / US House Democrats introduce bill to tax AI companies, offset layoffs / Casar introduces bill to tax AI companies, create jobs amid layoff fears / Press Release: Greg Casar, Valerie Foushee and Sara Jacobs Introduce Bill to Tax AI Companies and Fund Jobs / 'As Toxic as AIPAC': Casar Urges Dems to Reject AI Industry Money and Protect Workers / Protecting Workers From AI Is Easier Said Than Done / Democrats' AI bill would tax companies to fund a jobs program / Tech Bills of the Week: Deterring AI distillation; Taxing AI developers; and more / House Democrats Propose Taxing Major AI Companies to Fund Jobs for Displaced Workers / New Democratic Plan Would Tax AI to Offset Job Losses / Greg Casar Targets AI Profits With New Worker Protection Bill / Casar introduces bill to tax AI companies, create jobs amid layoff fears</w:t>
      </w:r>
      <w:r>
        <w:rPr>
          <w:rFonts w:ascii="Arial" w:hAnsi="Arial"/>
          <w:b w:val="0"/>
          <w:i w:val="0"/>
          <w:sz w:val="19"/>
        </w:rPr>
        <w:t xml:space="preserve">. Am 7. August 2026 im US-Repräsentantenhaus eingebrachter </w:t>
      </w:r>
      <w:r>
        <w:rPr>
          <w:rFonts w:ascii="Arial" w:hAnsi="Arial"/>
          <w:b w:val="0"/>
          <w:i/>
          <w:sz w:val="19"/>
        </w:rPr>
        <w:t>AI Tax and Work Protection Act</w:t>
      </w:r>
      <w:r>
        <w:rPr>
          <w:rFonts w:ascii="Arial" w:hAnsi="Arial"/>
          <w:b w:val="0"/>
          <w:i w:val="0"/>
          <w:sz w:val="19"/>
        </w:rPr>
        <w:t xml:space="preserve"> (Federführung Greg Casar D-TX, mit Valerie Foushee D-NC und Sara Jacobs D-CA); Steueraufkommen alternativ am Token-Verkaufspreis oder am Produktumsatz der KI-Angebote (jeweils der höhere Wert) bemessen, bei </w:t>
      </w:r>
      <w:r>
        <w:rPr>
          <w:rFonts w:ascii="Arial" w:hAnsi="Arial"/>
          <w:b w:val="0"/>
          <w:i/>
          <w:sz w:val="19"/>
        </w:rPr>
        <w:t>Open-Weight</w:t>
      </w:r>
      <w:r>
        <w:rPr>
          <w:rFonts w:ascii="Arial" w:hAnsi="Arial"/>
          <w:b w:val="0"/>
          <w:i w:val="0"/>
          <w:sz w:val="19"/>
        </w:rPr>
        <w:t xml:space="preserve">-Modellen auf der Einsatzebene bei Personalkosten-Reduktion greifend; unemployment-elastischer Tarif mit Anhebung bei US-Arbeitslosenquote über 5 Prozent; Aufkommen vollständig in eine neu zu errichtende </w:t>
      </w:r>
      <w:r>
        <w:rPr>
          <w:rFonts w:ascii="Arial" w:hAnsi="Arial"/>
          <w:b w:val="0"/>
          <w:i/>
          <w:sz w:val="19"/>
        </w:rPr>
        <w:t>Work Protection Administration</w:t>
      </w:r>
      <w:r>
        <w:rPr>
          <w:rFonts w:ascii="Arial" w:hAnsi="Arial"/>
          <w:b w:val="0"/>
          <w:i w:val="0"/>
          <w:sz w:val="19"/>
        </w:rPr>
        <w:t xml:space="preserve"> (WPA) nach dem Vorbild der New-Deal-</w:t>
      </w:r>
      <w:r>
        <w:rPr>
          <w:rFonts w:ascii="Arial" w:hAnsi="Arial"/>
          <w:b w:val="0"/>
          <w:i/>
          <w:sz w:val="19"/>
        </w:rPr>
        <w:t>Works Progress Administration</w:t>
      </w:r>
      <w:r>
        <w:rPr>
          <w:rFonts w:ascii="Arial" w:hAnsi="Arial"/>
          <w:b w:val="0"/>
          <w:i w:val="0"/>
          <w:sz w:val="19"/>
        </w:rPr>
        <w:t xml:space="preserve">; tragende Verbände AFT, AFSCME, Groundwork Action, Demand Progress Action. Aufnahme in § 4.5 als dritte US-Kongress-Fiskal-Initiative mit unmittelbarem Bezug zur Verdrängung menschlicher Arbeit neben </w:t>
      </w:r>
      <w:r>
        <w:rPr>
          <w:rFonts w:ascii="Arial" w:hAnsi="Arial"/>
          <w:b w:val="0"/>
          <w:i/>
          <w:sz w:val="19"/>
        </w:rPr>
        <w:t>Sanders</w:t>
      </w:r>
      <w:r>
        <w:rPr>
          <w:rFonts w:ascii="Arial" w:hAnsi="Arial"/>
          <w:b w:val="0"/>
          <w:i w:val="0"/>
          <w:sz w:val="19"/>
        </w:rPr>
        <w:t xml:space="preserve">-Robotersteuer (Oktober 2025) und </w:t>
      </w:r>
      <w:r>
        <w:rPr>
          <w:rFonts w:ascii="Arial" w:hAnsi="Arial"/>
          <w:b w:val="0"/>
          <w:i/>
          <w:sz w:val="19"/>
        </w:rPr>
        <w:t>American A.I. Sovereign Wealth Fund Act</w:t>
      </w:r>
      <w:r>
        <w:rPr>
          <w:rFonts w:ascii="Arial" w:hAnsi="Arial"/>
          <w:b w:val="0"/>
          <w:i w:val="0"/>
          <w:sz w:val="19"/>
        </w:rPr>
        <w:t xml:space="preserve"> (18. Juni 2026). https://casar.house.gov/media/press-releases/news-casar-leads-introduction-new-bill-protect-workers-threat-ai-mass | https://www.mlex.com/mlex/artificial-intelligence/articles/2510800 | https://cbsaustin.com/news/local/casar-introduces-bill-to-tax-ai-companies-create-jobs-amid-layoff-fears | https://www.commondreams.org/news/ai-political-spending | https://newrepublic.com/post/214100/greg-casar-ai-workers | https://reason.com/2026/08/07/democrats-want-to-tax-ai-companies-for-job-losses-that-havent-happened/ | https://www.nextgov.com/policy/2026/08/tech-bills-week-deterring-ai-distillation-taxing-ai-developers-and-more/415287/ | https://yournews.com/2026/08/06/7146587/house-democrats-propose-taxing-major-ai-companies-to-fund-jobs/ | https://texaspolitics.com/2026/08/07/hold-casars-new-bill-to-protect-american-workers-from-mass-unemployment-caused-by-ai/ | https://www.quiverquant.com/news/Press+Release:+Greg+Casar,+Valerie+Foushee+and+Sara+Jacobs+Introduce+Bill+to+Tax+AI+Companies+and+Fund+Jobs</w:t>
      </w:r>
    </w:p>
    <w:p>
      <w:pPr>
        <w:jc w:val="both"/>
      </w:pPr>
      <w:r>
        <w:rPr>
          <w:rFonts w:ascii="Arial" w:hAnsi="Arial"/>
          <w:b w:val="0"/>
          <w:i w:val="0"/>
          <w:sz w:val="19"/>
        </w:rPr>
        <w:t xml:space="preserve">Rapid7, Inc. / Boston Globe / SiliconAngle / HR Katha / TheHRDigest / Pulse2 / NBC Boston / StreetInsider / Dealroom. (7./10. August 2026). </w:t>
      </w:r>
      <w:r>
        <w:rPr>
          <w:rFonts w:ascii="Arial" w:hAnsi="Arial"/>
          <w:b w:val="0"/>
          <w:i/>
          <w:sz w:val="19"/>
        </w:rPr>
        <w:t>Rapid7 to cut 12 % of workforce in restructuring plan / Rapid7 layoffs: Boston cybersecurity firm cuts 300 jobs / Rapid7 beats estimates, raises profit outlook and cuts 12 % of staff / Rapid7 cuts 12 % of workforce as it shifts towards AI-first cybersecurity / Rapid7 Cuts 12 % Of Workforce As It Shifts Resources Toward AI-First Cybersecurity Platform / Rapid7 cuts 12 % of staff under new CEO / Rapid7 targets 20 % operating margin as it cuts 12 % of workforce in strategic reset</w:t>
      </w:r>
      <w:r>
        <w:rPr>
          <w:rFonts w:ascii="Arial" w:hAnsi="Arial"/>
          <w:b w:val="0"/>
          <w:i w:val="0"/>
          <w:sz w:val="19"/>
        </w:rPr>
        <w:t xml:space="preserve">. Am 7. August 2026 vom Board beschlossene, am 10. August 2026 mit dem Q2-Ergebnisbericht angekündigte Restrukturierung: rund 310 Stellenstreichungen (12 Prozent von rund 2.600 Beschäftigten); Q2-Umsatz 210,9 Millionen US-Dollar (−1,5 Prozent im Jahresvergleich); Restrukturierungsaufwand 10 bis 11 Millionen US-Dollar überwiegend in Q3/Q4 2026; neuer CEO Wael Mohamed richtet den Konzern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aus; die Presse-Berichterstattung ordnet den Schritt als Umstellung auf eine </w:t>
      </w:r>
      <w:r>
        <w:rPr>
          <w:rFonts w:ascii="Arial" w:hAnsi="Arial"/>
          <w:b w:val="0"/>
          <w:i/>
          <w:sz w:val="19"/>
        </w:rPr>
        <w:t>AI-first cybersecurity platform</w:t>
      </w:r>
      <w:r>
        <w:rPr>
          <w:rFonts w:ascii="Arial" w:hAnsi="Arial"/>
          <w:b w:val="0"/>
          <w:i w:val="0"/>
          <w:sz w:val="19"/>
        </w:rPr>
        <w:t>-Strategie ein. Aufnahme in § 1.1 als weiterer Datenpunkt zur laufenden AI-attribuierten Restrukturierungswelle. https://www.bostonglobe.com/2026/08/10/business/rapid7-layoffs/ | https://siliconangle.com/2026/08/10/rapid7-beats-estimates-raises-profit-outlook-cuts-12-staff/ | https://www.hrkatha.com/news/rapid7-cuts-12-of-workforce-as-it-shifts-towards-ai-first-cybersecurity/ | https://www.thehrdigest.com/cisco-layoffs-set-to-affect-4000-roles-as-ai-redefines-operations/ | https://pulse2.com/rapid7-cuts-12-of-workforce-as-it-shifts-resources-toward-ai-first-cybersecurity-platform/ | https://www.nbcboston.com/boston-business-journal/massachusetts-cybersecurity-firm-cuts-12-of-staff-under-new-ceo/3995253/ | https://www.streetinsider.com/Corporate+News/Rapid7+to+cut+12%25+of+workforce+in+restructuring+plan/26897984.html | https://app.dealroom.co/news/feed/rapid7-targets-20-operating-margin-as-it-cuts-12-of-workforce-in-strategic-reset</w:t>
      </w:r>
    </w:p>
    <w:p>
      <w:pPr>
        <w:jc w:val="both"/>
      </w:pPr>
      <w:r>
        <w:rPr>
          <w:rFonts w:ascii="Arial" w:hAnsi="Arial"/>
          <w:b w:val="0"/>
          <w:i w:val="0"/>
          <w:sz w:val="19"/>
        </w:rPr>
        <w:t xml:space="preserve">Oracle Corporation / TheNextWeb / Yahoo Finance / NAI 500 / Business Insider / Forbes / CNBC. (13. August 2026, mit Bezug auf Bilanz FY2026 zum 31. Mai 2026). </w:t>
      </w:r>
      <w:r>
        <w:rPr>
          <w:rFonts w:ascii="Arial" w:hAnsi="Arial"/>
          <w:b w:val="0"/>
          <w:i/>
          <w:sz w:val="19"/>
        </w:rPr>
        <w:t>Oracle plans fresh August layoffs as its AI spending spree bites / Oracle planning new round of layoffs in August 2026 / Oracle Deepens AI Expansion Pains With New Cuts After 21,000 Layoffs in One Year</w:t>
      </w:r>
      <w:r>
        <w:rPr>
          <w:rFonts w:ascii="Arial" w:hAnsi="Arial"/>
          <w:b w:val="0"/>
          <w:i w:val="0"/>
          <w:sz w:val="19"/>
        </w:rPr>
        <w:t>. Angekündigte weitere Layoff-Runde im August 2026 vor Beginn des zweiten Geschäftsquartals am 1. September 2026 mit zweistelligen Prozentreduktionen in einzelnen Bereichen; Vorlauf zum bereits vollzogenen Abbau von rund 21.000 Stellen (rund 13 Prozent, Rückgang von 162.000 auf 141.000 Beschäftigte) im Geschäftsjahr 2026; kumulierter Restrukturierungsaufwand 1,8 bis 2,1 Milliarden US-Dollar; parallel Investitionen von rund 55,7 Milliarden US-Dollar (FY2026, von 21,2 Milliarden US-Dollar in FY2025), finanziert über 43 Milliarden US-Dollar Anleihen und 5 Milliarden US-Dollar Eigenkapital, mit weiteren rund 40 Milliarden US-Dollar Kapitalbedarf im laufenden Jahr. Aufnahme in § 1.1 als Nachtragsbeleg zum Zusammenhang zwischen Personalabbau und KI-Capex-Ausbau. https://thenextweb.com/news/oracle-august-2026-layoffs-ai-capex | https://finance.yahoo.com/technology/ai/articles/oracle-planning-round-layoffs-august-134527039.html | https://nai500.com/blog/2026/08/oracle-deepens-ai-expansion-pains-with-new-cuts-after-21000-layoffs-in-one-year/</w:t>
      </w:r>
    </w:p>
    <w:p>
      <w:pPr>
        <w:jc w:val="both"/>
      </w:pPr>
      <w:r>
        <w:rPr>
          <w:rFonts w:ascii="Arial" w:hAnsi="Arial"/>
          <w:b w:val="0"/>
          <w:i w:val="0"/>
          <w:sz w:val="19"/>
        </w:rPr>
        <w:t xml:space="preserve">Meta Platforms, Inc. / Meta AI Research / CNBC / SiliconAngle / Seeking Alpha / Phoronix / Open Source For You / Hugging Face / MEXC News. (10. August 2026). </w:t>
      </w:r>
      <w:r>
        <w:rPr>
          <w:rFonts w:ascii="Arial" w:hAnsi="Arial"/>
          <w:b w:val="0"/>
          <w:i/>
          <w:sz w:val="19"/>
        </w:rPr>
        <w:t>Introducing Muse Glimmer: An Open Agentic Model That Runs on Your Device / Meta launches Muse Glimmer open-weight AI model / Meta releases open-source Muse Glimmer model with 30B parameters / Meta unveils open source AI model Muse Glimmer amid open-weight push / Meta Publishes Muse Glimmer As 30B Open Agentic Model / Meta Open Sources Muse Glimmer: A 30B Agentic AI Model / Meta is back with Muse Glimmer: local, agentic, multimodal, and open source / Muse-Glimmer-30B (Modellkarte)</w:t>
      </w:r>
      <w:r>
        <w:rPr>
          <w:rFonts w:ascii="Arial" w:hAnsi="Arial"/>
          <w:b w:val="0"/>
          <w:i w:val="0"/>
          <w:sz w:val="19"/>
        </w:rPr>
        <w:t>. Am 10. August 2026 freigegebener 30-Milliarden-Parameter-</w:t>
      </w:r>
      <w:r>
        <w:rPr>
          <w:rFonts w:ascii="Arial" w:hAnsi="Arial"/>
          <w:b w:val="0"/>
          <w:i/>
          <w:sz w:val="19"/>
        </w:rPr>
        <w:t>Open-Weight</w:t>
      </w:r>
      <w:r>
        <w:rPr>
          <w:rFonts w:ascii="Arial" w:hAnsi="Arial"/>
          <w:b w:val="0"/>
          <w:i w:val="0"/>
          <w:sz w:val="19"/>
        </w:rPr>
        <w:t xml:space="preserve">-Ableger der </w:t>
      </w:r>
      <w:r>
        <w:rPr>
          <w:rFonts w:ascii="Arial" w:hAnsi="Arial"/>
          <w:b w:val="0"/>
          <w:i/>
          <w:sz w:val="19"/>
        </w:rPr>
        <w:t>Muse-Spark</w:t>
      </w:r>
      <w:r>
        <w:rPr>
          <w:rFonts w:ascii="Arial" w:hAnsi="Arial"/>
          <w:b w:val="0"/>
          <w:i w:val="0"/>
          <w:sz w:val="19"/>
        </w:rPr>
        <w:t xml:space="preserve">-Familie mit </w:t>
      </w:r>
      <w:r>
        <w:rPr>
          <w:rFonts w:ascii="Arial" w:hAnsi="Arial"/>
          <w:b w:val="0"/>
          <w:i/>
          <w:sz w:val="19"/>
        </w:rPr>
        <w:t>Apache-2.0</w:t>
      </w:r>
      <w:r>
        <w:rPr>
          <w:rFonts w:ascii="Arial" w:hAnsi="Arial"/>
          <w:b w:val="0"/>
          <w:i w:val="0"/>
          <w:sz w:val="19"/>
        </w:rPr>
        <w:t xml:space="preserve">-kompatibler Freigabepolitik; 4-Bit-Quantisierung und </w:t>
      </w:r>
      <w:r>
        <w:rPr>
          <w:rFonts w:ascii="Arial" w:hAnsi="Arial"/>
          <w:b w:val="0"/>
          <w:i/>
          <w:sz w:val="19"/>
        </w:rPr>
        <w:t>speculative decoding</w:t>
      </w:r>
      <w:r>
        <w:rPr>
          <w:rFonts w:ascii="Arial" w:hAnsi="Arial"/>
          <w:b w:val="0"/>
          <w:i w:val="0"/>
          <w:sz w:val="19"/>
        </w:rPr>
        <w:t xml:space="preserve"> (Drafter-Verifier-Pipeline) senken den Speicherbedarf von rund 55 auf unter 20 Gigabyte RAM; einstellbare </w:t>
      </w:r>
      <w:r>
        <w:rPr>
          <w:rFonts w:ascii="Arial" w:hAnsi="Arial"/>
          <w:b w:val="0"/>
          <w:i/>
          <w:sz w:val="19"/>
        </w:rPr>
        <w:t>Reasoning-Strength</w:t>
      </w:r>
      <w:r>
        <w:rPr>
          <w:rFonts w:ascii="Arial" w:hAnsi="Arial"/>
          <w:b w:val="0"/>
          <w:i w:val="0"/>
          <w:sz w:val="19"/>
        </w:rPr>
        <w:t xml:space="preserve"> und automatische Aufgabenwiederholungen; Zielprofil lokale Agenten, Function Calling, Coding und LLM-as-a-judge; Anbieter-Benchmark-Vergleiche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auf zwei Dutzend Benchmarks. Aufnahme in § 8.2 als Extension der </w:t>
      </w:r>
      <w:r>
        <w:rPr>
          <w:rFonts w:ascii="Arial" w:hAnsi="Arial"/>
          <w:b w:val="0"/>
          <w:i/>
          <w:sz w:val="19"/>
        </w:rPr>
        <w:t>Muse-Spark-1.2</w:t>
      </w:r>
      <w:r>
        <w:rPr>
          <w:rFonts w:ascii="Arial" w:hAnsi="Arial"/>
          <w:b w:val="0"/>
          <w:i w:val="0"/>
          <w:sz w:val="19"/>
        </w:rPr>
        <w:t>-Freigabe (5. August 2026) auf ein lokal ausführbares Open-Weight-Segment; verdichtet die Verlagerung der Wertschöpfungs- und Zugriffslogik auf die Anwendungs- statt die zentrale API-Ebene. https://research.meta.ai/blog/introducing-muse-glimmer-open-agentic-model | https://siliconangle.com/2026/08/10/meta-releases-open-source-muse-glimmer-model-30b-parameters/ | https://seekingalpha.com/news/4629742-meta-unveils-open-source-ai-model-muse-glimmer-amid-open-weight-push | https://www.phoronix.com/news/Meta-Muse-Glimmer | https://www.opensourceforu.com/2026/08/meta-open-sources-muse-glimmer/ | https://huggingface.co/blog/muse-glimmer | https://huggingface.co/meta-models/Muse-Glimmer-30B | https://www.cnbc.com/2026/08/10/meta-muse-glimmer-open-weight-ai.html | https://developer.meta.com/ai/models/muse-glimmer/</w:t>
      </w:r>
    </w:p>
    <w:p>
      <w:pPr>
        <w:jc w:val="both"/>
      </w:pPr>
      <w:r>
        <w:rPr>
          <w:rFonts w:ascii="Arial" w:hAnsi="Arial"/>
          <w:b w:val="0"/>
          <w:i w:val="0"/>
          <w:sz w:val="19"/>
        </w:rPr>
        <w:t xml:space="preserve">OpenAI / gHacks / Adventure Media / Monks Answer Engine / edenai / Coursiv / techjacksolutions / BenchLM / AIPricing.guru. (11. und 13. August 2026). </w:t>
      </w:r>
      <w:r>
        <w:rPr>
          <w:rFonts w:ascii="Arial" w:hAnsi="Arial"/>
          <w:b w:val="0"/>
          <w:i/>
          <w:sz w:val="19"/>
        </w:rPr>
        <w:t>OpenAI Expands ChatGPT Ads Test to UK, Mexico, Brazil, Japan, and South Korea / Testing ads in ChatGPT / Our approach to advertising and expanding access to ChatGPT / Ads in ChatGPT (Help Center) / GPT-5.6 Sol: Benchmarks, Pricing &amp; API Access Guide 2026 / GPT-5.6 Sol: Benchmarks, API Pricing &amp; Review / GPT-5.6 Pricing: Sol, Terra &amp; Luna API Costs (2026) / OpenAI API Pricing (August 2026): Model &amp; Token Costs / OpenAI API Pricing (August 2026): GPT-5.6 &amp; Cyber</w:t>
      </w:r>
      <w:r>
        <w:rPr>
          <w:rFonts w:ascii="Arial" w:hAnsi="Arial"/>
          <w:b w:val="0"/>
          <w:i w:val="0"/>
          <w:sz w:val="19"/>
        </w:rPr>
        <w:t xml:space="preserve">. Zwei Ereignisse in einem Zeitfenster von 48 Stunden: (a) Rollout des </w:t>
      </w:r>
      <w:r>
        <w:rPr>
          <w:rFonts w:ascii="Arial" w:hAnsi="Arial"/>
          <w:b w:val="0"/>
          <w:i/>
          <w:sz w:val="19"/>
        </w:rPr>
        <w:t>ChatGPT-Advertising</w:t>
      </w:r>
      <w:r>
        <w:rPr>
          <w:rFonts w:ascii="Arial" w:hAnsi="Arial"/>
          <w:b w:val="0"/>
          <w:i w:val="0"/>
          <w:sz w:val="19"/>
        </w:rPr>
        <w:t xml:space="preserve">-Testlaufs zum 11. August 2026 im Vereinigten Königreich, in Mexiko, Brasilien, Japan und der Republik Korea; Anzeigen ausschließlich auf den Tarifen </w:t>
      </w:r>
      <w:r>
        <w:rPr>
          <w:rFonts w:ascii="Arial" w:hAnsi="Arial"/>
          <w:b w:val="0"/>
          <w:i/>
          <w:sz w:val="19"/>
        </w:rPr>
        <w:t>Free</w:t>
      </w:r>
      <w:r>
        <w:rPr>
          <w:rFonts w:ascii="Arial" w:hAnsi="Arial"/>
          <w:b w:val="0"/>
          <w:i w:val="0"/>
          <w:sz w:val="19"/>
        </w:rPr>
        <w:t xml:space="preserve"> und </w:t>
      </w:r>
      <w:r>
        <w:rPr>
          <w:rFonts w:ascii="Arial" w:hAnsi="Arial"/>
          <w:b w:val="0"/>
          <w:i/>
          <w:sz w:val="19"/>
        </w:rPr>
        <w:t>Go</w:t>
      </w:r>
      <w:r>
        <w:rPr>
          <w:rFonts w:ascii="Arial" w:hAnsi="Arial"/>
          <w:b w:val="0"/>
          <w:i w:val="0"/>
          <w:sz w:val="19"/>
        </w:rPr>
        <w:t xml:space="preserve">, während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und </w:t>
      </w:r>
      <w:r>
        <w:rPr>
          <w:rFonts w:ascii="Arial" w:hAnsi="Arial"/>
          <w:b w:val="0"/>
          <w:i/>
          <w:sz w:val="19"/>
        </w:rPr>
        <w:t>Education</w:t>
      </w:r>
      <w:r>
        <w:rPr>
          <w:rFonts w:ascii="Arial" w:hAnsi="Arial"/>
          <w:b w:val="0"/>
          <w:i w:val="0"/>
          <w:sz w:val="19"/>
        </w:rPr>
        <w:t xml:space="preserve"> werbefrei bleiben; (b) Vorschau eines </w:t>
      </w:r>
      <w:r>
        <w:rPr>
          <w:rFonts w:ascii="Arial" w:hAnsi="Arial"/>
          <w:b w:val="0"/>
          <w:i/>
          <w:sz w:val="19"/>
        </w:rPr>
        <w:t>Ultrafast</w:t>
      </w:r>
      <w:r>
        <w:rPr>
          <w:rFonts w:ascii="Arial" w:hAnsi="Arial"/>
          <w:b w:val="0"/>
          <w:i w:val="0"/>
          <w:sz w:val="19"/>
        </w:rPr>
        <w:t xml:space="preserve">-Modus für </w:t>
      </w:r>
      <w:r>
        <w:rPr>
          <w:rFonts w:ascii="Arial" w:hAnsi="Arial"/>
          <w:b w:val="0"/>
          <w:i/>
          <w:sz w:val="19"/>
        </w:rPr>
        <w:t>GPT-5.6 Sol</w:t>
      </w:r>
      <w:r>
        <w:rPr>
          <w:rFonts w:ascii="Arial" w:hAnsi="Arial"/>
          <w:b w:val="0"/>
          <w:i w:val="0"/>
          <w:sz w:val="19"/>
        </w:rPr>
        <w:t xml:space="preserve"> zum 13. August 2026 auf </w:t>
      </w:r>
      <w:r>
        <w:rPr>
          <w:rFonts w:ascii="Arial" w:hAnsi="Arial"/>
          <w:b w:val="0"/>
          <w:i/>
          <w:sz w:val="19"/>
        </w:rPr>
        <w:t>Cerebras</w:t>
      </w:r>
      <w:r>
        <w:rPr>
          <w:rFonts w:ascii="Arial" w:hAnsi="Arial"/>
          <w:b w:val="0"/>
          <w:i w:val="0"/>
          <w:sz w:val="19"/>
        </w:rPr>
        <w:t xml:space="preserve">-Infrastruktur mit bis zu 750 Ausgabe-Token pro Sekunde und rund der 14-fachen Standard-Ausführungsgeschwindigkeit; Preisstruktur der </w:t>
      </w:r>
      <w:r>
        <w:rPr>
          <w:rFonts w:ascii="Arial" w:hAnsi="Arial"/>
          <w:b w:val="0"/>
          <w:i/>
          <w:sz w:val="19"/>
        </w:rPr>
        <w:t>Sol</w:t>
      </w:r>
      <w:r>
        <w:rPr>
          <w:rFonts w:ascii="Arial" w:hAnsi="Arial"/>
          <w:b w:val="0"/>
          <w:i w:val="0"/>
          <w:sz w:val="19"/>
        </w:rPr>
        <w:t>-Zeile (5 US-Dollar Input / 30 US-Dollar Output je Million Token) in der Vorschau unverändert. Aufnahme in § 8.2 als Präzisierung der deflationären Frontier-Ökonomik um eine Latenz-Prämien-Ebene sowie um eine werbe-basierte Refinanzierungsschicht. https://www.ghacks.net/2026/08/13/openai-expands-chatgpt-ads-test-to-uk-mexico-brazil-japan-and-south-korea/ | https://openai.com/index/testing-ads-in-chatgpt/ | https://openai.com/index/our-approach-to-advertising-and-expanding-access/ | https://help.openai.com/en/articles/20001047-ads-in-chatgpt | https://www.edenai.co/post/gpt-5-6-sol-benchmarks-pricing-api-access-guide | https://coursiv.io/blog/chatgpt-5-6-sol | https://techjacksolutions.com/ai-tools/chatgpt/gpt-5-6-pricing/ | https://benchlm.ai/openai/api-pricing | https://www.aipricing.guru/openai-pricing/</w:t>
      </w:r>
    </w:p>
    <w:p>
      <w:pPr>
        <w:jc w:val="both"/>
      </w:pPr>
      <w:r>
        <w:rPr>
          <w:rFonts w:ascii="Arial" w:hAnsi="Arial"/>
          <w:b w:val="0"/>
          <w:i w:val="0"/>
          <w:sz w:val="19"/>
        </w:rPr>
        <w:t xml:space="preserve">Z.ai / Unite.AI / Decrypt / TechTimes / ExplainX / fello.ai / The Agent Report / SaaSCity / SandBase. (14. August 2026). </w:t>
      </w:r>
      <w:r>
        <w:rPr>
          <w:rFonts w:ascii="Arial" w:hAnsi="Arial"/>
          <w:b w:val="0"/>
          <w:i/>
          <w:sz w:val="19"/>
        </w:rPr>
        <w:t>Z.ai Launches GLM-5.3 With Frontier Coding and a Cyber Capability That Outgrew Its Training / China's Z.AI Ships GLM-5.3, Calling It the Top Open-Weight Coding Model / GLM-5.3: Post-Training Produced Exploit Chains Z.ai Never Planned, Finds 1,097 Critical Bugs / GLM-5.3 Launch: Benchmarks, Pricing &amp; Access (Aug 2026) / GLM 5.3: Benchmarks, Pricing and the Held-Back Weights / GLM-5.3: Z.ai Tops the Open Coding Leaderboard on Post-Training Alone — and Its Cyber Gains Are the Real Story / GLM-5.3: Same Base Model, 50 % Better at Coding — and a Cyber Capability Z.ai Didn't Plan For / GLM-5.3 Launches: Frontier Coding and Emergent Cybersecurity</w:t>
      </w:r>
      <w:r>
        <w:rPr>
          <w:rFonts w:ascii="Arial" w:hAnsi="Arial"/>
          <w:b w:val="0"/>
          <w:i w:val="0"/>
          <w:sz w:val="19"/>
        </w:rPr>
        <w:t xml:space="preserve">. Am 14. August 2026 durch </w:t>
      </w:r>
      <w:r>
        <w:rPr>
          <w:rFonts w:ascii="Arial" w:hAnsi="Arial"/>
          <w:b w:val="0"/>
          <w:i/>
          <w:sz w:val="19"/>
        </w:rPr>
        <w:t>Z.ai</w:t>
      </w:r>
      <w:r>
        <w:rPr>
          <w:rFonts w:ascii="Arial" w:hAnsi="Arial"/>
          <w:b w:val="0"/>
          <w:i w:val="0"/>
          <w:sz w:val="19"/>
        </w:rPr>
        <w:t xml:space="preserve"> (Beijing) über </w:t>
      </w:r>
      <w:r>
        <w:rPr>
          <w:rFonts w:ascii="Arial" w:hAnsi="Arial"/>
          <w:b w:val="0"/>
          <w:i/>
          <w:sz w:val="19"/>
        </w:rPr>
        <w:t>GLM Coding Plan</w:t>
      </w:r>
      <w:r>
        <w:rPr>
          <w:rFonts w:ascii="Arial" w:hAnsi="Arial"/>
          <w:b w:val="0"/>
          <w:i w:val="0"/>
          <w:sz w:val="19"/>
        </w:rPr>
        <w:t xml:space="preserve"> und </w:t>
      </w:r>
      <w:r>
        <w:rPr>
          <w:rFonts w:ascii="Arial" w:hAnsi="Arial"/>
          <w:b w:val="0"/>
          <w:i/>
          <w:sz w:val="19"/>
        </w:rPr>
        <w:t>ZCode</w:t>
      </w:r>
      <w:r>
        <w:rPr>
          <w:rFonts w:ascii="Arial" w:hAnsi="Arial"/>
          <w:b w:val="0"/>
          <w:i w:val="0"/>
          <w:sz w:val="19"/>
        </w:rPr>
        <w:t xml:space="preserve">-Plattform freigegebene </w:t>
      </w:r>
      <w:r>
        <w:rPr>
          <w:rFonts w:ascii="Arial" w:hAnsi="Arial"/>
          <w:b w:val="0"/>
          <w:i/>
          <w:sz w:val="19"/>
        </w:rPr>
        <w:t>GLM-5.3</w:t>
      </w:r>
      <w:r>
        <w:rPr>
          <w:rFonts w:ascii="Arial" w:hAnsi="Arial"/>
          <w:b w:val="0"/>
          <w:i w:val="0"/>
          <w:sz w:val="19"/>
        </w:rPr>
        <w:t xml:space="preserve">-Iteration auf identischer 744-Milliarden-Parameter-Basis wie </w:t>
      </w:r>
      <w:r>
        <w:rPr>
          <w:rFonts w:ascii="Arial" w:hAnsi="Arial"/>
          <w:b w:val="0"/>
          <w:i/>
          <w:sz w:val="19"/>
        </w:rPr>
        <w:t>GLM-5.2</w:t>
      </w:r>
      <w:r>
        <w:rPr>
          <w:rFonts w:ascii="Arial" w:hAnsi="Arial"/>
          <w:b w:val="0"/>
          <w:i w:val="0"/>
          <w:sz w:val="19"/>
        </w:rPr>
        <w:t xml:space="preserve">, mit rund 50 % Verbesserung auf der anbietereigenen </w:t>
      </w:r>
      <w:r>
        <w:rPr>
          <w:rFonts w:ascii="Arial" w:hAnsi="Arial"/>
          <w:b w:val="0"/>
          <w:i/>
          <w:sz w:val="19"/>
        </w:rPr>
        <w:t>Z.ai Code Bench</w:t>
      </w:r>
      <w:r>
        <w:rPr>
          <w:rFonts w:ascii="Arial" w:hAnsi="Arial"/>
          <w:b w:val="0"/>
          <w:i w:val="0"/>
          <w:sz w:val="19"/>
        </w:rPr>
        <w:t xml:space="preserve"> (34,5 % vs. 23,4 %) durch skaliertes Nach-Training, aber Rückstand auf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an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w:t>
      </w:r>
      <w:r>
        <w:rPr>
          <w:rFonts w:ascii="Arial" w:hAnsi="Arial"/>
          <w:b w:val="0"/>
          <w:i/>
          <w:sz w:val="19"/>
        </w:rPr>
        <w:t>SWE-Bench Verified</w:t>
      </w:r>
      <w:r>
        <w:rPr>
          <w:rFonts w:ascii="Arial" w:hAnsi="Arial"/>
          <w:b w:val="0"/>
          <w:i w:val="0"/>
          <w:sz w:val="19"/>
        </w:rPr>
        <w:t xml:space="preserve"> Kimi K3 67,5, Fable 5 69,7, GLM-5.3 66,9; </w:t>
      </w:r>
      <w:r>
        <w:rPr>
          <w:rFonts w:ascii="Arial" w:hAnsi="Arial"/>
          <w:b w:val="0"/>
          <w:i/>
          <w:sz w:val="19"/>
        </w:rPr>
        <w:t>GLM-5.2</w:t>
      </w:r>
      <w:r>
        <w:rPr>
          <w:rFonts w:ascii="Arial" w:hAnsi="Arial"/>
          <w:b w:val="0"/>
          <w:i w:val="0"/>
          <w:sz w:val="19"/>
        </w:rPr>
        <w:t xml:space="preserve">-API-Preise rund 1,40 US-Dollar Input / 4,40 US-Dollar Output je Million Token (etwa eine Größenordnung unter US-Frontier); Open-Weight-Freigabe zurückgehalten für rund zwei Wochen nach Sicherheits­evaluation und Härtung (Abweichung von der </w:t>
      </w:r>
      <w:r>
        <w:rPr>
          <w:rFonts w:ascii="Arial" w:hAnsi="Arial"/>
          <w:b w:val="0"/>
          <w:i/>
          <w:sz w:val="19"/>
        </w:rPr>
        <w:t>GLM-5.2</w:t>
      </w:r>
      <w:r>
        <w:rPr>
          <w:rFonts w:ascii="Arial" w:hAnsi="Arial"/>
          <w:b w:val="0"/>
          <w:i w:val="0"/>
          <w:sz w:val="19"/>
        </w:rPr>
        <w:t xml:space="preserve">-Praxis mit MIT-Lizenz auf </w:t>
      </w:r>
      <w:r>
        <w:rPr>
          <w:rFonts w:ascii="Arial" w:hAnsi="Arial"/>
          <w:b w:val="0"/>
          <w:i/>
          <w:sz w:val="19"/>
        </w:rPr>
        <w:t>Hugging Face</w:t>
      </w:r>
      <w:r>
        <w:rPr>
          <w:rFonts w:ascii="Arial" w:hAnsi="Arial"/>
          <w:b w:val="0"/>
          <w:i w:val="0"/>
          <w:sz w:val="19"/>
        </w:rPr>
        <w:t xml:space="preserve"> binnen Tagen); emergente Cybersicherheits-Fähigkeit: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2.436 Schwachstellen identifiziert (1.097 kritisch)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w:t>
      </w:r>
      <w:r>
        <w:rPr>
          <w:rFonts w:ascii="Arial" w:hAnsi="Arial"/>
          <w:b w:val="0"/>
          <w:i/>
          <w:sz w:val="19"/>
        </w:rPr>
        <w:t>Z.ai</w:t>
      </w:r>
      <w:r>
        <w:rPr>
          <w:rFonts w:ascii="Arial" w:hAnsi="Arial"/>
          <w:b w:val="0"/>
          <w:i w:val="0"/>
          <w:sz w:val="19"/>
        </w:rPr>
        <w:t xml:space="preserve"> auf der US-</w:t>
      </w:r>
      <w:r>
        <w:rPr>
          <w:rFonts w:ascii="Arial" w:hAnsi="Arial"/>
          <w:b w:val="0"/>
          <w:i/>
          <w:sz w:val="19"/>
        </w:rPr>
        <w:t>Entity List</w:t>
      </w:r>
      <w:r>
        <w:rPr>
          <w:rFonts w:ascii="Arial" w:hAnsi="Arial"/>
          <w:b w:val="0"/>
          <w:i w:val="0"/>
          <w:sz w:val="19"/>
        </w:rPr>
        <w:t xml:space="preserve">. Aufnahme in § 8.2 als weiterer Datenpunkt der Konvergenz auf der Frontier-Modell-Achse (parallel zu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mit strukturellem Novum einer sicherheitsbezogenen Zurückhaltungsphase bei einem chinesischen Anbieter; Rückwirkung auf die Zugriffslogik einer inländischen KI-Nutzungsabgabe (§ 8.3) über die Verlagerung der Bemessungsbasis auf die inländische Ausführung des Anwendungs- und Sicherheits-Stacks. https://www.unite.ai/z-ai-launches-glm-5-3-with-frontier-coding-and-a-cyber-capability-that-outgrew-its-training/ | https://decrypt.co/375684/china-z-ai-glm-5-3-top-open-weight-coding-model | https://www.techtimes.com/articles/324426/20260814/glm-53-post-training-produced-exploit-chains-zai-never-planned-finds-1097-critical-bugs.htm | https://explainx.ai/blog/glm-5-3-launch-cyber-defense-benchmarks-august-2026 | https://felloai.com/glm-5-3/ | https://the-agent-report.com/2026/08/glm-5-3-zai-post-training-coding-cyber/ | https://saascity.io/blog/glm-5-3-zai-open-weights-coding-model-cyber-capabilities-2026 | https://blog.sandbase.ai/glm-5-3-release-watch-2026/</w:t>
      </w:r>
    </w:p>
    <w:p>
      <w:pPr>
        <w:jc w:val="both"/>
      </w:pPr>
      <w:r>
        <w:rPr>
          <w:rFonts w:ascii="Arial" w:hAnsi="Arial"/>
          <w:b/>
          <w:i w:val="0"/>
          <w:sz w:val="19"/>
        </w:rPr>
        <w:t>Hinweis zur Aktualität:</w:t>
      </w:r>
      <w:r>
        <w:rPr>
          <w:rFonts w:ascii="Arial" w:hAnsi="Arial"/>
          <w:b w:val="0"/>
          <w:i w:val="0"/>
          <w:sz w:val="19"/>
        </w:rPr>
        <w:t xml:space="preserve"> Dieses Arbeitspapier gibt den Stand Mitte August 2026 (Schnitt am 16. August 2026 — Lauf 001 vom 16. August 2026, Version 67.0)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Zuteilungsquote rund 0,018 Prozent, Gesamtemissionsvolumen rund 900 Millionen US-Dollar; Konjunktivpflicht nach § 4.2 Claude.md, Angaben anbieter-/emittentenseitig).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67.0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