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 Welle setzt sich in der zweiten Maiwoche 2026 fort: Am 11. Mai 2026 hat </w:t>
      </w:r>
      <w:r>
        <w:rPr>
          <w:rFonts w:ascii="Arial" w:hAnsi="Arial"/>
          <w:b w:val="0"/>
          <w:i/>
          <w:sz w:val="19"/>
        </w:rPr>
        <w:t>General Motors</w:t>
      </w:r>
      <w:r>
        <w:rPr>
          <w:rFonts w:ascii="Arial" w:hAnsi="Arial"/>
          <w:b w:val="0"/>
          <w:i w:val="0"/>
          <w:sz w:val="19"/>
        </w:rPr>
        <w:t xml:space="preserve"> die Streichung von rund 600 Stellen in seiner unternehmensweiten IT-Abteilung — etwas mehr als zehn Prozent des dortigen Personalbestands — angekündigt und gleichzeitig betont, in denselben Bereich werde weiter eingestellt, allerdings mit verschobenem Anforderungsprofil hin zu </w:t>
      </w:r>
      <w:r>
        <w:rPr>
          <w:rFonts w:ascii="Arial" w:hAnsi="Arial"/>
          <w:b w:val="0"/>
          <w:i/>
          <w:sz w:val="19"/>
        </w:rPr>
        <w:t>AI-native development</w:t>
      </w:r>
      <w:r>
        <w:rPr>
          <w:rFonts w:ascii="Arial" w:hAnsi="Arial"/>
          <w:b w:val="0"/>
          <w:i w:val="0"/>
          <w:sz w:val="19"/>
        </w:rPr>
        <w:t xml:space="preserve">, Daten- und Cloud-Engineering, Agenten- und Modellentwicklung sowie Prompt-Engineering; GM ist damit der erste nicht-Tech-Industriekonzern, der eine Konzern-IT-Reduktion in dieser Größenordnung ausdrücklich als KI-getriebene Qualifikations-Umschichtung — und nicht als Kostenmaßnahme — begründet, was die in § 9.1 dokumentierte Frage nach der Kausalattribution erneut zuspitzt, weil die Stellenzahl saldiert (Abbau gleich Einstellungs-Pipeline) deutlich kleiner ausfallen kann als die Brutto-Streichung. Bereits am 7./8. Mai 2026 hatte </w:t>
      </w:r>
      <w:r>
        <w:rPr>
          <w:rFonts w:ascii="Arial" w:hAnsi="Arial"/>
          <w:b w:val="0"/>
          <w:i/>
          <w:sz w:val="19"/>
        </w:rPr>
        <w:t>Fidelity Investments</w:t>
      </w:r>
      <w:r>
        <w:rPr>
          <w:rFonts w:ascii="Arial" w:hAnsi="Arial"/>
          <w:b w:val="0"/>
          <w:i w:val="0"/>
          <w:sz w:val="19"/>
        </w:rPr>
        <w:t xml:space="preserve"> unter ähnlicher Logik die Streichung von rund 800 Stellen (rund ein Prozent der weltweit 80.000 Beschäftigten) in den Bereichen Technologie und Produktentwicklung bekannt gegeben — verbunden mit der Ankündigung von 3.300 Neueinstellungen im Jahr 2026, davon rund 1.650 in Tech- und Produktrollen und etwa 2.000 in Einstiegspositionen; die Umstellung markiert den Übergang von einer </w:t>
      </w:r>
      <w:r>
        <w:rPr>
          <w:rFonts w:ascii="Arial" w:hAnsi="Arial"/>
          <w:b w:val="0"/>
          <w:i/>
          <w:sz w:val="19"/>
        </w:rPr>
        <w:t>agile</w:t>
      </w:r>
      <w:r>
        <w:rPr>
          <w:rFonts w:ascii="Arial" w:hAnsi="Arial"/>
          <w:b w:val="0"/>
          <w:i w:val="0"/>
          <w:sz w:val="19"/>
        </w:rPr>
        <w:t xml:space="preserve">-Organisation mit kleinen Squads zu größeren, durchgängig auf KI-gestützte Bauprozesse zugeschnittenen Teams und zeigt, dass das Muster „Abbau-bei-Neueinstellung" über die KI-Anbieter hinaus auch im klassischen Finanzdienstleistungssegment ankommt. Parallel hat die US-Anwaltskanzlei </w:t>
      </w:r>
      <w:r>
        <w:rPr>
          <w:rFonts w:ascii="Arial" w:hAnsi="Arial"/>
          <w:b w:val="0"/>
          <w:i/>
          <w:sz w:val="19"/>
        </w:rPr>
        <w:t>Strauss Borrelli PLLC</w:t>
      </w:r>
      <w:r>
        <w:rPr>
          <w:rFonts w:ascii="Arial" w:hAnsi="Arial"/>
          <w:b w:val="0"/>
          <w:i w:val="0"/>
          <w:sz w:val="19"/>
        </w:rPr>
        <w:t xml:space="preserve"> am 12. Mai 2026 öffentlich eine Untersuchung gegen </w:t>
      </w:r>
      <w:r>
        <w:rPr>
          <w:rFonts w:ascii="Arial" w:hAnsi="Arial"/>
          <w:b w:val="0"/>
          <w:i/>
          <w:sz w:val="19"/>
        </w:rPr>
        <w:t>Cloudflare</w:t>
      </w:r>
      <w:r>
        <w:rPr>
          <w:rFonts w:ascii="Arial" w:hAnsi="Arial"/>
          <w:b w:val="0"/>
          <w:i w:val="0"/>
          <w:sz w:val="19"/>
        </w:rPr>
        <w:t xml:space="preserve"> angekündigt, weil das Unternehmen im Kalifornia-Anteil seiner am 7. Mai 2026 publik gemachten Streichung (gegenüber dem </w:t>
      </w:r>
      <w:r>
        <w:rPr>
          <w:rFonts w:ascii="Arial" w:hAnsi="Arial"/>
          <w:b w:val="0"/>
          <w:i/>
          <w:sz w:val="19"/>
        </w:rPr>
        <w:t>Employment Development Department</w:t>
      </w:r>
      <w:r>
        <w:rPr>
          <w:rFonts w:ascii="Arial" w:hAnsi="Arial"/>
          <w:b w:val="0"/>
          <w:i w:val="0"/>
          <w:sz w:val="19"/>
        </w:rPr>
        <w:t xml:space="preserve"> zur Standortmeldung) für 224 Beschäftigte in San Francisco möglicherweise die nach dem </w:t>
      </w:r>
      <w:r>
        <w:rPr>
          <w:rFonts w:ascii="Arial" w:hAnsi="Arial"/>
          <w:b w:val="0"/>
          <w:i/>
          <w:sz w:val="19"/>
        </w:rPr>
        <w:t>Worker Adjustment and Retraining Notification Act</w:t>
      </w:r>
      <w:r>
        <w:rPr>
          <w:rFonts w:ascii="Arial" w:hAnsi="Arial"/>
          <w:b w:val="0"/>
          <w:i w:val="0"/>
          <w:sz w:val="19"/>
        </w:rPr>
        <w:t xml:space="preserve"> (WARN) vorgeschriebene 60-Tage-Vorankündigung nicht eingehalten habe — der erste dokumentierte rechtliche Pushback gegen die KI-getriebene Layoff-Welle und zugleich ein konkretes Beispiel dafür, dass die in § 4.5 (Connecticut SB 5) angelegte </w:t>
      </w:r>
      <w:r>
        <w:rPr>
          <w:rFonts w:ascii="Arial" w:hAnsi="Arial"/>
          <w:b w:val="0"/>
          <w:i/>
          <w:sz w:val="19"/>
        </w:rPr>
        <w:t>AI/Technology-Change-Disclosure</w:t>
      </w:r>
      <w:r>
        <w:rPr>
          <w:rFonts w:ascii="Arial" w:hAnsi="Arial"/>
          <w:b w:val="0"/>
          <w:i w:val="0"/>
          <w:sz w:val="19"/>
        </w:rPr>
        <w:t xml:space="preserve"> ab 1. Oktober 2026 in einer der teuersten Branchen tatsächlich justiziable Ankerpunkte schafft. Die Tagesfortschreibung der TrueUp-Tracker-Methodik weist zum 12. Mai 2026 bereits 128.270 betroffene Personen aus 286 Layoff-Meldungen (rund 1.002 Stellen pro Tag) aus, während SkillSyncer mit 113.863 Personen aus 179 Ereignissen unverändert bleibt; eine ergänzende Auswertung des </w:t>
      </w:r>
      <w:r>
        <w:rPr>
          <w:rFonts w:ascii="Arial" w:hAnsi="Arial"/>
          <w:b w:val="0"/>
          <w:i/>
          <w:sz w:val="19"/>
        </w:rPr>
        <w:t>American Bazaar</w:t>
      </w:r>
      <w:r>
        <w:rPr>
          <w:rFonts w:ascii="Arial" w:hAnsi="Arial"/>
          <w:b w:val="0"/>
          <w:i w:val="0"/>
          <w:sz w:val="19"/>
        </w:rPr>
        <w:t xml:space="preserve"> zählt allein in den ersten zehn Tagen des Monats Mai 2026 rund 38.000 Stellenstreichungen über Technologie-, Finanz-, Luftfahrt-, Medien- und Cybersicherheitsbranchen hinweg.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EU AI Act — provisorische Trilog-Einigung zum Digital Omnibus on AI (7. Mai 2026):</w:t>
      </w:r>
      <w:r>
        <w:rPr>
          <w:rFonts w:ascii="Arial" w:hAnsi="Arial"/>
          <w:b w:val="0"/>
          <w:i w:val="0"/>
          <w:sz w:val="19"/>
        </w:rPr>
        <w:t xml:space="preserve"> In den frühen Morgenstunden des 7. Mai 2026 haben Rat und Europäisches Parlament eine vorläufige politische Einigung über den Digital Omnibus on AI erzielt — Wochen, bevor der Stichtag der ursprünglichen Volltext-Anwendung (2. August 2026) wirksam geworden wäre, und vor der eigentlich für den 13. Mai 2026 anberaumten dritten Trilog-Runde. Inhaltlich werden die in § 4.3 / § 4.4 bislang offenen Konvergenz­linien jetzt formell verbindlich: Die Hochrisiko-Pflichten nach Anhang III des AI Act (eigenständige Hochrisiko-Systeme — Biometrie, Beschäftigung, Bildung, Strafverfolgung, kritische Infrastruktur, Grenzmanagement) gelten erst ab dem 2. Dezember 2027, die Hochrisiko-Pflichten nach Anhang I (in regulierte Produkte eingebettete KI — Medizinprodukte, Maschinen, Spielzeug, Aufzüge) erst ab dem 2. August 2028. Die Streitfrage zur Konformitätsbewertung des Anhangs I, an der die Trilog-Runde vom 28. April 2026 noch gescheitert war, ist durch eine sektorale Pfadtrennung gelöst worden: Die Maschinenverordnung wird vollständig aus der direkten Anwendbarkeit des AI Act herausgenommen, sicherheits-/gesundheitsrelevante KI-Anforderungen werden für diesen Sektor stattdessen über delegierte Rechtsakte ergänzt; für Medizinprodukte, Spielzeug und Aufzüge entscheiden gesonderte Durchführungsakte fallweise über die Überlappung. Die Watermarking- und Synthetic-Content-Vorgaben aus Artikel 50 Absatz 2 — Pflicht zur maschinenlesbaren Markierung KI-erzeugter Audio-, Bild-, Video- und Textinhalte — bleiben grundsätzlich zum 2. August 2026 wirksam, mit einer auf drei Monate verkürzten Übergangsfrist für vor diesem Stichtag bereits verfügbare Systeme, sodass die operative Markierungspflicht für Bestandsmodelle zum 2. Dezember 2026 greift. Neu eingefügt wird ein zusätzliches Verbotsmerkmal in Artikel 5: KI-Systeme, die nicht-einvernehmliche intime Inhalte oder kindesmissbrauchsdarstellende Inhalte (CSAM/NCII) erzeugen, sind explizit untersagt, mit einer eng zugeschnittenen Ausnahme für Systeme, die effektive präventive Schutzmechanismen implementieren. Die Registrierungspflicht für selbsteingestufte Nicht-Hochrisiko-Systeme nach Anhang III (Artikel 6 Absatz 3), deren Streichung die Kommission vorgeschlagen hatte, bleibt in einer schlanken Form über Anhang VIII Section B erhalten — die Selbsteinstufung wird damit zu einem öffentlich abfragbaren Datenbankeintrag. Die provisorische Einigung muss noch formell durch Rat und Plenum bestätigt sowie sprachlich-rechtlich finalisiert werden; die Veröffentlichung im Amtsblatt der Union ist innerhalb weniger Wochen geplant, jedenfalls vor dem 2. August 2026, ab dem die ursprüngliche Anwendung der Anhang-III-Pflichten andernfalls greifen würde. Für die hier geführte Steuerdebatte sind drei Punkte relevant: Erstens schafft die jetzt verbindliche Verschiebung der Anhang-III-Pflichten in den Dezember 2027 einen zusätzlichen Zeithorizont, in dem KI-Anbieter ohne neue regulatorische Erstkosten skalieren — was die in § 1.1 und § 8.3 beschriebene Asymmetrie zwischen Personalreduktion und Infrastrukturausbau einseitig verstärken kann; zweitens reduziert die Anhang-VIII-B-Registrierungslogik einen Teil der von der Kommission angestrebten Bürokratie­entlastung wieder auf das ursprüngliche Niveau, womit die Diskussion um eine spätere fiskalische Nutzung dieser Datenbasis (Anknüpfung an registrierte Hochrisiko-Systeme) offen bleibt; drittens dokumentiert die sektorale Pfadtrennung beim Anhang I, dass eine homogene KI-spezifische Abgabe in solchen Sektoren, in denen bereits dichte EU-Sektorregulierungen bestehen (Medizinprodukte, Maschinen), nur über zusätzliche delegierte Rechtsakte einführbar wäre — was den in § 7 für das Gesundheitswesen entwickelten Sonderfall zusätzlich strukturiert.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Vorstoß Mai 2026 — „National Dividend" auf KI-Übergewinne:</w:t>
      </w:r>
      <w:r>
        <w:rPr>
          <w:rFonts w:ascii="Arial" w:hAnsi="Arial"/>
          <w:b w:val="0"/>
          <w:i w:val="0"/>
          <w:sz w:val="19"/>
        </w:rPr>
        <w:t xml:space="preserve"> Am 12. Mai 2026 hat Kim Yong-beom, Senior Presidential Secretary for Policy im Büro von Präsident Lee Jae-myung, in einem öffentlich gestellten Facebook-Beitrag eine zweite, qualitativ andere Linie der Roboter-/KI-Besteuerung in die südkoreanische Debatte eingeführt: eine — vorläufig als </w:t>
      </w:r>
      <w:r>
        <w:rPr>
          <w:rFonts w:ascii="Arial" w:hAnsi="Arial"/>
          <w:b w:val="0"/>
          <w:i/>
          <w:sz w:val="19"/>
        </w:rPr>
        <w:t>„national dividend"</w:t>
      </w:r>
      <w:r>
        <w:rPr>
          <w:rFonts w:ascii="Arial" w:hAnsi="Arial"/>
          <w:b w:val="0"/>
          <w:i w:val="0"/>
          <w:sz w:val="19"/>
        </w:rPr>
        <w:t xml:space="preserve"> bezeichnete — Abgabe auf die Übergewinne („excess profits") jener Konzerne, die im laufenden KI-Halbleiterboom überproportional verdienen, namentlich Samsung Electronics und SK hynix. Anders als der 2017er-Schritt knüpft der Vorschlag damit nicht an Investitionen in Automatisierung, sondern an Übergewinne aus dem KI-Wertschöpfungsfluss an — und behandelt die fiskalische Anknüpfung explizit nicht als Umverteilungs-, sondern als „System­erhaltungskosten" („system maintenance cost"). Die Aufkommensverwendung wird in dem Beitrag offen aufgezählt: Gründungsförderung für junge Menschen, Grundeinkommens­programme für ländliche und Fischerei­regionen, Künstlerförderung sowie eine Stärkung der Renten für ältere Bürgerinnen und Bürger. Stützung im regierenden parlamentarischen Lager kommt unter anderem von der Abgeordneten Moon Geum-ju (Demokratische Partei), die parallel auf einen Rückfluss von Halbleitergewinnen in den ländlichen Raum zielt; eine formelle Regierungsposition oder Industriepositionierung liegt zum Stand 13. Mai 2026 nicht vor — Samsungs Belegschaftsvertretung hat lediglich erhöhte Bonuszahlungen gefordert. Der Vorgang ist für die Debatte aus zwei Gründen bemerkenswert: Erstens markiert er die erste konkret artikulierte Bürger­dividenden-Konstruktion durch ein hochrangiges Mitglied einer amtierenden Regierung — mit Anknüpfung nicht an Wertschöpfung im engeren Sinn, sondern an einen Übergewinn-Begriff im Stil einer Windfall-Tax (vgl. § 5.4); zweitens dokumentiert er, dass die in § 8.3 (Teilhabefrage) entwickelte Staatsfonds-/Teilhabelogik nicht nur in europäischen oder US-Diskursen, sondern in einem hochautomatisierten ostasiatischen Industriestaat anschlussfähig ist — mit einer für deutsche Verhältnisse spiegelbildlichen Risikoanalyse (die Lohnbasis erodiert in Südkorea nicht primär durch industrielle Robotisierung wie bislang, sondern durch die KI-Halbleiter-Rente). Eine politische Umsetzung steht aus, der Vorschlag liefert aber der laufenden Diskussion um Pillar-1-/Pillar-2-Mehrwert (§ 4.4) eine konkrete operationale Variante: Übergewinnabgabe mit zweckgebundener Bürger­auszahlung statt allgemeiner Mindestbesteuerung.</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provisorische politische Einigung am 7. Mai 2026 vor der ursprünglich für den 13. Mai 2026 anberaumten dritten Runde; Konvergenz auf Stichtage 2. Dezember 2027 (Anhang III), 2. August 2028 (Anhang I), 2. Dezember 2026 (Artikel 50 Abs. 2 Watermarking für Bestandsmodelle).</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 (Consilium).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provisorischen Einigung über den Digital Omnibus on AI (Anhang III → 2. Dezember 2027; Anhang I → 2. August 2028; Artikel 50 Abs. 2 → 2. Dezember 2026 für Bestandsmodelle; Artikel 5 — neues Verbot für CSAM/NCII-generierende Systeme; Anhang VIII Section B als schlanke Registrierungslogik; Maschinenverordnung als Sektor aus direkter AI-Act-Anwendbarkeit herausgenommen). https://www.consilium.europa.eu/en/press/press-releases/2026/05/07/artificial-intelligence-council-and-parliament-agree-to-simplify-and-streamline-rules/</w:t>
      </w:r>
    </w:p>
    <w:p>
      <w:pPr>
        <w:jc w:val="both"/>
      </w:pPr>
      <w:r>
        <w:rPr>
          <w:rFonts w:ascii="Arial" w:hAnsi="Arial"/>
          <w:b w:val="0"/>
          <w:i w:val="0"/>
          <w:sz w:val="19"/>
        </w:rPr>
        <w:t xml:space="preserve">Modulos / Hogan Lovells / Bird &amp; Bird / Matheson / Pinsent Masons. (7.–12. Mai 2026). </w:t>
      </w:r>
      <w:r>
        <w:rPr>
          <w:rFonts w:ascii="Arial" w:hAnsi="Arial"/>
          <w:b w:val="0"/>
          <w:i/>
          <w:sz w:val="19"/>
        </w:rPr>
        <w:t>EU AI Act Delayed: The Omnibus Deal Closed / EU legislators agree to delay for high-risk AI rules / Digital Omnibus on AI Provisional Agreement Reached at the May Trilogue / Provisional agreement reached on AI Digital Omnibus Regulation / Rules on „high-risk" AI to be delayed under EU „omnibus" deal.</w:t>
      </w:r>
      <w:r>
        <w:rPr>
          <w:rFonts w:ascii="Arial" w:hAnsi="Arial"/>
          <w:b w:val="0"/>
          <w:i w:val="0"/>
          <w:sz w:val="19"/>
        </w:rPr>
        <w:t xml:space="preserve"> Kanzlei- und Beratungs-Analysen zur provisorischen Trilog-Einigung vom 7. Mai 2026. https://www.modulos.ai/blog/eu-ai-act-omnibus-deal/ | https://www.hoganlovells.com/en/publications/eu-legislators-agree-to-delay-for-highrisk-ai-rules | https://www.twobirds.com/en/insights/2026/digital-omnibus-on-ai-provisional-agreement-reached-at-the-may-trilogue | https://www.matheson.com/insights/eu-legislators-reach-agreement-on-ai-digital-omnibus-regulation/ | https://www.pinsentmasons.com/out-law/news/rules-high-risk-ai-delayed-under-eu-omnibus-deal</w:t>
      </w:r>
    </w:p>
    <w:p>
      <w:pPr>
        <w:jc w:val="both"/>
      </w:pPr>
      <w:r>
        <w:rPr>
          <w:rFonts w:ascii="Arial" w:hAnsi="Arial"/>
          <w:b w:val="0"/>
          <w:i w:val="0"/>
          <w:sz w:val="19"/>
        </w:rPr>
        <w:t xml:space="preserve">Republik Korea — Office of the President / Kim Yong-beom. (12. Mai 2026). </w:t>
      </w:r>
      <w:r>
        <w:rPr>
          <w:rFonts w:ascii="Arial" w:hAnsi="Arial"/>
          <w:b w:val="0"/>
          <w:i/>
          <w:sz w:val="19"/>
        </w:rPr>
        <w:t>Vorschlag „National Dividend" auf Übergewinne von KI-Halbleiter­konzernen.</w:t>
      </w:r>
      <w:r>
        <w:rPr>
          <w:rFonts w:ascii="Arial" w:hAnsi="Arial"/>
          <w:b w:val="0"/>
          <w:i w:val="0"/>
          <w:sz w:val="19"/>
        </w:rPr>
        <w:t xml:space="preserve"> Facebook-Beitrag des Senior Presidential Secretary for Policy mit Aufkommens­zweckbindung (Gründungs­förderung Jugend, Grundeinkommen ländliche/Fischerei­regionen, Künstler­förderung, Renten); Stützung u. a. durch Abgeordnete Moon Geum-ju (Demokratische Partei). Berichterstattung Bloomberg, techxplore, AI Commission. https://www.bloomberg.com/news/articles/2026-05-12/korea-floats-citizen-dividend-using-ai-profits-samsung-falls | https://techxplore.com/news/2026-05-south-korea-ai-profit-social.html | https://aicommission.org/2026/05/south-korea-floats-ai-profit-social-tax-as-tech-giants-boom/</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TechCrunch / CNBC. (11. Mai 2026). </w:t>
      </w:r>
      <w:r>
        <w:rPr>
          <w:rFonts w:ascii="Arial" w:hAnsi="Arial"/>
          <w:b w:val="0"/>
          <w:i/>
          <w:sz w:val="19"/>
        </w:rPr>
        <w:t>GM just laid off hundreds of IT workers to hire those with stronger AI skills / GM cutting hundreds of salaried IT workers as it trims costs, evaluates needs.</w:t>
      </w:r>
      <w:r>
        <w:rPr>
          <w:rFonts w:ascii="Arial" w:hAnsi="Arial"/>
          <w:b w:val="0"/>
          <w:i w:val="0"/>
          <w:sz w:val="19"/>
        </w:rPr>
        <w:t xml:space="preserve"> Rund 600 Stellen (etwas mehr als zehn Prozent der konzern­weiten IT) gestrichen, gleichzeitig Neueinstellungen mit verschobenem Anforderungsprofil (AI-native development, Datenengineering, Cloud-Engineering, Agenten-/Modellentwicklung, Prompt-Engineering, neue AI-Workflows); erster nicht-Tech-Industriekonzern mit einer in dieser Größenordnung ausdrücklich als KI-Skill-Umschichtung begründeten IT-Reduktion. https://techcrunch.com/2026/05/11/gm-just-laid-off-hundreds-of-it-workers-to-hire-those-with-stronger-ai-skills/ | https://www.cnbc.com/2026/05/11/gm-layoffs.html</w:t>
      </w:r>
    </w:p>
    <w:p>
      <w:pPr>
        <w:jc w:val="both"/>
      </w:pPr>
      <w:r>
        <w:rPr>
          <w:rFonts w:ascii="Arial" w:hAnsi="Arial"/>
          <w:b w:val="0"/>
          <w:i w:val="0"/>
          <w:sz w:val="19"/>
        </w:rPr>
        <w:t xml:space="preserve">Bloomberg / Boston Globe / Boston.com / Citywire. (7./8./11. Mai 2026). </w:t>
      </w:r>
      <w:r>
        <w:rPr>
          <w:rFonts w:ascii="Arial" w:hAnsi="Arial"/>
          <w:b w:val="0"/>
          <w:i/>
          <w:sz w:val="19"/>
        </w:rPr>
        <w:t>Fidelity to Cut 800 Staffers as It Overhauls Tech, Product Teams / Fidelity announces job cuts and hiring spree, all at once / Fidelity reorganizes its workplace with new hires — and a few cuts / Fidelity Investments lays off 800, preps hiring spree.</w:t>
      </w:r>
      <w:r>
        <w:rPr>
          <w:rFonts w:ascii="Arial" w:hAnsi="Arial"/>
          <w:b w:val="0"/>
          <w:i w:val="0"/>
          <w:sz w:val="19"/>
        </w:rPr>
        <w:t xml:space="preserve"> Streichung von rund 800 Stellen (rund 1 % von 80.000 weltweit Beschäftigten) in Technologie- und Produkt-Teams; gleichzeitig 3.300 Neueinstellungen in 2026 (rund 1.650 in Tech/Produkt, rund 2.000 in Einstiegspositionen); Übergang von kleinteiligen </w:t>
      </w:r>
      <w:r>
        <w:rPr>
          <w:rFonts w:ascii="Arial" w:hAnsi="Arial"/>
          <w:b w:val="0"/>
          <w:i/>
          <w:sz w:val="19"/>
        </w:rPr>
        <w:t>agile</w:t>
      </w:r>
      <w:r>
        <w:rPr>
          <w:rFonts w:ascii="Arial" w:hAnsi="Arial"/>
          <w:b w:val="0"/>
          <w:i w:val="0"/>
          <w:sz w:val="19"/>
        </w:rPr>
        <w:t>-Squads zu größeren KI-gestützten Build-Teams. https://www.bloomberg.com/news/articles/2026-05-07/fidelity-to-cut-800-staffers-as-it-overhauls-tech-product-teams | https://www.bostonglobe.com/2026/05/07/business/fidelity-hiring-spree-job-cuts-return-to-office/ | https://www.boston.com/news/business/2026/05/11/fidelity-reorganizes-its-workplace-with-new-hires-and-a-few-cuts/ | https://citywire.com/selector/news/fidelity-investments-lays-off-800-preps-hiring-spree/a2489565</w:t>
      </w:r>
    </w:p>
    <w:p>
      <w:pPr>
        <w:jc w:val="both"/>
      </w:pPr>
      <w:r>
        <w:rPr>
          <w:rFonts w:ascii="Arial" w:hAnsi="Arial"/>
          <w:b w:val="0"/>
          <w:i w:val="0"/>
          <w:sz w:val="19"/>
        </w:rPr>
        <w:t xml:space="preserve">Strauss Borrelli PLLC. (12. Mai 2026). </w:t>
      </w:r>
      <w:r>
        <w:rPr>
          <w:rFonts w:ascii="Arial" w:hAnsi="Arial"/>
          <w:b w:val="0"/>
          <w:i/>
          <w:sz w:val="19"/>
        </w:rPr>
        <w:t>Cloudflare Inc WARN Act Investigation.</w:t>
      </w:r>
      <w:r>
        <w:rPr>
          <w:rFonts w:ascii="Arial" w:hAnsi="Arial"/>
          <w:b w:val="0"/>
          <w:i w:val="0"/>
          <w:sz w:val="19"/>
        </w:rPr>
        <w:t xml:space="preserve"> Öffentliche Ankündigung einer Sammelklage­untersuchung zu möglichen WARN-Act-Verstößen bei der am 7. Mai 2026 dem kalifornischen </w:t>
      </w:r>
      <w:r>
        <w:rPr>
          <w:rFonts w:ascii="Arial" w:hAnsi="Arial"/>
          <w:b w:val="0"/>
          <w:i/>
          <w:sz w:val="19"/>
        </w:rPr>
        <w:t>Employment Development Department</w:t>
      </w:r>
      <w:r>
        <w:rPr>
          <w:rFonts w:ascii="Arial" w:hAnsi="Arial"/>
          <w:b w:val="0"/>
          <w:i w:val="0"/>
          <w:sz w:val="19"/>
        </w:rPr>
        <w:t xml:space="preserve"> angezeigten Streichung von 224 Beschäftigten in San Francisco (Anlass: möglicherweise weniger als 60 Tage Vorankündigung). Erster dokumentierter rechtlicher Pushback gegen die KI-getriebene Layoff-Welle 2026. https://straussborrelli.com/2026/05/12/cloudflare-inc-warn-act-investigation/</w:t>
      </w:r>
    </w:p>
    <w:p>
      <w:pPr>
        <w:jc w:val="both"/>
      </w:pPr>
      <w:r>
        <w:rPr>
          <w:rFonts w:ascii="Arial" w:hAnsi="Arial"/>
          <w:b w:val="0"/>
          <w:i w:val="0"/>
          <w:sz w:val="19"/>
        </w:rPr>
        <w:t xml:space="preserve">TrueUp / American Bazaar. (Stand 11./12. Mai 2026). </w:t>
      </w:r>
      <w:r>
        <w:rPr>
          <w:rFonts w:ascii="Arial" w:hAnsi="Arial"/>
          <w:b w:val="0"/>
          <w:i/>
          <w:sz w:val="19"/>
        </w:rPr>
        <w:t>Tech Layoffs Tracker — Tagesfortschreibung: 128.270 Personen aus 286 Layoff-Meldungen (rund 1.002 Personen pro Tag); US-Aggregat erste zehn Tage Mai 2026 rund 38.000 Stellen über Technologie-, Finanz-, Luftfahrt-, Medien- und Cybersicherheitsbranchen hinweg.</w:t>
      </w:r>
      <w:r>
        <w:rPr>
          <w:rFonts w:ascii="Arial" w:hAnsi="Arial"/>
          <w:b w:val="0"/>
          <w:i w:val="0"/>
          <w:sz w:val="19"/>
        </w:rPr>
        <w:t xml:space="preserve"> https://www.trueup.io/layoffs | https://americanbazaaronline.com/2026/05/10/us-layoffs-in-first-10-days-of-may-2026-nearly-38000-jobs-cut-480502/</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13. Mai 2026 — Lauf 001 vom 13.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In Lauf 001 vom 13. Mai 2026 hinzugekommen sind: die in den frühen Morgenstunden des 7. Mai 2026 zwischen Rat und Europäischem Parlament erzielte provisorische Trilog-Einigung zum </w:t>
      </w:r>
      <w:r>
        <w:rPr>
          <w:rFonts w:ascii="Arial" w:hAnsi="Arial"/>
          <w:b w:val="0"/>
          <w:i/>
          <w:sz w:val="19"/>
        </w:rPr>
        <w:t>Digital Omnibus on AI</w:t>
      </w:r>
      <w:r>
        <w:rPr>
          <w:rFonts w:ascii="Arial" w:hAnsi="Arial"/>
          <w:b w:val="0"/>
          <w:i w:val="0"/>
          <w:sz w:val="19"/>
        </w:rPr>
        <w:t xml:space="preserve"> (Anhang III → 2. Dezember 2027; Anhang I → 2. August 2028; Artikel 50 Abs. 2 Watermarking für Bestandsmodelle → 2. Dezember 2026; neues Verbotsmerkmal in Artikel 5 für CSAM-/NCII-generierende Systeme; Anhang VIII Section B als schlanke Registrierungslogik; Maschinenverordnung als Sektor aus direkter AI-Act-Anwendbarkeit herausgenommen; die für den 13. Mai 2026 anberaumte dritte Trilog-Runde wurde damit obsolet); der am 12. Mai 2026 von Kim Yong-beom (Senior Presidential Secretary for Policy im südkoreanischen Präsidialamt) öffentlich gemachte Vorschlag einer „National Dividend" auf Übergewinne von KI-Halbleiter­konzernen (Samsung Electronics, SK hynix) mit zweckgebundener Bürger­auszahlung (Gründungs­förderung Jugend, Grundeinkommen ländliche/Fischerei­regionen, Künstler­förderung, Renten); die am 11. Mai 2026 von </w:t>
      </w:r>
      <w:r>
        <w:rPr>
          <w:rFonts w:ascii="Arial" w:hAnsi="Arial"/>
          <w:b w:val="0"/>
          <w:i/>
          <w:sz w:val="19"/>
        </w:rPr>
        <w:t>General Motors</w:t>
      </w:r>
      <w:r>
        <w:rPr>
          <w:rFonts w:ascii="Arial" w:hAnsi="Arial"/>
          <w:b w:val="0"/>
          <w:i w:val="0"/>
          <w:sz w:val="19"/>
        </w:rPr>
        <w:t xml:space="preserve"> angekündigte Streichung von rund 600 IT-Stellen (etwas mehr als 10 % der konzern­weiten IT) als KI-Skill-Umschichtung mit parallelen Neueinstellungen — erster nicht-Tech-Industriekonzern mit einer in dieser Größenordnung ausdrücklich als Qualifikations­tausch begründeten IT-Reduktion; die am 7./8. Mai 2026 von </w:t>
      </w:r>
      <w:r>
        <w:rPr>
          <w:rFonts w:ascii="Arial" w:hAnsi="Arial"/>
          <w:b w:val="0"/>
          <w:i/>
          <w:sz w:val="19"/>
        </w:rPr>
        <w:t>Fidelity Investments</w:t>
      </w:r>
      <w:r>
        <w:rPr>
          <w:rFonts w:ascii="Arial" w:hAnsi="Arial"/>
          <w:b w:val="0"/>
          <w:i w:val="0"/>
          <w:sz w:val="19"/>
        </w:rPr>
        <w:t xml:space="preserve"> angekündigte Streichung von rund 800 Tech-/Produkt-Stellen (rund 1 % von 80.000 Beschäftigten) bei zugleich 3.300 Neueinstellungen in 2026 (rund 1.650 Tech/Produkt, rund 2.000 Einstieg); die am 12. Mai 2026 von </w:t>
      </w:r>
      <w:r>
        <w:rPr>
          <w:rFonts w:ascii="Arial" w:hAnsi="Arial"/>
          <w:b w:val="0"/>
          <w:i/>
          <w:sz w:val="19"/>
        </w:rPr>
        <w:t>Strauss Borrelli PLLC</w:t>
      </w:r>
      <w:r>
        <w:rPr>
          <w:rFonts w:ascii="Arial" w:hAnsi="Arial"/>
          <w:b w:val="0"/>
          <w:i w:val="0"/>
          <w:sz w:val="19"/>
        </w:rPr>
        <w:t xml:space="preserve"> angekündigte Sammelklage­untersuchung zu möglichen WARN-Act-Verstößen bei der </w:t>
      </w:r>
      <w:r>
        <w:rPr>
          <w:rFonts w:ascii="Arial" w:hAnsi="Arial"/>
          <w:b w:val="0"/>
          <w:i/>
          <w:sz w:val="19"/>
        </w:rPr>
        <w:t>Cloudflare</w:t>
      </w:r>
      <w:r>
        <w:rPr>
          <w:rFonts w:ascii="Arial" w:hAnsi="Arial"/>
          <w:b w:val="0"/>
          <w:i w:val="0"/>
          <w:sz w:val="19"/>
        </w:rPr>
        <w:t xml:space="preserve">-Reduktion in San Francisco (224 Beschäftigte) als erster dokumentierter rechtlicher Pushback gegen die KI-getriebene Layoff-Welle; sowie die Tagesfortschreibung der TrueUp-Tracker-Methodik zum 12. Mai 2026 (128.270 Personen aus 286 Layoff-Meldungen, rund 1.002 Stellen pro Tag) und das </w:t>
      </w:r>
      <w:r>
        <w:rPr>
          <w:rFonts w:ascii="Arial" w:hAnsi="Arial"/>
          <w:b w:val="0"/>
          <w:i/>
          <w:sz w:val="19"/>
        </w:rPr>
        <w:t>American-Bazaar</w:t>
      </w:r>
      <w:r>
        <w:rPr>
          <w:rFonts w:ascii="Arial" w:hAnsi="Arial"/>
          <w:b w:val="0"/>
          <w:i w:val="0"/>
          <w:sz w:val="19"/>
        </w:rPr>
        <w:t>-Aggregat von rund 38.000 Stellenstreichungen in den ersten zehn Tagen Mai 2026 (Technologie, Finanzen, Luftfahrt, Medien, Cybersicherheit).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