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April 2026</w:t>
      </w:r>
    </w:p>
    <w:p>
      <w:pPr>
        <w:jc w:val="center"/>
      </w:pPr>
      <w:r>
        <w:rPr>
          <w:rFonts w:ascii="Arial" w:hAnsi="Arial"/>
          <w:b w:val="0"/>
          <w:i w:val="0"/>
          <w:color w:val="666666"/>
          <w:sz w:val="18"/>
        </w:rPr>
        <w:t>Version 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w:t>
      </w:r>
      <w:r>
        <w:rPr>
          <w:rFonts w:ascii="Arial" w:hAnsi="Arial"/>
          <w:b w:val="0"/>
          <w:i w:val="0"/>
          <w:sz w:val="19"/>
        </w:rPr>
        <w:t xml:space="preserve"> US-Senator Bernie Sanders, ranghöchstes Mitglied im HELP-Ausschuss des US-Senats, veröffentlichte einen Bericht, der eine „Robotersteuer" für Unternehmen forderte, die KI einsetzen, um Arbeitsplätze zu ersetzen. Dies ist der bislang konkreteste politische Vorstoß auf US-Bundesebene.</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Workshop im Mai 2026 und ein neues OpenAI-Büro in Washington, D.C.</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weil es großzügig klinge, aber keine konkreten Selbstverpflichtungen des Absenders enthalte —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bereits 2024 in Deutschland mit der „Generationenkapital"-Initiative angelegt wurde.</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Sanders, B. (Oktober 2025). Bericht zur Robotersteuer / KI-Abgabe. US-Senat, Committee on Health, Education, Labor and Pensions (HELP), Minderheitsbericht. Vollständige Titelangabe zu verifizieren.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i w:val="0"/>
          <w:sz w:val="19"/>
        </w:rPr>
        <w:t>Hinweis zur Aktualität:</w:t>
      </w:r>
      <w:r>
        <w:rPr>
          <w:rFonts w:ascii="Arial" w:hAnsi="Arial"/>
          <w:b w:val="0"/>
          <w:i w:val="0"/>
          <w:sz w:val="19"/>
        </w:rPr>
        <w:t xml:space="preserve"> Dieses Arbeitspapier gibt den Stand April 2026 wieder. Die Debatte entwickelt sich dynamisch, insbesondere im Zuge der OpenAI-Strategiepapiere und der laufenden EU-Regulierungsarbeit zum AI Act.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3.0 — April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