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77.0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pPr>
        <w:jc w:val="both"/>
      </w:pPr>
      <w:r>
        <w:rPr>
          <w:rFonts w:ascii="Arial" w:hAnsi="Arial"/>
          <w:b/>
          <w:i w:val="0"/>
          <w:sz w:val="19"/>
        </w:rPr>
        <w:t>Empirische Ergänzung Deutschland (ifo-Konjunkturumfrage Juni 2026):</w:t>
      </w:r>
      <w:r>
        <w:rPr>
          <w:rFonts w:ascii="Arial" w:hAnsi="Arial"/>
          <w:b w:val="0"/>
          <w:i w:val="0"/>
          <w:sz w:val="19"/>
        </w:rPr>
        <w:t xml:space="preserve"> Zeitgleich zur McCrory-Diagnose einer noch verhaltenen US-Aggregatwirkung liefert die </w:t>
      </w:r>
      <w:r>
        <w:rPr>
          <w:rFonts w:ascii="Arial" w:hAnsi="Arial"/>
          <w:b w:val="0"/>
          <w:i/>
          <w:sz w:val="19"/>
        </w:rPr>
        <w:t>ifo</w:t>
      </w:r>
      <w:r>
        <w:rPr>
          <w:rFonts w:ascii="Arial" w:hAnsi="Arial"/>
          <w:b w:val="0"/>
          <w:i w:val="0"/>
          <w:sz w:val="19"/>
        </w:rPr>
        <w:t xml:space="preserve">-Konjunkturumfrage vom Juni 2026 mit rund 3.000 KI-nutzenden deutschen Unternehmen erstmals eine repräsentative Firmen-Erwartungsmessung zur Lohnwirkung des KI-Einsatzes (Ruffert, </w:t>
      </w:r>
      <w:r>
        <w:rPr>
          <w:rFonts w:ascii="Arial" w:hAnsi="Arial"/>
          <w:b w:val="0"/>
          <w:i/>
          <w:sz w:val="19"/>
        </w:rPr>
        <w:t>Unternehmen erwarten eher sinkende Löhne durch Einsatz von Künstlicher Intelligenz</w:t>
      </w:r>
      <w:r>
        <w:rPr>
          <w:rFonts w:ascii="Arial" w:hAnsi="Arial"/>
          <w:b w:val="0"/>
          <w:i w:val="0"/>
          <w:sz w:val="19"/>
        </w:rPr>
        <w:t>, ifo Konjunkturperspektiven 07/2026, veröffentlicht am 12. August 2026). Rund die Hälfte der KI-nutzenden Unternehmen rechnet über einen Fünfjahres­horizont mit sinkenden Löhnen für Berufseinsteigerinnen und -einsteiger, rund 40 % auch für erfahrene Beschäftigte; im Detail erwarten 48,3 % (nicht-akademisch) beziehungsweise 50,8 % (akademisch) sinkende Löhne für Beschäftigte mit weniger als fünf Jahren Berufserfahrung, während lediglich 5,9 % (nicht-akademisch) beziehungsweise 16,3 % (akademisch) mit steigenden Löhnen rechnen; für Beschäftigte mit Hochschulabschluss und längerer Berufserfahrung projizieren 26 % der Unternehmen Lohnzuwachs. Sektoral ist die erwartete Lohnkompression im Dienstleistungssektor am stärksten ausgeprägt (53,3 % erwarten sinkende Löhne für nicht-akademische Junior-Beschäftigte, 44,2 % für Senior-Beschäftigte), im Bauwesen mit 39 % (Junior) beziehungsweise 31,3 % (Senior) am schwächsten; Handel (47,9 % / 41,3 %) und verarbeitendes Gewerbe (46,5 % / 38,9 %) liegen dazwischen. Der Befund ergänzt die US-fokussierte Massenkoff/McCrory-Linie um eine deutsche Firmen­erwartungs­dimension und stützt die in § 8.3 (Teilhabefrage) und § 8.4 (Systemstabilität) formulierte Auslegung, dass die Verteilungs­wirkung sich in Deutschland zunächst über die Lohnstruktur — insbesondere über Einstiegslöhne — ausdrücken könnte, nicht primär über direkte Verdrängung; er unterstreicht damit zugleich die in § 5.1 und § 8.3 diskutierte Rationalität einer wertschöpfungs­orientierten Sozialstaats­finanzierung, die auf Lohnkompression unempfindlicher reagiert als lohnbasierte Beitrags­systeme (Konjunktivpflicht nach § 4.2 Claude.md, da die Erhebung Firmen­erwartungen und keine realisierten Löhne misst).</w:t>
      </w:r>
    </w:p>
    <w:p>
      <w:pPr>
        <w:jc w:val="both"/>
      </w:pPr>
      <w:r>
        <w:rPr>
          <w:rFonts w:ascii="Arial" w:hAnsi="Arial"/>
          <w:b/>
          <w:i w:val="0"/>
          <w:sz w:val="19"/>
        </w:rPr>
        <w:t>Empirische Ergänzung USA — Sentiment-Sabotage-Kanal (Ma 12. August 2026 auf Basis Ding/Ma/Wu/Yang 2026):</w:t>
      </w:r>
      <w:r>
        <w:rPr>
          <w:rFonts w:ascii="Arial" w:hAnsi="Arial"/>
          <w:b w:val="0"/>
          <w:i w:val="0"/>
          <w:sz w:val="19"/>
        </w:rPr>
        <w:t xml:space="preserve"> Ergänzend zur ifo-Firmenerwartungs­messung veröffentlichte Mark (Shuai) Ma (Katz Graduate School of Business, University of Pittsburgh) am 12. August 2026 in </w:t>
      </w:r>
      <w:r>
        <w:rPr>
          <w:rFonts w:ascii="Arial" w:hAnsi="Arial"/>
          <w:b w:val="0"/>
          <w:i/>
          <w:sz w:val="19"/>
        </w:rPr>
        <w:t>The Conversation</w:t>
      </w:r>
      <w:r>
        <w:rPr>
          <w:rFonts w:ascii="Arial" w:hAnsi="Arial"/>
          <w:b w:val="0"/>
          <w:i w:val="0"/>
          <w:sz w:val="19"/>
        </w:rPr>
        <w:t xml:space="preserve"> eine explizite Auslegung der eigenen Multi-Datenquellen-Studie (Ding, Ma, Wu &amp; Yang, </w:t>
      </w:r>
      <w:r>
        <w:rPr>
          <w:rFonts w:ascii="Arial" w:hAnsi="Arial"/>
          <w:b w:val="0"/>
          <w:i/>
          <w:sz w:val="19"/>
        </w:rPr>
        <w:t>Tracking Artificial Intelligence Sentiment in the U.S. Labor Market</w:t>
      </w:r>
      <w:r>
        <w:rPr>
          <w:rFonts w:ascii="Arial" w:hAnsi="Arial"/>
          <w:b w:val="0"/>
          <w:i w:val="0"/>
          <w:sz w:val="19"/>
        </w:rPr>
        <w:t xml:space="preserve">, SSRN Working Paper 6652799, 26. April 2026), die den Zusammenhang zwischen KI-getriebenen Layoffs, Mitarbeiter­sentiment und firm-produktivität systematisch quantifiziert. Die zugrundeliegende Untersuchung wertet rund 3.200 US-Firmen zwischen 2021 und 2025 aus — Millionen von Glassdoor-Bewertungen, Tausende Earnings-Call-Transkripte, hunderte KI-Investitions- und Layoff-Ankündigungen sowie individuelle LinkedIn-Profile — und dokumentiert drei Kernbefunde: Erstens ist das Mitarbeiter­sentiment gegenüber KI signifikant negativer als das durchschnittliche Sentiment gegenüber dem eigenen Arbeitgeber; zweitens besteht eine starke positive Assoziation zwischen positivem Mitarbeiter-KI-Sentiment und firm-produktivität, während das systematisch optimistische Management-KI-Sentiment die Produktivitätsvariation nicht erklärt; drittens beschädigen KI-attribuierte Layoff-Ankündigungen das Mitarbeiter-KI-Sentiment nachhaltig, und Firmen mit höherem AI-Talent-Share weisen höhere Fluktuation, niedrigere Einstellungs­raten und langsameres Beschäftigungs­wachstum auf. Ma verweist auf eine parallele Atlanta-Fed-Erhebung, wonach rund 90 % der Führungskräfte angeben, KI habe die Unternehmens­produktivität bislang nicht messbar erhöht, sowie auf eine durchschnittliche Börsenrendite nahe null bei KI-Layoff-Ankündigungen (Konjunktivpflicht nach § 4.2 Claude.md, da die Auslegung eine populärwissenschaftliche Interpretation eines noch nicht peer-reviewten Working Papers ist). Beide Befunde stützen die Auslegung, dass die in § 3.5 dokumentierte Beobachtung moderater Aggregat­produktivitäts­wirkungen nicht allein aus der </w:t>
      </w:r>
      <w:r>
        <w:rPr>
          <w:rFonts w:ascii="Arial" w:hAnsi="Arial"/>
          <w:b w:val="0"/>
          <w:i/>
          <w:sz w:val="19"/>
        </w:rPr>
        <w:t>„jagged capability"</w:t>
      </w:r>
      <w:r>
        <w:rPr>
          <w:rFonts w:ascii="Arial" w:hAnsi="Arial"/>
          <w:b w:val="0"/>
          <w:i w:val="0"/>
          <w:sz w:val="19"/>
        </w:rPr>
        <w:t xml:space="preserve">-Struktur (McCrory 22. Juli 2026) resultiert, sondern auch aus der arbeitgeberseitigen Implementierungs­strategie: KI-Investitionen, die mit Personalabbau kombiniert werden, könnten durch Vertrauens- und Sentiment-Schäden systematisch jene Produktivitätsgewinne unterlaufen, die sie zu realisieren beanspruchen. Für die hier geführte Steuerdebatte hat der Befund zwei Konsequenzen: Erstens bestätigt er die in § 8.4 (Systemstabilität) entwickelte Auslegung, dass eine Steuer- und Sozialstaats­reform, die Produktivitäts­gewinne sichtbar abschöpft und teilbar zurückgibt, nicht nur verteilungs­politisch geboten, sondern auch </w:t>
      </w:r>
      <w:r>
        <w:rPr>
          <w:rFonts w:ascii="Arial" w:hAnsi="Arial"/>
          <w:b w:val="0"/>
          <w:i/>
          <w:sz w:val="19"/>
        </w:rPr>
        <w:t>produktivitätsökonomisch</w:t>
      </w:r>
      <w:r>
        <w:rPr>
          <w:rFonts w:ascii="Arial" w:hAnsi="Arial"/>
          <w:b w:val="0"/>
          <w:i w:val="0"/>
          <w:sz w:val="19"/>
        </w:rPr>
        <w:t xml:space="preserve"> rational sein kann — weil sie die von Ma beschriebene Sabotage-Dynamik durch eine kollektive Absicherungs­komponente entschärft. Zweitens verschärft er das in § 9.1 diskutierte Kausalattributions­problem einer engen Typ-5-Ersatzabgabe: Wenn KI-attribuierte Layoffs empirisch teilweise als selbstschädigende Managemententscheidungen und nicht als technisch-notwendige Displacement-Reaktion erkennbar wären, würde eine administrative Anknüpfung an bloße Layoff-Ereignisse weiter destabilisiert; die wertschöpfungs­orientierte Bemessungs­basis (§ 5.1, § 8.3) bliebe demgegenüber unabhängig von der arbeitgeberseitigen Attribution belastbar.</w:t>
      </w:r>
    </w:p>
    <w:p>
      <w:pPr>
        <w:jc w:val="both"/>
      </w:pPr>
      <w:r>
        <w:rPr>
          <w:rFonts w:ascii="Arial" w:hAnsi="Arial"/>
          <w:b/>
          <w:i w:val="0"/>
          <w:sz w:val="19"/>
        </w:rPr>
        <w:t>Empirische Ergänzung Kohorten-Dimension — Global (Goldman Sachs 19. August 2026) und Südkorea (Bank of Korea 18. August 2026):</w:t>
      </w:r>
      <w:r>
        <w:rPr>
          <w:rFonts w:ascii="Arial" w:hAnsi="Arial"/>
          <w:b w:val="0"/>
          <w:i w:val="0"/>
          <w:sz w:val="19"/>
        </w:rPr>
        <w:t xml:space="preserve"> Zwei innerhalb von 24 Stunden veröffentlichte, methodisch unabhängige Untersuchungen fügen der Aggregat-vs.-Frühindikator-Kette in § 3.5 eine explizite </w:t>
      </w:r>
      <w:r>
        <w:rPr>
          <w:rFonts w:ascii="Arial" w:hAnsi="Arial"/>
          <w:b w:val="0"/>
          <w:i/>
          <w:sz w:val="19"/>
        </w:rPr>
        <w:t>Kohorten-</w:t>
      </w:r>
      <w:r>
        <w:rPr>
          <w:rFonts w:ascii="Arial" w:hAnsi="Arial"/>
          <w:b w:val="0"/>
          <w:i w:val="0"/>
          <w:sz w:val="19"/>
        </w:rPr>
        <w:t xml:space="preserve"> beziehungsweise </w:t>
      </w:r>
      <w:r>
        <w:rPr>
          <w:rFonts w:ascii="Arial" w:hAnsi="Arial"/>
          <w:b w:val="0"/>
          <w:i/>
          <w:sz w:val="19"/>
        </w:rPr>
        <w:t>Generationsdimension</w:t>
      </w:r>
      <w:r>
        <w:rPr>
          <w:rFonts w:ascii="Arial" w:hAnsi="Arial"/>
          <w:b w:val="0"/>
          <w:i w:val="0"/>
          <w:sz w:val="19"/>
        </w:rPr>
        <w:t xml:space="preserve"> hinzu, die bislang nur mittelbar über die Massenkoff/McCrory-Beobachtung zur verlangsamten Einstellung der Altersgruppe 22–25 und die Ruffert-Erwartungsmessung zu Junior-Löhnen adressiert war. Erstens hat </w:t>
      </w:r>
      <w:r>
        <w:rPr>
          <w:rFonts w:ascii="Arial" w:hAnsi="Arial"/>
          <w:b w:val="0"/>
          <w:i/>
          <w:sz w:val="19"/>
        </w:rPr>
        <w:t>Goldman Sachs</w:t>
      </w:r>
      <w:r>
        <w:rPr>
          <w:rFonts w:ascii="Arial" w:hAnsi="Arial"/>
          <w:b w:val="0"/>
          <w:i w:val="0"/>
          <w:sz w:val="19"/>
        </w:rPr>
        <w:t xml:space="preserve"> am 19. August 2026 den </w:t>
      </w:r>
      <w:r>
        <w:rPr>
          <w:rFonts w:ascii="Arial" w:hAnsi="Arial"/>
          <w:b w:val="0"/>
          <w:i/>
          <w:sz w:val="19"/>
        </w:rPr>
        <w:t>Global Economics Comment „Is AI Impacting Global Labor Markets?"</w:t>
      </w:r>
      <w:r>
        <w:rPr>
          <w:rFonts w:ascii="Arial" w:hAnsi="Arial"/>
          <w:b w:val="0"/>
          <w:i w:val="0"/>
          <w:sz w:val="19"/>
        </w:rPr>
        <w:t xml:space="preserve"> vorgelegt (Team um Joseph Briggs und Jan Hatzius) und darin über 800 Berufe in mehreren Industrieländern ausgewertet: Für den breiten Arbeitsmarkt bleibt der Effekt eines Anstiegs der beruflichen KI-Exposition um 10 Prozentpunkte auf das jährliche Beschäftigungswachstum in Frankreich, Kanada und den Vereinigten Staaten klein (rund −0,1 Prozentpunkte); für Berufseinsteigerinnen und -einsteiger ist der Effekt jedoch mehr als dreimal so groß und reicht in Australien über −0,6 Prozentpunkte, in den Vereinigten Staaten über −0,2 Prozentpunkte. Sektoral erreichen die Beschäftigungslücken zum historischen Trend im </w:t>
      </w:r>
      <w:r>
        <w:rPr>
          <w:rFonts w:ascii="Arial" w:hAnsi="Arial"/>
          <w:b w:val="0"/>
          <w:i/>
          <w:sz w:val="19"/>
        </w:rPr>
        <w:t>Call-Center-Segment</w:t>
      </w:r>
      <w:r>
        <w:rPr>
          <w:rFonts w:ascii="Arial" w:hAnsi="Arial"/>
          <w:b w:val="0"/>
          <w:i w:val="0"/>
          <w:sz w:val="19"/>
        </w:rPr>
        <w:t xml:space="preserve"> rund −39 % in den Vereinigten Staaten, rund −33 % in Kanada und rund −27 % in Deutschland; ähnlich ausgeprägte, wenn auch geringere Untertrend-Ausschläge weisen die Autoren für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aus. Goldman ordnet den Aggregat-Effekt weiterhin als „limited to a narrow set of industries and workers" ein (Konjunktivpflicht nach § 4.2 Claude.md, da die zugrundeliegende Sell-Side-Studie einer externen Peer-Review nicht unterliegt). Zweitens hat die </w:t>
      </w:r>
      <w:r>
        <w:rPr>
          <w:rFonts w:ascii="Arial" w:hAnsi="Arial"/>
          <w:b w:val="0"/>
          <w:i/>
          <w:sz w:val="19"/>
        </w:rPr>
        <w:t>Bank of Korea</w:t>
      </w:r>
      <w:r>
        <w:rPr>
          <w:rFonts w:ascii="Arial" w:hAnsi="Arial"/>
          <w:b w:val="0"/>
          <w:i w:val="0"/>
          <w:sz w:val="19"/>
        </w:rPr>
        <w:t xml:space="preserve"> am 18. August 2026 einen von Oh Sam-il verantworteten Forschungsbeitrag zur Beschäftigungsentwicklung der 15- bis 29-Jährigen zwischen Juni 2022 (ChatGPT-Startpunkt) und Juni 2026 publiziert: Von rund 285.000 Netto-Arbeitsplatzverlusten in dieser Kohorte entfielen rund 268.000 (etwa 94 %) auf KI-exponierte Sektoren, während Beschäftigte über 50 Jahren im selben Zeitraum rund 230.000 Netto-Arbeitsplätze aufbauten, davon rund 173.000 in KI-nahen Branchen. Sektoral fielen die Jugend­beschäftigungen in </w:t>
      </w:r>
      <w:r>
        <w:rPr>
          <w:rFonts w:ascii="Arial" w:hAnsi="Arial"/>
          <w:b w:val="0"/>
          <w:i/>
          <w:sz w:val="19"/>
        </w:rPr>
        <w:t>Informations­dienstleistungen</w:t>
      </w:r>
      <w:r>
        <w:rPr>
          <w:rFonts w:ascii="Arial" w:hAnsi="Arial"/>
          <w:b w:val="0"/>
          <w:i w:val="0"/>
          <w:sz w:val="19"/>
        </w:rPr>
        <w:t xml:space="preserve"> um rund 31,4 %, in </w:t>
      </w:r>
      <w:r>
        <w:rPr>
          <w:rFonts w:ascii="Arial" w:hAnsi="Arial"/>
          <w:b w:val="0"/>
          <w:i/>
          <w:sz w:val="19"/>
        </w:rPr>
        <w:t>Verlagswesen</w:t>
      </w:r>
      <w:r>
        <w:rPr>
          <w:rFonts w:ascii="Arial" w:hAnsi="Arial"/>
          <w:b w:val="0"/>
          <w:i w:val="0"/>
          <w:sz w:val="19"/>
        </w:rPr>
        <w:t xml:space="preserve"> um rund 27,4 %, in </w:t>
      </w:r>
      <w:r>
        <w:rPr>
          <w:rFonts w:ascii="Arial" w:hAnsi="Arial"/>
          <w:b w:val="0"/>
          <w:i/>
          <w:sz w:val="19"/>
        </w:rPr>
        <w:t>Computer­programmierung</w:t>
      </w:r>
      <w:r>
        <w:rPr>
          <w:rFonts w:ascii="Arial" w:hAnsi="Arial"/>
          <w:b w:val="0"/>
          <w:i w:val="0"/>
          <w:sz w:val="19"/>
        </w:rPr>
        <w:t xml:space="preserve"> um rund 16,6 % und in </w:t>
      </w:r>
      <w:r>
        <w:rPr>
          <w:rFonts w:ascii="Arial" w:hAnsi="Arial"/>
          <w:b w:val="0"/>
          <w:i/>
          <w:sz w:val="19"/>
        </w:rPr>
        <w:t>professionellen Dienstleistungen</w:t>
      </w:r>
      <w:r>
        <w:rPr>
          <w:rFonts w:ascii="Arial" w:hAnsi="Arial"/>
          <w:b w:val="0"/>
          <w:i w:val="0"/>
          <w:sz w:val="19"/>
        </w:rPr>
        <w:t xml:space="preserve"> um rund 11,6 %. Für die hier geführte Steuerdebatte fügen die beiden Datenpunkte drei Anschluss­stellen hinzu: Erstens präzisieren sie die in § 8.3 (Teilhabefrage) skizzierte Ungleich­verteilung der KI-Wirkung um eine Generationsdimension, die eine reine Alterskohorten-Umverteilung — Junior verliert, Senior gewinnt — als empirisch messbare Frühwirkung dokumentiert; zweitens stützen sie die in § 8.4 (Systemstabilität) entwickelte Auslegung, dass die Frühwirkungen des KI-Umbaus zunächst nicht in aggregierten Arbeitslosen­quoten, sondern in Berufseinstiegs- und Karriere­aufstiegs­lücken sichtbar werden — mit entsprechenden Konsequenzen für die Kalibrierung einer szenariorobusten Reform; drittens verschärfen sie das in § 9.1 diskutierte Kausalattributions­problem einer engen Typ-5-Ersatzabgabe, weil die Verdrängungs­wirkung sich empirisch nicht in Einzel­entlassungen, sondern in unterlassenen Einstellungen manifestiert, wo eine ereignis­basierte Bemessungs­grundlage strukturell keinen Anknüpfungs­punkt findet.</w:t>
      </w:r>
    </w:p>
    <w:p>
      <w:pPr>
        <w:jc w:val="both"/>
      </w:pPr>
      <w:r>
        <w:rPr>
          <w:rFonts w:ascii="Arial" w:hAnsi="Arial"/>
          <w:b/>
          <w:i w:val="0"/>
          <w:sz w:val="19"/>
        </w:rPr>
        <w:t>Empirische Ergänzung USA — Federal-Reserve-FOMC-Minutes (19. August 2026, Sitzung 28./29. Juli 2026):</w:t>
      </w:r>
      <w:r>
        <w:rPr>
          <w:rFonts w:ascii="Arial" w:hAnsi="Arial"/>
          <w:b w:val="0"/>
          <w:i w:val="0"/>
          <w:sz w:val="19"/>
        </w:rPr>
        <w:t xml:space="preserve"> Am 19. August 2026 hat der </w:t>
      </w:r>
      <w:r>
        <w:rPr>
          <w:rFonts w:ascii="Arial" w:hAnsi="Arial"/>
          <w:b w:val="0"/>
          <w:i/>
          <w:sz w:val="19"/>
        </w:rPr>
        <w:t>Federal Reserve Board</w:t>
      </w:r>
      <w:r>
        <w:rPr>
          <w:rFonts w:ascii="Arial" w:hAnsi="Arial"/>
          <w:b w:val="0"/>
          <w:i w:val="0"/>
          <w:sz w:val="19"/>
        </w:rPr>
        <w:t xml:space="preserve"> das Sitzungsprotokoll der FOMC-Sitzung vom 28./29. Juli 2026 veröffentlicht und darin erstmals in einem geldpolitischen Beschlussdokument eine explizite, mehrfach ausformulierte Auslegung der KI-Wirkung auf Arbeitsmarkt, Produktivität und Preisniveau vorgelegt (nach Bloomberg-Auszählung vom 20. August 2026 rund 18 KI-Erwähnungen in 15 zusammenhängenden Absätzen des Ausblicks- und Diskussions­teils). Kernaussagen — im Konjunktiv referiert nach § 4.2 Claude.md, da die Formulierungen die kollektive FOMC-Auslegung wiedergeben und keine gesicherten empirischen Befunde: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 eine „Kalt­haltung" der Arbeitsmarkt­aktivität, die in der bisherigen Debatte bislang nicht institutionell adressiert war. Produktivitäts­gewinne aus der KI-Adoption würden die Produktions­kosten mittelfristig reduzieren und das aggregierte Angebot ausweiten; mehrere Teilnehmende erwarteten mittelfristig höhere Produktivitäts- und Potentialwachstumsraten. Kurzfristig wirke der KI-Buildout dagegen inflationär: Materialien für Rechenzentren (Chips, Stahl) hätten deutliche Preissteigerungen verzeichnet, ebenso verwandte Konsumkategorien (Elektronik, Software).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Aus dem Vergleich mit der FEDS-Note </w:t>
      </w:r>
      <w:r>
        <w:rPr>
          <w:rFonts w:ascii="Arial" w:hAnsi="Arial"/>
          <w:b w:val="0"/>
          <w:i/>
          <w:sz w:val="19"/>
        </w:rPr>
        <w:t>„The AI Buildout and the Economy"</w:t>
      </w:r>
      <w:r>
        <w:rPr>
          <w:rFonts w:ascii="Arial" w:hAnsi="Arial"/>
          <w:b w:val="0"/>
          <w:i w:val="0"/>
          <w:sz w:val="19"/>
        </w:rPr>
        <w:t xml:space="preserve"> vom 17. Juli 2026 (Aufnahmestand § 3.5) folgt, dass die FOMC-Ebene die dort skizzierte KI-Produktivitäts- und Kapitalstock-Bewertung nunmehr in ihre offizielle Meinungs­bildung integriert. Für die hier geführte Steuerdebatte sind vier Anschluss­stellen bemerkenswert: Erstens bestätigt die FOMC-Formulierung „limited net effect on employment so far" die in Massenkoff/McCrory (März 2026), McCrory (22. Juli 2026), dem </w:t>
      </w:r>
      <w:r>
        <w:rPr>
          <w:rFonts w:ascii="Arial" w:hAnsi="Arial"/>
          <w:b w:val="0"/>
          <w:i/>
          <w:sz w:val="19"/>
        </w:rPr>
        <w:t>Yale-Budget-Lab</w:t>
      </w:r>
      <w:r>
        <w:rPr>
          <w:rFonts w:ascii="Arial" w:hAnsi="Arial"/>
          <w:b w:val="0"/>
          <w:i w:val="0"/>
          <w:sz w:val="19"/>
        </w:rPr>
        <w:t>-Tracking und dem Anthropic-</w:t>
      </w:r>
      <w:r>
        <w:rPr>
          <w:rFonts w:ascii="Arial" w:hAnsi="Arial"/>
          <w:b w:val="0"/>
          <w:i/>
          <w:sz w:val="19"/>
        </w:rPr>
        <w:t>Cadences</w:t>
      </w:r>
      <w:r>
        <w:rPr>
          <w:rFonts w:ascii="Arial" w:hAnsi="Arial"/>
          <w:b w:val="0"/>
          <w:i w:val="0"/>
          <w:sz w:val="19"/>
        </w:rPr>
        <w:t xml:space="preserve">-Bericht dokumentierte Grundlinie moderater Aggregat­wirkung bei erkennbaren sektoralen und altersspezifischen Frühwirkungen — nunmehr auf der Ebene einer geldpolitischen Beschluss­instanz und damit institutionell verfestigt. Zweitens verweist die neue Beobachtung „both hiring and firing low" auf einen Anpassungspfad, der weder aggregierte Arbeitslosigkeits­spitzen noch großflächige Entlassungswellen erzeugt, sondern die Rekombination von Aufgabenprofilen intern verlangsamt; für die in § 9.1 diskutierte </w:t>
      </w:r>
      <w:r>
        <w:rPr>
          <w:rFonts w:ascii="Arial" w:hAnsi="Arial"/>
          <w:b w:val="0"/>
          <w:i/>
          <w:sz w:val="19"/>
        </w:rPr>
        <w:t>Deployer-Kausal­attribution</w:t>
      </w:r>
      <w:r>
        <w:rPr>
          <w:rFonts w:ascii="Arial" w:hAnsi="Arial"/>
          <w:b w:val="0"/>
          <w:i w:val="0"/>
          <w:sz w:val="19"/>
        </w:rPr>
        <w:t xml:space="preserve"> einer engen Typ-5-Ersatzabgabe folgt daraus, dass die </w:t>
      </w:r>
      <w:r>
        <w:rPr>
          <w:rFonts w:ascii="Arial" w:hAnsi="Arial"/>
          <w:b w:val="0"/>
          <w:i/>
          <w:sz w:val="19"/>
        </w:rPr>
        <w:t>nicht getätigte Einstellung</w:t>
      </w:r>
      <w:r>
        <w:rPr>
          <w:rFonts w:ascii="Arial" w:hAnsi="Arial"/>
          <w:b w:val="0"/>
          <w:i w:val="0"/>
          <w:sz w:val="19"/>
        </w:rPr>
        <w:t xml:space="preserve"> zur dominanten Beobachtungs­kategorie werden könnte — mit ähnlichen Konsequenzen wie bei der Bank-of-Korea- und Goldman-Sachs-Kohorten­analyse. Drittens hebt die FOMC-Auslegung — kurzfristige Inflations­wirkung durch KI-Buildout bei mittelfristig disinflationärem Produktivitäts­schub — den in § 8.4 skizzierten Zeit­horizontkonflikt der Verteilungs- versus Ersatz­frage explizit auf die geld­politische Ebene: Der Sozialstaat müsse mit der </w:t>
      </w:r>
      <w:r>
        <w:rPr>
          <w:rFonts w:ascii="Arial" w:hAnsi="Arial"/>
          <w:b w:val="0"/>
          <w:i/>
          <w:sz w:val="19"/>
        </w:rPr>
        <w:t>Timing-Asymmetrie</w:t>
      </w:r>
      <w:r>
        <w:rPr>
          <w:rFonts w:ascii="Arial" w:hAnsi="Arial"/>
          <w:b w:val="0"/>
          <w:i w:val="0"/>
          <w:sz w:val="19"/>
        </w:rPr>
        <w:t xml:space="preserve"> umgehen, dass die Investitionswelle jetzt Preisdruck erzeugt, während die Produktivitäts­rückflüsse erst später eintreten könnten; eine wertschöpfungs­orientierte Bemessungs­basis (§ 5.1, § 8.3) ist gegenüber dieser Asymmetrie robust, weil sie nicht auf einer bestimmten zeitlichen Reihenfolge von Investition und Produktivitäts­gewinn beruht. Viertens bestätigt die Aufnahme von KI-Investition und -Adoption als </w:t>
      </w:r>
      <w:r>
        <w:rPr>
          <w:rFonts w:ascii="Arial" w:hAnsi="Arial"/>
          <w:b w:val="0"/>
          <w:i/>
          <w:sz w:val="19"/>
        </w:rPr>
        <w:t>primäre Unsicherheits­quelle</w:t>
      </w:r>
      <w:r>
        <w:rPr>
          <w:rFonts w:ascii="Arial" w:hAnsi="Arial"/>
          <w:b w:val="0"/>
          <w:i w:val="0"/>
          <w:sz w:val="19"/>
        </w:rPr>
        <w:t xml:space="preserve"> neben dem Nahost-Konflikt, dass sich die szenariorobuste Auslegung des steuerpolitischen Instrumentariums nicht mehr als heterodoxe, sondern als geldpolitisch-institutionell mitgetragene Position darstellen lässt.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jc w:val="both"/>
      </w:pPr>
      <w:r>
        <w:rPr>
          <w:rFonts w:ascii="Arial" w:hAnsi="Arial"/>
          <w:b/>
          <w:i w:val="0"/>
          <w:sz w:val="19"/>
        </w:rPr>
        <w:t>Aktualisierung (Stand 23. August 2026):</w:t>
      </w:r>
      <w:r>
        <w:rPr>
          <w:rFonts w:ascii="Arial" w:hAnsi="Arial"/>
          <w:b w:val="0"/>
          <w:i w:val="0"/>
          <w:sz w:val="19"/>
        </w:rPr>
        <w:t xml:space="preserve"> In der auf den 20. August 2026 datierten Antwort auf die </w:t>
      </w:r>
      <w:r>
        <w:rPr>
          <w:rFonts w:ascii="Arial" w:hAnsi="Arial"/>
          <w:b w:val="0"/>
          <w:i/>
          <w:sz w:val="19"/>
        </w:rPr>
        <w:t>Kleine Anfrage</w:t>
      </w:r>
      <w:r>
        <w:rPr>
          <w:rFonts w:ascii="Arial" w:hAnsi="Arial"/>
          <w:b w:val="0"/>
          <w:i w:val="0"/>
          <w:sz w:val="19"/>
        </w:rPr>
        <w:t xml:space="preserve"> der </w:t>
      </w:r>
      <w:r>
        <w:rPr>
          <w:rFonts w:ascii="Arial" w:hAnsi="Arial"/>
          <w:b w:val="0"/>
          <w:i/>
          <w:sz w:val="19"/>
        </w:rPr>
        <w:t>AfD-Fraktion</w:t>
      </w:r>
      <w:r>
        <w:rPr>
          <w:rFonts w:ascii="Arial" w:hAnsi="Arial"/>
          <w:b w:val="0"/>
          <w:i w:val="0"/>
          <w:sz w:val="19"/>
        </w:rPr>
        <w:t xml:space="preserve"> vom 30. Juli 2026 zu den </w:t>
      </w:r>
      <w:r>
        <w:rPr>
          <w:rFonts w:ascii="Arial" w:hAnsi="Arial"/>
          <w:b w:val="0"/>
          <w:i/>
          <w:sz w:val="19"/>
        </w:rPr>
        <w:t>„Auswirkungen Künstlicher Intelligenz auf den Arbeitsmarkteinstieg"</w:t>
      </w:r>
      <w:r>
        <w:rPr>
          <w:rFonts w:ascii="Arial" w:hAnsi="Arial"/>
          <w:b w:val="0"/>
          <w:i w:val="0"/>
          <w:sz w:val="19"/>
        </w:rPr>
        <w:t xml:space="preserve"> (Bundestagsdrucksache 21/7620, Antwortdrucksache zur Anfrage 21/7421) hat die Bundesregierung erstmals in einem formellen Beschluss­dokument ihre Position zu einer möglichen KI-bedingten Verdrängungswirkung ausformuliert. Kernaussagen, im Konjunktiv referiert nach § 4.2 Claude.md: Es lägen </w:t>
      </w:r>
      <w:r>
        <w:rPr>
          <w:rFonts w:ascii="Arial" w:hAnsi="Arial"/>
          <w:b w:val="0"/>
          <w:i/>
          <w:sz w:val="19"/>
        </w:rPr>
        <w:t>„keine belastbaren Hinweise"</w:t>
      </w:r>
      <w:r>
        <w:rPr>
          <w:rFonts w:ascii="Arial" w:hAnsi="Arial"/>
          <w:b w:val="0"/>
          <w:i w:val="0"/>
          <w:sz w:val="19"/>
        </w:rPr>
        <w:t xml:space="preserve"> darauf vor, dass der zunehmende Einsatz Künstlicher Intelligenz in Deutschland zu einem </w:t>
      </w:r>
      <w:r>
        <w:rPr>
          <w:rFonts w:ascii="Arial" w:hAnsi="Arial"/>
          <w:b w:val="0"/>
          <w:i/>
          <w:sz w:val="19"/>
        </w:rPr>
        <w:t>„systematischen Abbau von Beschäftigung"</w:t>
      </w:r>
      <w:r>
        <w:rPr>
          <w:rFonts w:ascii="Arial" w:hAnsi="Arial"/>
          <w:b w:val="0"/>
          <w:i w:val="0"/>
          <w:sz w:val="19"/>
        </w:rPr>
        <w:t xml:space="preserve"> führe; KI ersetze </w:t>
      </w:r>
      <w:r>
        <w:rPr>
          <w:rFonts w:ascii="Arial" w:hAnsi="Arial"/>
          <w:b w:val="0"/>
          <w:i/>
          <w:sz w:val="19"/>
        </w:rPr>
        <w:t>„selten ganze Berufsbilder"</w:t>
      </w:r>
      <w:r>
        <w:rPr>
          <w:rFonts w:ascii="Arial" w:hAnsi="Arial"/>
          <w:b w:val="0"/>
          <w:i w:val="0"/>
          <w:sz w:val="19"/>
        </w:rPr>
        <w:t xml:space="preserve">, sondern verändere primär </w:t>
      </w:r>
      <w:r>
        <w:rPr>
          <w:rFonts w:ascii="Arial" w:hAnsi="Arial"/>
          <w:b w:val="0"/>
          <w:i/>
          <w:sz w:val="19"/>
        </w:rPr>
        <w:t>„konkrete Aufgaben"</w:t>
      </w:r>
      <w:r>
        <w:rPr>
          <w:rFonts w:ascii="Arial" w:hAnsi="Arial"/>
          <w:b w:val="0"/>
          <w:i w:val="0"/>
          <w:sz w:val="19"/>
        </w:rPr>
        <w:t xml:space="preserve"> innerhalb bestehender Berufe; ein bei jüngeren Erwerbslosen (unter 25 Jahren) seit 2019 beobachteter Rückgang der Abgangsrate in Beschäftigung lasse sich nach den vorliegenden Daten </w:t>
      </w:r>
      <w:r>
        <w:rPr>
          <w:rFonts w:ascii="Arial" w:hAnsi="Arial"/>
          <w:b w:val="0"/>
          <w:i/>
          <w:sz w:val="19"/>
        </w:rPr>
        <w:t>„nicht kausal"</w:t>
      </w:r>
      <w:r>
        <w:rPr>
          <w:rFonts w:ascii="Arial" w:hAnsi="Arial"/>
          <w:b w:val="0"/>
          <w:i w:val="0"/>
          <w:sz w:val="19"/>
        </w:rPr>
        <w:t xml:space="preserve"> mit KI-Nutzung verbinden; ein empirischer Nachweis realer Gehaltseinbußen liege </w:t>
      </w:r>
      <w:r>
        <w:rPr>
          <w:rFonts w:ascii="Arial" w:hAnsi="Arial"/>
          <w:b w:val="0"/>
          <w:i/>
          <w:sz w:val="19"/>
        </w:rPr>
        <w:t>„nicht"</w:t>
      </w:r>
      <w:r>
        <w:rPr>
          <w:rFonts w:ascii="Arial" w:hAnsi="Arial"/>
          <w:b w:val="0"/>
          <w:i w:val="0"/>
          <w:sz w:val="19"/>
        </w:rPr>
        <w:t xml:space="preserve"> vor. Als politische Antwort setze die Bundesregierung </w:t>
      </w:r>
      <w:r>
        <w:rPr>
          <w:rFonts w:ascii="Arial" w:hAnsi="Arial"/>
          <w:b w:val="0"/>
          <w:i/>
          <w:sz w:val="19"/>
        </w:rPr>
        <w:t>nicht</w:t>
      </w:r>
      <w:r>
        <w:rPr>
          <w:rFonts w:ascii="Arial" w:hAnsi="Arial"/>
          <w:b w:val="0"/>
          <w:i w:val="0"/>
          <w:sz w:val="19"/>
        </w:rPr>
        <w:t xml:space="preserve"> auf fiskalische Instrumente, sondern auf </w:t>
      </w:r>
      <w:r>
        <w:rPr>
          <w:rFonts w:ascii="Arial" w:hAnsi="Arial"/>
          <w:b w:val="0"/>
          <w:i/>
          <w:sz w:val="19"/>
        </w:rPr>
        <w:t>Qualifizierung</w:t>
      </w:r>
      <w:r>
        <w:rPr>
          <w:rFonts w:ascii="Arial" w:hAnsi="Arial"/>
          <w:b w:val="0"/>
          <w:i w:val="0"/>
          <w:sz w:val="19"/>
        </w:rPr>
        <w:t xml:space="preserve"> und </w:t>
      </w:r>
      <w:r>
        <w:rPr>
          <w:rFonts w:ascii="Arial" w:hAnsi="Arial"/>
          <w:b w:val="0"/>
          <w:i/>
          <w:sz w:val="19"/>
        </w:rPr>
        <w:t>Beobachtung</w:t>
      </w:r>
      <w:r>
        <w:rPr>
          <w:rFonts w:ascii="Arial" w:hAnsi="Arial"/>
          <w:b w:val="0"/>
          <w:i w:val="0"/>
          <w:sz w:val="19"/>
        </w:rPr>
        <w:t xml:space="preserve">: Verweise auf das seit 2020 geführte </w:t>
      </w:r>
      <w:r>
        <w:rPr>
          <w:rFonts w:ascii="Arial" w:hAnsi="Arial"/>
          <w:b w:val="0"/>
          <w:i/>
          <w:sz w:val="19"/>
        </w:rPr>
        <w:t>Observatorium KI in Arbeit und Gesellschaft</w:t>
      </w:r>
      <w:r>
        <w:rPr>
          <w:rFonts w:ascii="Arial" w:hAnsi="Arial"/>
          <w:b w:val="0"/>
          <w:i w:val="0"/>
          <w:sz w:val="19"/>
        </w:rPr>
        <w:t xml:space="preserve"> im </w:t>
      </w:r>
      <w:r>
        <w:rPr>
          <w:rFonts w:ascii="Arial" w:hAnsi="Arial"/>
          <w:b w:val="0"/>
          <w:i/>
          <w:sz w:val="19"/>
        </w:rPr>
        <w:t>Bundesministerium für Arbeit und Soziales</w:t>
      </w:r>
      <w:r>
        <w:rPr>
          <w:rFonts w:ascii="Arial" w:hAnsi="Arial"/>
          <w:b w:val="0"/>
          <w:i w:val="0"/>
          <w:sz w:val="19"/>
        </w:rPr>
        <w:t xml:space="preserve">, das </w:t>
      </w:r>
      <w:r>
        <w:rPr>
          <w:rFonts w:ascii="Arial" w:hAnsi="Arial"/>
          <w:b w:val="0"/>
          <w:i/>
          <w:sz w:val="19"/>
        </w:rPr>
        <w:t>ai:conomics</w:t>
      </w:r>
      <w:r>
        <w:rPr>
          <w:rFonts w:ascii="Arial" w:hAnsi="Arial"/>
          <w:b w:val="0"/>
          <w:i w:val="0"/>
          <w:sz w:val="19"/>
        </w:rPr>
        <w:t xml:space="preserve">-Projekt sowie eine bis 2030 angestrebte Weiterbildungsquote von 65 Prozent. Nicht adressiert werden — trotz der US-parlamentarischen Vorlagen von Sanders und Casar (§ 4.5) und der südkoreanischen Deployer-Beitrags­gesetz­gebung (§ 6.1) — die Optionen einer Robotersteuer (§ 2.1), einer Wertschöpfungsabgabe (§ 5.1), einer KI-spezifischen Ersatzabgabe (Typ 5 nach § 2.1) oder eines Staatsfonds-Modells (§ 5.4); für die deutsche Rechtslage bleibt die Antwort damit eine explizite Bestätigung des in § 4.2 dokumentierten Status quo: keine Steuer auf Roboter oder KI-Systeme, keine Ausdehnung der Sozialversicherungs-Bemessungsbasis, keine Ersatzabgabe auf Verdrängungs­wirkung — flankiert durch die Aussage, es fehle bislang die empirische Grundlage für eine solche Maßnahme. Berichtet u. a. durch </w:t>
      </w:r>
      <w:r>
        <w:rPr>
          <w:rFonts w:ascii="Arial" w:hAnsi="Arial"/>
          <w:b w:val="0"/>
          <w:i/>
          <w:sz w:val="19"/>
        </w:rPr>
        <w:t>heise online</w:t>
      </w:r>
      <w:r>
        <w:rPr>
          <w:rFonts w:ascii="Arial" w:hAnsi="Arial"/>
          <w:b w:val="0"/>
          <w:i w:val="0"/>
          <w:sz w:val="19"/>
        </w:rPr>
        <w:t xml:space="preserve"> (23. August 2026, „KI am Arbeitsplatz: Bundesregierung sieht keinen systematischen Stellenabbau") und </w:t>
      </w:r>
      <w:r>
        <w:rPr>
          <w:rFonts w:ascii="Arial" w:hAnsi="Arial"/>
          <w:b w:val="0"/>
          <w:i/>
          <w:sz w:val="19"/>
        </w:rPr>
        <w:t>callcenterprofi.de</w:t>
      </w:r>
      <w:r>
        <w:rPr>
          <w:rFonts w:ascii="Arial" w:hAnsi="Arial"/>
          <w:b w:val="0"/>
          <w:i w:val="0"/>
          <w:sz w:val="19"/>
        </w:rPr>
        <w:t xml:space="preserve"> (24. August 2026). Für die deutsche Debatte relevant, weil die Position der Bundesregierung — anders als die des IW Köln — nicht </w:t>
      </w:r>
      <w:r>
        <w:rPr>
          <w:rFonts w:ascii="Arial" w:hAnsi="Arial"/>
          <w:b w:val="0"/>
          <w:i/>
          <w:sz w:val="19"/>
        </w:rPr>
        <w:t>gegen</w:t>
      </w:r>
      <w:r>
        <w:rPr>
          <w:rFonts w:ascii="Arial" w:hAnsi="Arial"/>
          <w:b w:val="0"/>
          <w:i w:val="0"/>
          <w:sz w:val="19"/>
        </w:rPr>
        <w:t xml:space="preserve"> eine Robotersteuer argumentiert, sondern deren empirische Voraussetzung (systematische Substitution) verneint; damit verlagert sich der politische Konflikt in Deutschland weg von der normativen Frage („soll man KI besteuern?") auf die epistemische Frage („liegt bereits ein messbarer Verdrängungseffekt vor?") — analoge Kontroverse zu § 3.5 (Massenkoff/McCrory, Anthropic Economic Index, Yale Budget Lab, FEDS Note, Bank-of-Korea-Kohortenbefunde) und § 8.4 (Systemstabilität, Timing-Asymmetrie).</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Bill Gates — GatesNotes-Memo *„Make AI Work for Everyone: A Turbulent AI Era and Critical Choices to Make"* (26. August 2026):</w:t>
      </w:r>
      <w:r>
        <w:rPr>
          <w:rFonts w:ascii="Arial" w:hAnsi="Arial"/>
          <w:b w:val="0"/>
          <w:i w:val="0"/>
          <w:sz w:val="19"/>
        </w:rPr>
        <w:t xml:space="preserve"> Zwanzig Tage nach dem </w:t>
      </w:r>
      <w:r>
        <w:rPr>
          <w:rFonts w:ascii="Arial" w:hAnsi="Arial"/>
          <w:b w:val="0"/>
          <w:i/>
          <w:sz w:val="19"/>
        </w:rPr>
        <w:t>AI Tax and Work Protection Act</w:t>
      </w:r>
      <w:r>
        <w:rPr>
          <w:rFonts w:ascii="Arial" w:hAnsi="Arial"/>
          <w:b w:val="0"/>
          <w:i w:val="0"/>
          <w:sz w:val="19"/>
        </w:rPr>
        <w:t xml:space="preserve"> tritt neben der legislativ-flussorientierten Zugriffslogik eine hoch-sichtbare privat-publizistische Stimme aus dem US-Tech-Sektor: Am 26. August 2026 hat </w:t>
      </w:r>
      <w:r>
        <w:rPr>
          <w:rFonts w:ascii="Arial" w:hAnsi="Arial"/>
          <w:b w:val="0"/>
          <w:i/>
          <w:sz w:val="19"/>
        </w:rPr>
        <w:t>Bill Gates</w:t>
      </w:r>
      <w:r>
        <w:rPr>
          <w:rFonts w:ascii="Arial" w:hAnsi="Arial"/>
          <w:b w:val="0"/>
          <w:i w:val="0"/>
          <w:sz w:val="19"/>
        </w:rPr>
        <w:t xml:space="preserve">, Mitgründer der Microsoft Corporation und heute Ko-Vorsitzender der Bill &amp; Melinda Gates Foundation, auf seinem </w:t>
      </w:r>
      <w:r>
        <w:rPr>
          <w:rFonts w:ascii="Arial" w:hAnsi="Arial"/>
          <w:b w:val="0"/>
          <w:i/>
          <w:sz w:val="19"/>
        </w:rPr>
        <w:t>GatesNotes</w:t>
      </w:r>
      <w:r>
        <w:rPr>
          <w:rFonts w:ascii="Arial" w:hAnsi="Arial"/>
          <w:b w:val="0"/>
          <w:i w:val="0"/>
          <w:sz w:val="19"/>
        </w:rPr>
        <w:t xml:space="preserve">-Blog einen mit rund sechstausend Wörtern angegebenen Aufsatz veröffentlicht, den er in flankierender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Fox Business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National</w:t>
      </w:r>
      <w:r>
        <w:rPr>
          <w:rFonts w:ascii="Arial" w:hAnsi="Arial"/>
          <w:b w:val="0"/>
          <w:i w:val="0"/>
          <w:sz w:val="19"/>
        </w:rPr>
        <w:t xml:space="preserve"> und </w:t>
      </w:r>
      <w:r>
        <w:rPr>
          <w:rFonts w:ascii="Arial" w:hAnsi="Arial"/>
          <w:b w:val="0"/>
          <w:i/>
          <w:sz w:val="19"/>
        </w:rPr>
        <w:t>Yahoo Finance</w:t>
      </w:r>
      <w:r>
        <w:rPr>
          <w:rFonts w:ascii="Arial" w:hAnsi="Arial"/>
          <w:b w:val="0"/>
          <w:i w:val="0"/>
          <w:sz w:val="19"/>
        </w:rPr>
        <w:t xml:space="preserve"> (26. August 2026) als seine bislang deutlichste Positionierung zur ökonomischen und politischen Bewältigung der KI-Verdrängung menschlicher Arbeit charakterisieren lässt. Zentraler Anker der Berichterstattung ist Gates' Formulierung, „AI will either be the greatest equalizer ever invented, or the worst source of injustice", und die Diagnose, „even under the best circumstances, the transition to this new AI era will be one of the most turbulent times in human history"; als in einem Jahrzehnt substituierbar identifiziert Gates nach </w:t>
      </w:r>
      <w:r>
        <w:rPr>
          <w:rFonts w:ascii="Arial" w:hAnsi="Arial"/>
          <w:b w:val="0"/>
          <w:i/>
          <w:sz w:val="19"/>
        </w:rPr>
        <w:t>Bloomberg</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-Rezeption die Berufsfelder </w:t>
      </w:r>
      <w:r>
        <w:rPr>
          <w:rFonts w:ascii="Arial" w:hAnsi="Arial"/>
          <w:b w:val="0"/>
          <w:i/>
          <w:sz w:val="19"/>
        </w:rPr>
        <w:t>Recht</w:t>
      </w:r>
      <w:r>
        <w:rPr>
          <w:rFonts w:ascii="Arial" w:hAnsi="Arial"/>
          <w:b w:val="0"/>
          <w:i w:val="0"/>
          <w:sz w:val="19"/>
        </w:rPr>
        <w:t xml:space="preserve">, </w:t>
      </w:r>
      <w:r>
        <w:rPr>
          <w:rFonts w:ascii="Arial" w:hAnsi="Arial"/>
          <w:b w:val="0"/>
          <w:i/>
          <w:sz w:val="19"/>
        </w:rPr>
        <w:t>Medizin</w:t>
      </w:r>
      <w:r>
        <w:rPr>
          <w:rFonts w:ascii="Arial" w:hAnsi="Arial"/>
          <w:b w:val="0"/>
          <w:i w:val="0"/>
          <w:sz w:val="19"/>
        </w:rPr>
        <w:t xml:space="preserve">, </w:t>
      </w:r>
      <w:r>
        <w:rPr>
          <w:rFonts w:ascii="Arial" w:hAnsi="Arial"/>
          <w:b w:val="0"/>
          <w:i/>
          <w:sz w:val="19"/>
        </w:rPr>
        <w:t>Kundenservice</w:t>
      </w:r>
      <w:r>
        <w:rPr>
          <w:rFonts w:ascii="Arial" w:hAnsi="Arial"/>
          <w:b w:val="0"/>
          <w:i w:val="0"/>
          <w:sz w:val="19"/>
        </w:rPr>
        <w:t xml:space="preserve">, </w:t>
      </w:r>
      <w:r>
        <w:rPr>
          <w:rFonts w:ascii="Arial" w:hAnsi="Arial"/>
          <w:b w:val="0"/>
          <w:i/>
          <w:sz w:val="19"/>
        </w:rPr>
        <w:t>Softwareentwicklung</w:t>
      </w:r>
      <w:r>
        <w:rPr>
          <w:rFonts w:ascii="Arial" w:hAnsi="Arial"/>
          <w:b w:val="0"/>
          <w:i w:val="0"/>
          <w:sz w:val="19"/>
        </w:rPr>
        <w:t xml:space="preserve"> und </w:t>
      </w:r>
      <w:r>
        <w:rPr>
          <w:rFonts w:ascii="Arial" w:hAnsi="Arial"/>
          <w:b w:val="0"/>
          <w:i/>
          <w:sz w:val="19"/>
        </w:rPr>
        <w:t>Fertigung</w:t>
      </w:r>
      <w:r>
        <w:rPr>
          <w:rFonts w:ascii="Arial" w:hAnsi="Arial"/>
          <w:b w:val="0"/>
          <w:i w:val="0"/>
          <w:sz w:val="19"/>
        </w:rPr>
        <w:t>, wobei Bürojobs (</w:t>
      </w:r>
      <w:r>
        <w:rPr>
          <w:rFonts w:ascii="Arial" w:hAnsi="Arial"/>
          <w:b w:val="0"/>
          <w:i/>
          <w:sz w:val="19"/>
        </w:rPr>
        <w:t>Customer Support</w:t>
      </w:r>
      <w:r>
        <w:rPr>
          <w:rFonts w:ascii="Arial" w:hAnsi="Arial"/>
          <w:b w:val="0"/>
          <w:i w:val="0"/>
          <w:sz w:val="19"/>
        </w:rPr>
        <w:t xml:space="preserve">, </w:t>
      </w:r>
      <w:r>
        <w:rPr>
          <w:rFonts w:ascii="Arial" w:hAnsi="Arial"/>
          <w:b w:val="0"/>
          <w:i/>
          <w:sz w:val="19"/>
        </w:rPr>
        <w:t>Software Engineering</w:t>
      </w:r>
      <w:r>
        <w:rPr>
          <w:rFonts w:ascii="Arial" w:hAnsi="Arial"/>
          <w:b w:val="0"/>
          <w:i w:val="0"/>
          <w:sz w:val="19"/>
        </w:rPr>
        <w:t xml:space="preserve">, </w:t>
      </w:r>
      <w:r>
        <w:rPr>
          <w:rFonts w:ascii="Arial" w:hAnsi="Arial"/>
          <w:b w:val="0"/>
          <w:i/>
          <w:sz w:val="19"/>
        </w:rPr>
        <w:t>Paralegal</w:t>
      </w:r>
      <w:r>
        <w:rPr>
          <w:rFonts w:ascii="Arial" w:hAnsi="Arial"/>
          <w:b w:val="0"/>
          <w:i w:val="0"/>
          <w:sz w:val="19"/>
        </w:rPr>
        <w:t xml:space="preserve">) zuerst verschwinden sollen und </w:t>
      </w:r>
      <w:r>
        <w:rPr>
          <w:rFonts w:ascii="Arial" w:hAnsi="Arial"/>
          <w:b w:val="0"/>
          <w:i/>
          <w:sz w:val="19"/>
        </w:rPr>
        <w:t>Bauwirtschaft</w:t>
      </w:r>
      <w:r>
        <w:rPr>
          <w:rFonts w:ascii="Arial" w:hAnsi="Arial"/>
          <w:b w:val="0"/>
          <w:i w:val="0"/>
          <w:sz w:val="19"/>
        </w:rPr>
        <w:t xml:space="preserve"> und </w:t>
      </w:r>
      <w:r>
        <w:rPr>
          <w:rFonts w:ascii="Arial" w:hAnsi="Arial"/>
          <w:b w:val="0"/>
          <w:i/>
          <w:sz w:val="19"/>
        </w:rPr>
        <w:t>Gastgewerbe</w:t>
      </w:r>
      <w:r>
        <w:rPr>
          <w:rFonts w:ascii="Arial" w:hAnsi="Arial"/>
          <w:b w:val="0"/>
          <w:i w:val="0"/>
          <w:sz w:val="19"/>
        </w:rPr>
        <w:t xml:space="preserve"> mit einem </w:t>
      </w:r>
      <w:r>
        <w:rPr>
          <w:rFonts w:ascii="Arial" w:hAnsi="Arial"/>
          <w:b w:val="0"/>
          <w:i/>
          <w:sz w:val="19"/>
        </w:rPr>
        <w:t>Roboter</w:t>
      </w:r>
      <w:r>
        <w:rPr>
          <w:rFonts w:ascii="Arial" w:hAnsi="Arial"/>
          <w:b w:val="0"/>
          <w:i w:val="0"/>
          <w:sz w:val="19"/>
        </w:rPr>
        <w:t xml:space="preserve">-Übergang bis Ende des Jahrzehnts folgten (Konjunktivpflicht nach § 4.2 Claude.md). Der Aufsatz trägt drei Politikvorschläge vor. Erstens fordert Gates den Aufbau neuer </w:t>
      </w:r>
      <w:r>
        <w:rPr>
          <w:rFonts w:ascii="Arial" w:hAnsi="Arial"/>
          <w:b w:val="0"/>
          <w:i/>
          <w:sz w:val="19"/>
        </w:rPr>
        <w:t>nationaler und internationaler Institutionen</w:t>
      </w:r>
      <w:r>
        <w:rPr>
          <w:rFonts w:ascii="Arial" w:hAnsi="Arial"/>
          <w:b w:val="0"/>
          <w:i w:val="0"/>
          <w:sz w:val="19"/>
        </w:rPr>
        <w:t xml:space="preserve">, die den KI-Übergang aktiv steuern und die Anpassung der sozialen Sicherungssysteme, der Bildungsangebote und der Wettbewerbsordnung koordinieren. Zweitens schlägt Gates ein Prinzip </w:t>
      </w:r>
      <w:r>
        <w:rPr>
          <w:rFonts w:ascii="Arial" w:hAnsi="Arial"/>
          <w:b w:val="0"/>
          <w:i/>
          <w:sz w:val="19"/>
        </w:rPr>
        <w:t>„Human Reserved"</w:t>
      </w:r>
      <w:r>
        <w:rPr>
          <w:rFonts w:ascii="Arial" w:hAnsi="Arial"/>
          <w:b w:val="0"/>
          <w:i w:val="0"/>
          <w:sz w:val="19"/>
        </w:rPr>
        <w:t xml:space="preserve"> vor: bestimmte Tätigkeitsfelder werden bewusst dem menschlichen Ausführungsprimat vorbehalten, auch wenn KI-Systeme die Aufgaben technisch leisten könnten; die Analogie ist das eines Naturschutzgebiets („nature reserve"), also einer politisch gesetzten Ausnahme im Sinne eines gesellschaftlichen Gutes. Nach dem in </w:t>
      </w:r>
      <w:r>
        <w:rPr>
          <w:rFonts w:ascii="Arial" w:hAnsi="Arial"/>
          <w:b w:val="0"/>
          <w:i/>
          <w:sz w:val="19"/>
        </w:rPr>
        <w:t>Axios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und </w:t>
      </w:r>
      <w:r>
        <w:rPr>
          <w:rFonts w:ascii="Arial" w:hAnsi="Arial"/>
          <w:b w:val="0"/>
          <w:i/>
          <w:sz w:val="19"/>
        </w:rPr>
        <w:t>CNBC</w:t>
      </w:r>
      <w:r>
        <w:rPr>
          <w:rFonts w:ascii="Arial" w:hAnsi="Arial"/>
          <w:b w:val="0"/>
          <w:i w:val="0"/>
          <w:sz w:val="19"/>
        </w:rPr>
        <w:t xml:space="preserve"> wiedergegebenen Selbstauskunftszitat hat Gates die </w:t>
      </w:r>
      <w:r>
        <w:rPr>
          <w:rFonts w:ascii="Arial" w:hAnsi="Arial"/>
          <w:b w:val="0"/>
          <w:i/>
          <w:sz w:val="19"/>
        </w:rPr>
        <w:t>Human-Reserved</w:t>
      </w:r>
      <w:r>
        <w:rPr>
          <w:rFonts w:ascii="Arial" w:hAnsi="Arial"/>
          <w:b w:val="0"/>
          <w:i w:val="0"/>
          <w:sz w:val="19"/>
        </w:rPr>
        <w:t xml:space="preserve">-Konstruktion „mit dem Chatbot </w:t>
      </w:r>
      <w:r>
        <w:rPr>
          <w:rFonts w:ascii="Arial" w:hAnsi="Arial"/>
          <w:b w:val="0"/>
          <w:i/>
          <w:sz w:val="19"/>
        </w:rPr>
        <w:t>Claude</w:t>
      </w:r>
      <w:r>
        <w:rPr>
          <w:rFonts w:ascii="Arial" w:hAnsi="Arial"/>
          <w:b w:val="0"/>
          <w:i w:val="0"/>
          <w:sz w:val="19"/>
        </w:rPr>
        <w:t xml:space="preserve"> durchgespielt" und darin einen Zielanteil von </w:t>
      </w:r>
      <w:r>
        <w:rPr>
          <w:rFonts w:ascii="Arial" w:hAnsi="Arial"/>
          <w:b w:val="0"/>
          <w:i/>
          <w:sz w:val="19"/>
        </w:rPr>
        <w:t>„bis zu 40 Prozent"</w:t>
      </w:r>
      <w:r>
        <w:rPr>
          <w:rFonts w:ascii="Arial" w:hAnsi="Arial"/>
          <w:b w:val="0"/>
          <w:i w:val="0"/>
          <w:sz w:val="19"/>
        </w:rPr>
        <w:t xml:space="preserve"> der Arbeit für Menschen als „so hoch wie ich es hinbekomme" markiert; als Instrumente werden verkürzte Arbeitszeiten und ein früherer Renteneintritt genannt. Als konkrete Beispiele nennt Gates </w:t>
      </w:r>
      <w:r>
        <w:rPr>
          <w:rFonts w:ascii="Arial" w:hAnsi="Arial"/>
          <w:b w:val="0"/>
          <w:i/>
          <w:sz w:val="19"/>
        </w:rPr>
        <w:t>Kinderbetreuung</w:t>
      </w:r>
      <w:r>
        <w:rPr>
          <w:rFonts w:ascii="Arial" w:hAnsi="Arial"/>
          <w:b w:val="0"/>
          <w:i w:val="0"/>
          <w:sz w:val="19"/>
        </w:rPr>
        <w:t xml:space="preserve">, den </w:t>
      </w:r>
      <w:r>
        <w:rPr>
          <w:rFonts w:ascii="Arial" w:hAnsi="Arial"/>
          <w:b w:val="0"/>
          <w:i/>
          <w:sz w:val="19"/>
        </w:rPr>
        <w:t>Schöffendienst</w:t>
      </w:r>
      <w:r>
        <w:rPr>
          <w:rFonts w:ascii="Arial" w:hAnsi="Arial"/>
          <w:b w:val="0"/>
          <w:i w:val="0"/>
          <w:sz w:val="19"/>
        </w:rPr>
        <w:t xml:space="preserve"> (jury service) sowie eine schwerpunktverlagerte Rolle in </w:t>
      </w:r>
      <w:r>
        <w:rPr>
          <w:rFonts w:ascii="Arial" w:hAnsi="Arial"/>
          <w:b w:val="0"/>
          <w:i/>
          <w:sz w:val="19"/>
        </w:rPr>
        <w:t>Bildung</w:t>
      </w:r>
      <w:r>
        <w:rPr>
          <w:rFonts w:ascii="Arial" w:hAnsi="Arial"/>
          <w:b w:val="0"/>
          <w:i w:val="0"/>
          <w:sz w:val="19"/>
        </w:rPr>
        <w:t xml:space="preserve"> und </w:t>
      </w:r>
      <w:r>
        <w:rPr>
          <w:rFonts w:ascii="Arial" w:hAnsi="Arial"/>
          <w:b w:val="0"/>
          <w:i/>
          <w:sz w:val="19"/>
        </w:rPr>
        <w:t>Gesundheitswesen</w:t>
      </w:r>
      <w:r>
        <w:rPr>
          <w:rFonts w:ascii="Arial" w:hAnsi="Arial"/>
          <w:b w:val="0"/>
          <w:i w:val="0"/>
          <w:sz w:val="19"/>
        </w:rPr>
        <w:t xml:space="preserve"> (Menschen unterstützt durch KI, nicht ersetzt durch KI); ergänzend illustriert er den </w:t>
      </w:r>
      <w:r>
        <w:rPr>
          <w:rFonts w:ascii="Arial" w:hAnsi="Arial"/>
          <w:b w:val="0"/>
          <w:i/>
          <w:sz w:val="19"/>
        </w:rPr>
        <w:t>ökonomischen</w:t>
      </w:r>
      <w:r>
        <w:rPr>
          <w:rFonts w:ascii="Arial" w:hAnsi="Arial"/>
          <w:b w:val="0"/>
          <w:i w:val="0"/>
          <w:sz w:val="19"/>
        </w:rPr>
        <w:t xml:space="preserve"> Grund („You can't tell a 55-year-old who has worked in construction their whole career that they need to go work at an elder care facility") und den </w:t>
      </w:r>
      <w:r>
        <w:rPr>
          <w:rFonts w:ascii="Arial" w:hAnsi="Arial"/>
          <w:b w:val="0"/>
          <w:i/>
          <w:sz w:val="19"/>
        </w:rPr>
        <w:t>würdegeleiteten</w:t>
      </w:r>
      <w:r>
        <w:rPr>
          <w:rFonts w:ascii="Arial" w:hAnsi="Arial"/>
          <w:b w:val="0"/>
          <w:i w:val="0"/>
          <w:sz w:val="19"/>
        </w:rPr>
        <w:t xml:space="preserve"> Grund (das Überbringen einer terminalen Diagnose). Drittens plädiert Gates für eine </w:t>
      </w:r>
      <w:r>
        <w:rPr>
          <w:rFonts w:ascii="Arial" w:hAnsi="Arial"/>
          <w:b w:val="0"/>
          <w:i/>
          <w:sz w:val="19"/>
        </w:rPr>
        <w:t>Umkehr der steuerlichen Anreize</w:t>
      </w:r>
      <w:r>
        <w:rPr>
          <w:rFonts w:ascii="Arial" w:hAnsi="Arial"/>
          <w:b w:val="0"/>
          <w:i w:val="0"/>
          <w:sz w:val="19"/>
        </w:rPr>
        <w:t xml:space="preserve">: Solange Löhne Sozialabgaben und Lohnsteuern auslösen, während der Kauf eines </w:t>
      </w:r>
      <w:r>
        <w:rPr>
          <w:rFonts w:ascii="Arial" w:hAnsi="Arial"/>
          <w:b w:val="0"/>
          <w:i/>
          <w:sz w:val="19"/>
        </w:rPr>
        <w:t>Roboters</w:t>
      </w:r>
      <w:r>
        <w:rPr>
          <w:rFonts w:ascii="Arial" w:hAnsi="Arial"/>
          <w:b w:val="0"/>
          <w:i w:val="0"/>
          <w:sz w:val="19"/>
        </w:rPr>
        <w:t xml:space="preserve"> oder eines </w:t>
      </w:r>
      <w:r>
        <w:rPr>
          <w:rFonts w:ascii="Arial" w:hAnsi="Arial"/>
          <w:b w:val="0"/>
          <w:i/>
          <w:sz w:val="19"/>
        </w:rPr>
        <w:t>KI-Token-Kontingents</w:t>
      </w:r>
      <w:r>
        <w:rPr>
          <w:rFonts w:ascii="Arial" w:hAnsi="Arial"/>
          <w:b w:val="0"/>
          <w:i w:val="0"/>
          <w:sz w:val="19"/>
        </w:rPr>
        <w:t xml:space="preserve"> als Betriebsausgabe absetzbar sei, subventioniere das Steuerrecht die Substitution; Gates schlägt deshalb eine Abgabe auf </w:t>
      </w:r>
      <w:r>
        <w:rPr>
          <w:rFonts w:ascii="Arial" w:hAnsi="Arial"/>
          <w:b w:val="0"/>
          <w:i/>
          <w:sz w:val="19"/>
        </w:rPr>
        <w:t>Roboter</w:t>
      </w:r>
      <w:r>
        <w:rPr>
          <w:rFonts w:ascii="Arial" w:hAnsi="Arial"/>
          <w:b w:val="0"/>
          <w:i w:val="0"/>
          <w:sz w:val="19"/>
        </w:rPr>
        <w:t xml:space="preserve"> und </w:t>
      </w:r>
      <w:r>
        <w:rPr>
          <w:rFonts w:ascii="Arial" w:hAnsi="Arial"/>
          <w:b w:val="0"/>
          <w:i/>
          <w:sz w:val="19"/>
        </w:rPr>
        <w:t>KI-Token</w:t>
      </w:r>
      <w:r>
        <w:rPr>
          <w:rFonts w:ascii="Arial" w:hAnsi="Arial"/>
          <w:b w:val="0"/>
          <w:i w:val="0"/>
          <w:sz w:val="19"/>
        </w:rPr>
        <w:t xml:space="preserve"> vor, deren Aufkommen in </w:t>
      </w:r>
      <w:r>
        <w:rPr>
          <w:rFonts w:ascii="Arial" w:hAnsi="Arial"/>
          <w:b w:val="0"/>
          <w:i/>
          <w:sz w:val="19"/>
        </w:rPr>
        <w:t>Umschulung</w:t>
      </w:r>
      <w:r>
        <w:rPr>
          <w:rFonts w:ascii="Arial" w:hAnsi="Arial"/>
          <w:b w:val="0"/>
          <w:i w:val="0"/>
          <w:sz w:val="19"/>
        </w:rPr>
        <w:t xml:space="preserve"> und in die </w:t>
      </w:r>
      <w:r>
        <w:rPr>
          <w:rFonts w:ascii="Arial" w:hAnsi="Arial"/>
          <w:b w:val="0"/>
          <w:i/>
          <w:sz w:val="19"/>
        </w:rPr>
        <w:t>soziale Sicherung</w:t>
      </w:r>
      <w:r>
        <w:rPr>
          <w:rFonts w:ascii="Arial" w:hAnsi="Arial"/>
          <w:b w:val="0"/>
          <w:i w:val="0"/>
          <w:sz w:val="19"/>
        </w:rPr>
        <w:t xml:space="preserve"> fließen soll. In der </w:t>
      </w:r>
      <w:r>
        <w:rPr>
          <w:rFonts w:ascii="Arial" w:hAnsi="Arial"/>
          <w:b w:val="0"/>
          <w:i/>
          <w:sz w:val="19"/>
        </w:rPr>
        <w:t>Tom's-Hardware</w:t>
      </w:r>
      <w:r>
        <w:rPr>
          <w:rFonts w:ascii="Arial" w:hAnsi="Arial"/>
          <w:b w:val="0"/>
          <w:i w:val="0"/>
          <w:sz w:val="19"/>
        </w:rPr>
        <w:t xml:space="preserve">-Zusammenfassung wird die Formel zusätzlich zugespitzt („targeted so it does not slow down the purely beneficial uses of AI, like making medicine and education cheaper"), sodass das Instrument in der Selbstdarstellung </w:t>
      </w:r>
      <w:r>
        <w:rPr>
          <w:rFonts w:ascii="Arial" w:hAnsi="Arial"/>
          <w:b w:val="0"/>
          <w:i/>
          <w:sz w:val="19"/>
        </w:rPr>
        <w:t>substitutionsbezogen</w:t>
      </w:r>
      <w:r>
        <w:rPr>
          <w:rFonts w:ascii="Arial" w:hAnsi="Arial"/>
          <w:b w:val="0"/>
          <w:i w:val="0"/>
          <w:sz w:val="19"/>
        </w:rPr>
        <w:t xml:space="preserve"> — nicht </w:t>
      </w:r>
      <w:r>
        <w:rPr>
          <w:rFonts w:ascii="Arial" w:hAnsi="Arial"/>
          <w:b w:val="0"/>
          <w:i/>
          <w:sz w:val="19"/>
        </w:rPr>
        <w:t>ergänzungsbezogen</w:t>
      </w:r>
      <w:r>
        <w:rPr>
          <w:rFonts w:ascii="Arial" w:hAnsi="Arial"/>
          <w:b w:val="0"/>
          <w:i w:val="0"/>
          <w:sz w:val="19"/>
        </w:rPr>
        <w:t xml:space="preserve"> — anknüpft. Für die in § 4.5 aufgenommene Debattenkonstellation ist der Vorstoß in dreifacher Hinsicht relevant. Erstens verbindet Gates in einer einzigen publizistischen Setzung drei Anknüpfungspfade, die die legislative US-Debatte bislang isoliert behandelt hat: bestandsorientierte Umverteilung (Sanders — </w:t>
      </w:r>
      <w:r>
        <w:rPr>
          <w:rFonts w:ascii="Arial" w:hAnsi="Arial"/>
          <w:b w:val="0"/>
          <w:i/>
          <w:sz w:val="19"/>
        </w:rPr>
        <w:t>American A.I. Sovereign Wealth Fund Act</w:t>
      </w:r>
      <w:r>
        <w:rPr>
          <w:rFonts w:ascii="Arial" w:hAnsi="Arial"/>
          <w:b w:val="0"/>
          <w:i w:val="0"/>
          <w:sz w:val="19"/>
        </w:rPr>
        <w:t xml:space="preserve">, § 4.5, Juni 2026), flussorientierte Nutzungsabgabe (Casar — </w:t>
      </w:r>
      <w:r>
        <w:rPr>
          <w:rFonts w:ascii="Arial" w:hAnsi="Arial"/>
          <w:b w:val="0"/>
          <w:i/>
          <w:sz w:val="19"/>
        </w:rPr>
        <w:t>AI Tax and Work Protection Act</w:t>
      </w:r>
      <w:r>
        <w:rPr>
          <w:rFonts w:ascii="Arial" w:hAnsi="Arial"/>
          <w:b w:val="0"/>
          <w:i w:val="0"/>
          <w:sz w:val="19"/>
        </w:rPr>
        <w:t>, § 4.5, August 2026) und arbeitsrechtliche Leitplanken (</w:t>
      </w:r>
      <w:r>
        <w:rPr>
          <w:rFonts w:ascii="Arial" w:hAnsi="Arial"/>
          <w:b w:val="0"/>
          <w:i/>
          <w:sz w:val="19"/>
        </w:rPr>
        <w:t>No Robot Bosses Act</w:t>
      </w:r>
      <w:r>
        <w:rPr>
          <w:rFonts w:ascii="Arial" w:hAnsi="Arial"/>
          <w:b w:val="0"/>
          <w:i w:val="0"/>
          <w:sz w:val="19"/>
        </w:rPr>
        <w:t xml:space="preserve">, unten, Dezember 2025); ein prominenter privatwirtschaftlicher Fürsprecher rahmt die drei Pfade damit als ein einheitliches Politik-Portfolio, was die Debatte in eine über die einzelnen Legislativ-Initiativen hinausgehende Ordnung setzt. Zweitens knüpft die </w:t>
      </w:r>
      <w:r>
        <w:rPr>
          <w:rFonts w:ascii="Arial" w:hAnsi="Arial"/>
          <w:b w:val="0"/>
          <w:i/>
          <w:sz w:val="19"/>
        </w:rPr>
        <w:t>Human-Reserved</w:t>
      </w:r>
      <w:r>
        <w:rPr>
          <w:rFonts w:ascii="Arial" w:hAnsi="Arial"/>
          <w:b w:val="0"/>
          <w:i w:val="0"/>
          <w:sz w:val="19"/>
        </w:rPr>
        <w:t xml:space="preserve">-Konstruktion an der ältesten Streitkategorie der Typ-Diskussion nach § 2.1 an — der zielgerichteten Ersatzabgabe (Typ 5) — und ergänzt sie um eine </w:t>
      </w:r>
      <w:r>
        <w:rPr>
          <w:rFonts w:ascii="Arial" w:hAnsi="Arial"/>
          <w:b w:val="0"/>
          <w:i/>
          <w:sz w:val="19"/>
        </w:rPr>
        <w:t>nicht-fiskalische</w:t>
      </w:r>
      <w:r>
        <w:rPr>
          <w:rFonts w:ascii="Arial" w:hAnsi="Arial"/>
          <w:b w:val="0"/>
          <w:i w:val="0"/>
          <w:sz w:val="19"/>
        </w:rPr>
        <w:t xml:space="preserve"> Vollzugsvariante: Statt die Substitution finanziell zu belasten, wird sie in reservierten Feldern </w:t>
      </w:r>
      <w:r>
        <w:rPr>
          <w:rFonts w:ascii="Arial" w:hAnsi="Arial"/>
          <w:b w:val="0"/>
          <w:i/>
          <w:sz w:val="19"/>
        </w:rPr>
        <w:t>untersagt</w:t>
      </w:r>
      <w:r>
        <w:rPr>
          <w:rFonts w:ascii="Arial" w:hAnsi="Arial"/>
          <w:b w:val="0"/>
          <w:i w:val="0"/>
          <w:sz w:val="19"/>
        </w:rPr>
        <w:t xml:space="preserve"> oder </w:t>
      </w:r>
      <w:r>
        <w:rPr>
          <w:rFonts w:ascii="Arial" w:hAnsi="Arial"/>
          <w:b w:val="0"/>
          <w:i/>
          <w:sz w:val="19"/>
        </w:rPr>
        <w:t>schwer erschwert</w:t>
      </w:r>
      <w:r>
        <w:rPr>
          <w:rFonts w:ascii="Arial" w:hAnsi="Arial"/>
          <w:b w:val="0"/>
          <w:i w:val="0"/>
          <w:sz w:val="19"/>
        </w:rPr>
        <w:t xml:space="preserve">. Für den in § 9.1 diskutierten Kausalattributions- und Nachweispfad heißt das, dass die Bemessungs- und Mess-Fragen von der </w:t>
      </w:r>
      <w:r>
        <w:rPr>
          <w:rFonts w:ascii="Arial" w:hAnsi="Arial"/>
          <w:b w:val="0"/>
          <w:i/>
          <w:sz w:val="19"/>
        </w:rPr>
        <w:t>Abgabe</w:t>
      </w:r>
      <w:r>
        <w:rPr>
          <w:rFonts w:ascii="Arial" w:hAnsi="Arial"/>
          <w:b w:val="0"/>
          <w:i w:val="0"/>
          <w:sz w:val="19"/>
        </w:rPr>
        <w:t xml:space="preserve">-Konstruktion auf eine </w:t>
      </w:r>
      <w:r>
        <w:rPr>
          <w:rFonts w:ascii="Arial" w:hAnsi="Arial"/>
          <w:b w:val="0"/>
          <w:i/>
          <w:sz w:val="19"/>
        </w:rPr>
        <w:t>Perimeter</w:t>
      </w:r>
      <w:r>
        <w:rPr>
          <w:rFonts w:ascii="Arial" w:hAnsi="Arial"/>
          <w:b w:val="0"/>
          <w:i w:val="0"/>
          <w:sz w:val="19"/>
        </w:rPr>
        <w:t xml:space="preserve">-Konstruktion verlagert werden — mit spiegelbildlichen Abgrenzungs- und Umgehungsproblemen: Ein „Human Reserved"-Perimeter setzt zwingend eine gesetzlich präzise Definition der geschützten Tätigkeiten voraus, ohne die er in denselben Kausalattributions-Streit gerät wie eine Ersatzabgabe nach Typ 5. Drittens verstärkt der Vorstoß die im </w:t>
      </w:r>
      <w:r>
        <w:rPr>
          <w:rFonts w:ascii="Arial" w:hAnsi="Arial"/>
          <w:b w:val="0"/>
          <w:i/>
          <w:sz w:val="19"/>
        </w:rPr>
        <w:t>OpenAI-Strategiepapier</w:t>
      </w:r>
      <w:r>
        <w:rPr>
          <w:rFonts w:ascii="Arial" w:hAnsi="Arial"/>
          <w:b w:val="0"/>
          <w:i w:val="0"/>
          <w:sz w:val="19"/>
        </w:rPr>
        <w:t xml:space="preserve"> (April 2026) angelegte, im </w:t>
      </w:r>
      <w:r>
        <w:rPr>
          <w:rFonts w:ascii="Arial" w:hAnsi="Arial"/>
          <w:b w:val="0"/>
          <w:i/>
          <w:sz w:val="19"/>
        </w:rPr>
        <w:t>OpenAI-Gegenvorschlag</w:t>
      </w:r>
      <w:r>
        <w:rPr>
          <w:rFonts w:ascii="Arial" w:hAnsi="Arial"/>
          <w:b w:val="0"/>
          <w:i w:val="0"/>
          <w:sz w:val="19"/>
        </w:rPr>
        <w:t xml:space="preserve"> (Juli 2026) präzisierte und im </w:t>
      </w:r>
      <w:r>
        <w:rPr>
          <w:rFonts w:ascii="Arial" w:hAnsi="Arial"/>
          <w:b w:val="0"/>
          <w:i/>
          <w:sz w:val="19"/>
        </w:rPr>
        <w:t>Stanford Digital Economy Lab</w:t>
      </w:r>
      <w:r>
        <w:rPr>
          <w:rFonts w:ascii="Arial" w:hAnsi="Arial"/>
          <w:b w:val="0"/>
          <w:i w:val="0"/>
          <w:sz w:val="19"/>
        </w:rPr>
        <w:t xml:space="preserve">-Statement („We Must Act Now", 13. Juli 2026) getragene Bewegung, dass zentrale US-Tech-Persönlichkeiten die politische Regulierung ihres eigenen Geschäftsmodells inzwischen aktiv fordern — allerdings mit einer inhaltlich weiterreichenden Konstruktion als OpenAI (Human-Reserved-Perimeter, tokenpreis-basierte Abgabe, verkürzte Arbeitszeit) und ohne den bei OpenAI enthaltenen Selbstverpflichtungs-Ansatz (5-%-Equity-Dotierung). Für die Deutschland-These (§ 8.3) ist der Vorstoß ein Referenzpunkt in doppelter Richtung: Die </w:t>
      </w:r>
      <w:r>
        <w:rPr>
          <w:rFonts w:ascii="Arial" w:hAnsi="Arial"/>
          <w:b w:val="0"/>
          <w:i/>
          <w:sz w:val="19"/>
        </w:rPr>
        <w:t>Token-basierte</w:t>
      </w:r>
      <w:r>
        <w:rPr>
          <w:rFonts w:ascii="Arial" w:hAnsi="Arial"/>
          <w:b w:val="0"/>
          <w:i w:val="0"/>
          <w:sz w:val="19"/>
        </w:rPr>
        <w:t xml:space="preserve"> Abgabe an inländischer KI-Nutzung (Casar-Konstruktion in § 4.5) findet mit Gates einen prominenten publizistischen Fürsprecher, was die europäische Anknüpfungsfähigkeit einer wertschöpfungs- statt bestandsorientierten Zugriffslogik (§ 5.1, § 8.3) im transatlantischen Diskurs zusätzlich stützt; zugleich führt das </w:t>
      </w:r>
      <w:r>
        <w:rPr>
          <w:rFonts w:ascii="Arial" w:hAnsi="Arial"/>
          <w:b w:val="0"/>
          <w:i/>
          <w:sz w:val="19"/>
        </w:rPr>
        <w:t>Human-Reserved</w:t>
      </w:r>
      <w:r>
        <w:rPr>
          <w:rFonts w:ascii="Arial" w:hAnsi="Arial"/>
          <w:b w:val="0"/>
          <w:i w:val="0"/>
          <w:sz w:val="19"/>
        </w:rPr>
        <w:t xml:space="preserve">-Konzept eine bislang in der deutschen Debatte weitgehend unadressierte </w:t>
      </w:r>
      <w:r>
        <w:rPr>
          <w:rFonts w:ascii="Arial" w:hAnsi="Arial"/>
          <w:b w:val="0"/>
          <w:i/>
          <w:sz w:val="19"/>
        </w:rPr>
        <w:t>ordnungspolitische</w:t>
      </w:r>
      <w:r>
        <w:rPr>
          <w:rFonts w:ascii="Arial" w:hAnsi="Arial"/>
          <w:b w:val="0"/>
          <w:i w:val="0"/>
          <w:sz w:val="19"/>
        </w:rPr>
        <w:t xml:space="preserve"> Kategorie ein — die politische Sicherung menschlicher Zuständigkeit für bestimmte Tätigkeitsfelder —, deren europäische Aufnahme (etwa in der GKV-Regelversorgung, im Bildungswesen oder im Justizvollzug) für die in § 7 (Gesundheit) und § 8.4 (Systemstabilität) skizzierten Zusammenhänge einen weiteren Prüfstein setzen würde. Ob und in welcher Form der Gates-Vorstoß in konkrete Gesetzentwürfe übersetzt wird, ist offen; publizistisch schließt er die im Papier bereits dokumentierte Sequenz (Sanders → OpenAI → Casar → Bloomberg-Editorial) um eine dritte private Politikstimme, deren </w:t>
      </w:r>
      <w:r>
        <w:rPr>
          <w:rFonts w:ascii="Arial" w:hAnsi="Arial"/>
          <w:b w:val="0"/>
          <w:i/>
          <w:sz w:val="19"/>
        </w:rPr>
        <w:t>Doppelinstrument</w:t>
      </w:r>
      <w:r>
        <w:rPr>
          <w:rFonts w:ascii="Arial" w:hAnsi="Arial"/>
          <w:b w:val="0"/>
          <w:i w:val="0"/>
          <w:sz w:val="19"/>
        </w:rPr>
        <w:t xml:space="preserve"> (Perimeter plus Abgabe) über die bislang referierten Vorschläge hinausgeht.</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(21. August 2026) — Future Response Fund („미래대응기금"):</w:t>
      </w:r>
      <w:r>
        <w:rPr>
          <w:rFonts w:ascii="Arial" w:hAnsi="Arial"/>
          <w:b w:val="0"/>
          <w:i w:val="0"/>
          <w:sz w:val="19"/>
        </w:rPr>
        <w:t xml:space="preserve"> Nur eine Woche nach dem Lee-Hae-min-Deployer-Beitragspaket vom 14. August 2026 (siehe unmittelbar folgender Absatz) hat das südkoreanische </w:t>
      </w:r>
      <w:r>
        <w:rPr>
          <w:rFonts w:ascii="Arial" w:hAnsi="Arial"/>
          <w:b w:val="0"/>
          <w:i/>
          <w:sz w:val="19"/>
        </w:rPr>
        <w:t>Ministry of Planning and Budget</w:t>
      </w:r>
      <w:r>
        <w:rPr>
          <w:rFonts w:ascii="Arial" w:hAnsi="Arial"/>
          <w:b w:val="0"/>
          <w:i w:val="0"/>
          <w:sz w:val="19"/>
        </w:rPr>
        <w:t xml:space="preserve"> (기획재정부; Minister Park Hong-keun) am 21. August 2026 den Aufbau eines neuen </w:t>
      </w:r>
      <w:r>
        <w:rPr>
          <w:rFonts w:ascii="Arial" w:hAnsi="Arial"/>
          <w:b w:val="0"/>
          <w:i/>
          <w:sz w:val="19"/>
        </w:rPr>
        <w:t>Future Response Fund</w:t>
      </w:r>
      <w:r>
        <w:rPr>
          <w:rFonts w:ascii="Arial" w:hAnsi="Arial"/>
          <w:b w:val="0"/>
          <w:i w:val="0"/>
          <w:sz w:val="19"/>
        </w:rPr>
        <w:t xml:space="preserve"> („미래대응기금") angekündigt, der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sowie der spezialisierten Rezeption von </w:t>
      </w:r>
      <w:r>
        <w:rPr>
          <w:rFonts w:ascii="Arial" w:hAnsi="Arial"/>
          <w:b w:val="0"/>
          <w:i/>
          <w:sz w:val="19"/>
        </w:rPr>
        <w:t>MLex</w:t>
      </w:r>
      <w:r>
        <w:rPr>
          <w:rFonts w:ascii="Arial" w:hAnsi="Arial"/>
          <w:b w:val="0"/>
          <w:i w:val="0"/>
          <w:sz w:val="19"/>
        </w:rPr>
        <w:t xml:space="preserve"> (21. August 2026) mit einem geplanten Anfangsvolumen von mindestens 100 Billionen koreanischen Won (etwa 72 Milliarden US-Dollar; nach </w:t>
      </w:r>
      <w:r>
        <w:rPr>
          <w:rFonts w:ascii="Arial" w:hAnsi="Arial"/>
          <w:b w:val="0"/>
          <w:i/>
          <w:sz w:val="19"/>
        </w:rPr>
        <w:t>KED-Global</w:t>
      </w:r>
      <w:r>
        <w:rPr>
          <w:rFonts w:ascii="Arial" w:hAnsi="Arial"/>
          <w:b w:val="0"/>
          <w:i w:val="0"/>
          <w:sz w:val="19"/>
        </w:rPr>
        <w:t xml:space="preserve">-Bewertung bis zu rund 145 Milliarden US-Dollar über die Laufzeit) aus </w:t>
      </w:r>
      <w:r>
        <w:rPr>
          <w:rFonts w:ascii="Arial" w:hAnsi="Arial"/>
          <w:b w:val="0"/>
          <w:i/>
          <w:sz w:val="19"/>
        </w:rPr>
        <w:t>„Windfall Revenue"</w:t>
      </w:r>
      <w:r>
        <w:rPr>
          <w:rFonts w:ascii="Arial" w:hAnsi="Arial"/>
          <w:b w:val="0"/>
          <w:i w:val="0"/>
          <w:sz w:val="19"/>
        </w:rPr>
        <w:t xml:space="preserve"> gespeist werde — konkret aus Steuereinnahmen, die den 10-Jahres-Durchschnittstrend des inländischen Aufkommens übersteigen und in der laufenden Periode überwiegend aus der halbleiter- und KI-getriebenen Körperschaftsteuer stammen. Der Fonds wird nicht als klassischer Sovereign-Wealth-Fund angelegt, sondern als </w:t>
      </w:r>
      <w:r>
        <w:rPr>
          <w:rFonts w:ascii="Arial" w:hAnsi="Arial"/>
          <w:b w:val="0"/>
          <w:i/>
          <w:sz w:val="19"/>
        </w:rPr>
        <w:t>fiskalisches Reservoir</w:t>
      </w:r>
      <w:r>
        <w:rPr>
          <w:rFonts w:ascii="Arial" w:hAnsi="Arial"/>
          <w:b w:val="0"/>
          <w:i w:val="0"/>
          <w:sz w:val="19"/>
        </w:rPr>
        <w:t xml:space="preserve">, das Überschüsse in Boom-Phasen akkumuliert, in Abschwungphasen supplementiert und der Regierung eine Umschichtung von bis zu 20 % zwischen den Einzelprojekten ohne Zustimmung der </w:t>
      </w:r>
      <w:r>
        <w:rPr>
          <w:rFonts w:ascii="Arial" w:hAnsi="Arial"/>
          <w:b w:val="0"/>
          <w:i/>
          <w:sz w:val="19"/>
        </w:rPr>
        <w:t>Nationalversammlung</w:t>
      </w:r>
      <w:r>
        <w:rPr>
          <w:rFonts w:ascii="Arial" w:hAnsi="Arial"/>
          <w:b w:val="0"/>
          <w:i w:val="0"/>
          <w:sz w:val="19"/>
        </w:rPr>
        <w:t xml:space="preserve"> erlaubt. Investitionsziele: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sowie </w:t>
      </w:r>
      <w:r>
        <w:rPr>
          <w:rFonts w:ascii="Arial" w:hAnsi="Arial"/>
          <w:b w:val="0"/>
          <w:i/>
          <w:sz w:val="19"/>
        </w:rPr>
        <w:t>Bildung und Talent</w:t>
      </w:r>
      <w:r>
        <w:rPr>
          <w:rFonts w:ascii="Arial" w:hAnsi="Arial"/>
          <w:b w:val="0"/>
          <w:i w:val="0"/>
          <w:sz w:val="19"/>
        </w:rPr>
        <w:t xml:space="preserve"> (frühkindliche, hochschulische und lebenslange Bildung, Talent­anziehung). Legislativ vorgesehen: Kabinettsberatung am 1. September 2026, Vorlage an die </w:t>
      </w:r>
      <w:r>
        <w:rPr>
          <w:rFonts w:ascii="Arial" w:hAnsi="Arial"/>
          <w:b w:val="0"/>
          <w:i/>
          <w:sz w:val="19"/>
        </w:rPr>
        <w:t>Nationalversammlung</w:t>
      </w:r>
      <w:r>
        <w:rPr>
          <w:rFonts w:ascii="Arial" w:hAnsi="Arial"/>
          <w:b w:val="0"/>
          <w:i w:val="0"/>
          <w:sz w:val="19"/>
        </w:rPr>
        <w:t xml:space="preserve"> am 3. September 2026 (Konjunktivpflicht nach § 4.2 Claude.md). Damit tritt Südkorea in derselben Steuer- und Sozialreformperiode auf einer </w:t>
      </w:r>
      <w:r>
        <w:rPr>
          <w:rFonts w:ascii="Arial" w:hAnsi="Arial"/>
          <w:b w:val="0"/>
          <w:i/>
          <w:sz w:val="19"/>
        </w:rPr>
        <w:t>dritten</w:t>
      </w:r>
      <w:r>
        <w:rPr>
          <w:rFonts w:ascii="Arial" w:hAnsi="Arial"/>
          <w:b w:val="0"/>
          <w:i w:val="0"/>
          <w:sz w:val="19"/>
        </w:rPr>
        <w:t xml:space="preserve"> Wertschöpfungsschicht in Erscheinung: nach der ertragsseitigen </w:t>
      </w:r>
      <w:r>
        <w:rPr>
          <w:rFonts w:ascii="Arial" w:hAnsi="Arial"/>
          <w:b w:val="0"/>
          <w:i/>
          <w:sz w:val="19"/>
        </w:rPr>
        <w:t>Produktionsförderung</w:t>
      </w:r>
      <w:r>
        <w:rPr>
          <w:rFonts w:ascii="Arial" w:hAnsi="Arial"/>
          <w:b w:val="0"/>
          <w:i w:val="0"/>
          <w:sz w:val="19"/>
        </w:rPr>
        <w:t xml:space="preserve"> auf der Fertigungsschicht (Domestic Production Tax Credit vom 3. August 2026, siehe folgender Absatz), der aufkommenserzeugenden </w:t>
      </w:r>
      <w:r>
        <w:rPr>
          <w:rFonts w:ascii="Arial" w:hAnsi="Arial"/>
          <w:b w:val="0"/>
          <w:i/>
          <w:sz w:val="19"/>
        </w:rPr>
        <w:t>Deployer-Abgabe</w:t>
      </w:r>
      <w:r>
        <w:rPr>
          <w:rFonts w:ascii="Arial" w:hAnsi="Arial"/>
          <w:b w:val="0"/>
          <w:i w:val="0"/>
          <w:sz w:val="19"/>
        </w:rPr>
        <w:t xml:space="preserve"> auf der Beschäftigungs­schicht (AI Transition Response Contribution vom 14. August 2026, siehe folgender Absatz) und nun der </w:t>
      </w:r>
      <w:r>
        <w:rPr>
          <w:rFonts w:ascii="Arial" w:hAnsi="Arial"/>
          <w:b w:val="0"/>
          <w:i/>
          <w:sz w:val="19"/>
        </w:rPr>
        <w:t>fiskalischen Reservoir-Bildung</w:t>
      </w:r>
      <w:r>
        <w:rPr>
          <w:rFonts w:ascii="Arial" w:hAnsi="Arial"/>
          <w:b w:val="0"/>
          <w:i w:val="0"/>
          <w:sz w:val="19"/>
        </w:rPr>
        <w:t xml:space="preserve"> auf der Kapitalertrags­schicht (Future Response Fund vom 21. August 2026). Für die vorliegende Steuerdebatte ist der Vorgang in vier Hinsichten bemerkenswert. Erstens dokumentiert er erstmals in einem OECD-Land eine institutionelle Anerkennung, dass der KI-Buildout eine spezifische </w:t>
      </w:r>
      <w:r>
        <w:rPr>
          <w:rFonts w:ascii="Arial" w:hAnsi="Arial"/>
          <w:b w:val="0"/>
          <w:i/>
          <w:sz w:val="19"/>
        </w:rPr>
        <w:t>fiskalische Windfall</w:t>
      </w:r>
      <w:r>
        <w:rPr>
          <w:rFonts w:ascii="Arial" w:hAnsi="Arial"/>
          <w:b w:val="0"/>
          <w:i w:val="0"/>
          <w:sz w:val="19"/>
        </w:rPr>
        <w:t xml:space="preserve">-Komponente erzeugt, die von der laufenden Konjunktur- und Rentabilitäts­lage der beteiligten Unternehmen abgeleitet und aus dem allgemeinen Haushalt herausgelöst wird — ein Ansatz, der der in § 5.4 diskutierten Staatsfonds- und Dividenden­logik strukturell nahesteht, aber ohne Beteiligung an einzelnen KI-Unternehmen auskommt und damit die in § 8.2 aufgenommene </w:t>
      </w:r>
      <w:r>
        <w:rPr>
          <w:rFonts w:ascii="Arial" w:hAnsi="Arial"/>
          <w:b w:val="0"/>
          <w:i/>
          <w:sz w:val="19"/>
        </w:rPr>
        <w:t>fiskalische Volatilität einer bestands­orientierten Umverteilungs­logik</w:t>
      </w:r>
      <w:r>
        <w:rPr>
          <w:rFonts w:ascii="Arial" w:hAnsi="Arial"/>
          <w:b w:val="0"/>
          <w:i w:val="0"/>
          <w:sz w:val="19"/>
        </w:rPr>
        <w:t xml:space="preserve"> umgeht. Zweitens verankert die Zweckbindung (Jugend / Wachstumsmotoren / Regionen / Bildung) den in § 8.3 (Teilhabefrage) skizzierten Gedanken einer </w:t>
      </w:r>
      <w:r>
        <w:rPr>
          <w:rFonts w:ascii="Arial" w:hAnsi="Arial"/>
          <w:b w:val="0"/>
          <w:i/>
          <w:sz w:val="19"/>
        </w:rPr>
        <w:t>präventiv-investiven Rückverteilung</w:t>
      </w:r>
      <w:r>
        <w:rPr>
          <w:rFonts w:ascii="Arial" w:hAnsi="Arial"/>
          <w:b w:val="0"/>
          <w:i w:val="0"/>
          <w:sz w:val="19"/>
        </w:rPr>
        <w:t xml:space="preserve"> KI-erzeugter Kapitalrenditen; die Jugend-Priorität liefert dabei eine direkte politische Antwort auf die von der Bank of Korea am 18. August 2026 dokumentierte Kohorten­verschiebung (94 % der 285.000 Netto-Jugendbeschäftigungsverluste 2022–2026 in KI-exponierten Sektoren, § 3.5). Drittens etabliert die </w:t>
      </w:r>
      <w:r>
        <w:rPr>
          <w:rFonts w:ascii="Arial" w:hAnsi="Arial"/>
          <w:b w:val="0"/>
          <w:i/>
          <w:sz w:val="19"/>
        </w:rPr>
        <w:t>Fiscal-Reservoir</w:t>
      </w:r>
      <w:r>
        <w:rPr>
          <w:rFonts w:ascii="Arial" w:hAnsi="Arial"/>
          <w:b w:val="0"/>
          <w:i w:val="0"/>
          <w:sz w:val="19"/>
        </w:rPr>
        <w:t xml:space="preserve">-Konstruktion — Überschussakkumulation in Boom-Phasen, Supplementierung in Downturns, 20-%-Umschichtungs­flexibilität — ein Governance-Modell, das der in § 5.4 skizzierten </w:t>
      </w:r>
      <w:r>
        <w:rPr>
          <w:rFonts w:ascii="Arial" w:hAnsi="Arial"/>
          <w:b w:val="0"/>
          <w:i/>
          <w:sz w:val="19"/>
        </w:rPr>
        <w:t>automatisch-fiskalischen Stabilisator</w:t>
      </w:r>
      <w:r>
        <w:rPr>
          <w:rFonts w:ascii="Arial" w:hAnsi="Arial"/>
          <w:b w:val="0"/>
          <w:i w:val="0"/>
          <w:sz w:val="19"/>
        </w:rPr>
        <w:t>-Logik des US-</w:t>
      </w:r>
      <w:r>
        <w:rPr>
          <w:rFonts w:ascii="Arial" w:hAnsi="Arial"/>
          <w:b w:val="0"/>
          <w:i/>
          <w:sz w:val="19"/>
        </w:rPr>
        <w:t>AI Tax and Work Protection Act</w:t>
      </w:r>
      <w:r>
        <w:rPr>
          <w:rFonts w:ascii="Arial" w:hAnsi="Arial"/>
          <w:b w:val="0"/>
          <w:i w:val="0"/>
          <w:sz w:val="19"/>
        </w:rPr>
        <w:t xml:space="preserve"> (H.R. 10044, § 4.5) auf der Ausgaben­seite entspricht, während H.R. 10044 dies auf der Einnahmen­seite tut; beide Ansätze konvergieren auf die Erwartung einer </w:t>
      </w:r>
      <w:r>
        <w:rPr>
          <w:rFonts w:ascii="Arial" w:hAnsi="Arial"/>
          <w:b w:val="0"/>
          <w:i/>
          <w:sz w:val="19"/>
        </w:rPr>
        <w:t>diskontinuierlichen</w:t>
      </w:r>
      <w:r>
        <w:rPr>
          <w:rFonts w:ascii="Arial" w:hAnsi="Arial"/>
          <w:b w:val="0"/>
          <w:i w:val="0"/>
          <w:sz w:val="19"/>
        </w:rPr>
        <w:t xml:space="preserve"> KI-Wirkung, die eine antizyklische fiskalische Reaktionskapazität voraussetzt. Viertens bleibt der südkoreanische Ansatz — anders als der in § 5.4 skizzierte OpenAI-Vorschlag eines norwegisch inspirierten AI-Sovereign-Wealth-Funds — ohne unmittelbare Anteile­beteiligung am KI-Sektor: Der Zugriff erfolgt auf der Ebene der bestehenden Körperschaftsteuer­einnahmen, nicht auf der Ebene des Modell-Eigentums. Für die in Kapitel 8 entwickelte Deutschland-These ist der Vorgang deshalb ein indirekter Bestätigungspunkt: Auch außerhalb einer </w:t>
      </w:r>
      <w:r>
        <w:rPr>
          <w:rFonts w:ascii="Arial" w:hAnsi="Arial"/>
          <w:b w:val="0"/>
          <w:i/>
          <w:sz w:val="19"/>
        </w:rPr>
        <w:t>Wertschöpfungs­abgabe</w:t>
      </w:r>
      <w:r>
        <w:rPr>
          <w:rFonts w:ascii="Arial" w:hAnsi="Arial"/>
          <w:b w:val="0"/>
          <w:i w:val="0"/>
          <w:sz w:val="19"/>
        </w:rPr>
        <w:t xml:space="preserve"> im engeren Sinne (§ 5.1) ist eine institutionalisierte Rückverteilung KI-erzeugter Windfall-Renditen politisch möglich, sobald der fiskalische Grundmechanismus (regelbasierter Trend-Überschuss statt Anbieter-Zwangs­abgabe) sauber definiert ist.</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jc w:val="both"/>
      </w:pPr>
      <w:r>
        <w:rPr>
          <w:rFonts w:ascii="Arial" w:hAnsi="Arial"/>
          <w:b/>
          <w:i w:val="0"/>
          <w:sz w:val="19"/>
        </w:rPr>
        <w:t>Empirische Verankerung für Deutschland (IAB-Kurzbericht 08/2026, 27. August 2026):</w:t>
      </w:r>
      <w:r>
        <w:rPr>
          <w:rFonts w:ascii="Arial" w:hAnsi="Arial"/>
          <w:b w:val="0"/>
          <w:i w:val="0"/>
          <w:sz w:val="19"/>
        </w:rPr>
        <w:t xml:space="preserve"> Für die im Absatz oben formulierte Drei-Faktor-Sicht liefert der </w:t>
      </w:r>
      <w:r>
        <w:rPr>
          <w:rFonts w:ascii="Arial" w:hAnsi="Arial"/>
          <w:b w:val="0"/>
          <w:i/>
          <w:sz w:val="19"/>
        </w:rPr>
        <w:t>IAB-Kurzbericht</w:t>
      </w:r>
      <w:r>
        <w:rPr>
          <w:rFonts w:ascii="Arial" w:hAnsi="Arial"/>
          <w:b w:val="0"/>
          <w:i w:val="0"/>
          <w:sz w:val="19"/>
        </w:rPr>
        <w:t xml:space="preserve"> 08/2026 von </w:t>
      </w:r>
      <w:r>
        <w:rPr>
          <w:rFonts w:ascii="Arial" w:hAnsi="Arial"/>
          <w:b w:val="0"/>
          <w:i/>
          <w:sz w:val="19"/>
        </w:rPr>
        <w:t>Michael Friedrich</w:t>
      </w:r>
      <w:r>
        <w:rPr>
          <w:rFonts w:ascii="Arial" w:hAnsi="Arial"/>
          <w:b w:val="0"/>
          <w:i w:val="0"/>
          <w:sz w:val="19"/>
        </w:rPr>
        <w:t xml:space="preserve"> und </w:t>
      </w:r>
      <w:r>
        <w:rPr>
          <w:rFonts w:ascii="Arial" w:hAnsi="Arial"/>
          <w:b w:val="0"/>
          <w:i/>
          <w:sz w:val="19"/>
        </w:rPr>
        <w:t>Christian Kagerl</w:t>
      </w:r>
      <w:r>
        <w:rPr>
          <w:rFonts w:ascii="Arial" w:hAnsi="Arial"/>
          <w:b w:val="0"/>
          <w:i w:val="0"/>
          <w:sz w:val="19"/>
        </w:rPr>
        <w:t xml:space="preserve"> („Künstliche Intelligenz in deutschen Betrieben: Jeder vierte Betrieb nutzt mittlerweile generative KI", Nürnberg, 8 Seiten, DOI 10.48720/IAB.KB.2608) einen aktuellen empirischen Anhaltspunkt zum inländischen Adoptionsstand des dritten Faktors. Auf Basis des </w:t>
      </w:r>
      <w:r>
        <w:rPr>
          <w:rFonts w:ascii="Arial" w:hAnsi="Arial"/>
          <w:b w:val="0"/>
          <w:i/>
          <w:sz w:val="19"/>
        </w:rPr>
        <w:t>IAB-Betriebspanels</w:t>
      </w:r>
      <w:r>
        <w:rPr>
          <w:rFonts w:ascii="Arial" w:hAnsi="Arial"/>
          <w:b w:val="0"/>
          <w:i w:val="0"/>
          <w:sz w:val="19"/>
        </w:rPr>
        <w:t xml:space="preserve"> habe sich der Anteil der Betriebe mit Nutzung generativer KI zwischen 2023 und 2025 von rund 5 % auf rund 24 % nahezu verfünffacht; bei Großbetrieben mit 200 und mehr Beschäftigten liege der Anteil bereits bei rund 48 %, bei Kleinstbetrieben mit weniger als zehn Beschäftigten bei rund 21 %. Von den nutzenden Betrieben griffen rund 90 % auf frei verfügbare Anwendungen zurück; lediglich rund 16 % verwendeten mit eigenen Daten trainierte Modelle (Konjunktivpflicht nach § 4.2 Claude.md, da die Werte aus einer Betriebsbefragung stammen und die 2025er Welle die zuletzt erhobene Datengrundlage bildet). Für die in § 8.1 entwickelte Modellierung ergeben sich zwei Beobachtungen. Erstens: Der dritte Faktor ist in der inländischen Betriebslandschaft empirisch angekommen, aber nach Betriebsgröße stark asymmetrisch verteilt — eine Verteilung, die die in § 5.1 diskutierte Verbreiterung der Sozialstaats­finanzierung auf Wertschöpfung stützt, weil generative KI die Produktivität dort zuerst hebt, wo die Bemessungsbasis der lohn­gestützten Sozialversicherung ohnehin am dünnsten wird (kognitiv-dienstleistungs­intensive Großbetriebe). Zweitens: Die Konzentration auf frei verfügbare Anwendungen (rund 90 %) verstärkt den in § 8.3 formulierten Punkt, dass die inländische Wertschöpfung nicht am Basismodell, sondern an der Anwendungs­stufe entsteht — mit unmittelbarer Rückwirkung auf die in Kapitel 8 vorgeschlagene </w:t>
      </w:r>
      <w:r>
        <w:rPr>
          <w:rFonts w:ascii="Arial" w:hAnsi="Arial"/>
          <w:b w:val="0"/>
          <w:i/>
          <w:sz w:val="19"/>
        </w:rPr>
        <w:t>Veredelungsstrategie</w:t>
      </w:r>
      <w:r>
        <w:rPr>
          <w:rFonts w:ascii="Arial" w:hAnsi="Arial"/>
          <w:b w:val="0"/>
          <w:i w:val="0"/>
          <w:sz w:val="19"/>
        </w:rPr>
        <w:t xml:space="preserve"> (§ 8.2) und die in § 8.3 begründete wertschöpfungs­bezogene Zugriffsarchitektur, die auf inländische KI-</w:t>
      </w:r>
      <w:r>
        <w:rPr>
          <w:rFonts w:ascii="Arial" w:hAnsi="Arial"/>
          <w:b w:val="0"/>
          <w:i/>
          <w:sz w:val="19"/>
        </w:rPr>
        <w:t>Nutzung</w:t>
      </w:r>
      <w:r>
        <w:rPr>
          <w:rFonts w:ascii="Arial" w:hAnsi="Arial"/>
          <w:b w:val="0"/>
          <w:i w:val="0"/>
          <w:sz w:val="19"/>
        </w:rPr>
        <w:t xml:space="preserve"> statt auf ausländische Anbieter-Bestände zielt.</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Zweite Fortschreibung (Stand 24. August 2026): Innerhalb weniger Tage tritt eine sechste Konstruktion an derselben Compute-Finanzierungs­schicht hinzu. Nach </w:t>
      </w:r>
      <w:r>
        <w:rPr>
          <w:rFonts w:ascii="Arial" w:hAnsi="Arial"/>
          <w:b w:val="0"/>
          <w:i/>
          <w:sz w:val="19"/>
        </w:rPr>
        <w:t>Bloomberg</w:t>
      </w:r>
      <w:r>
        <w:rPr>
          <w:rFonts w:ascii="Arial" w:hAnsi="Arial"/>
          <w:b w:val="0"/>
          <w:i w:val="0"/>
          <w:sz w:val="19"/>
        </w:rPr>
        <w:t xml:space="preserve">-Berichterstattung („AI Infrastructure Boom Drives Broadcom's $60 Billion Debt Financing Talks", 20. August 2026) und übereinstimmender Rezeption durch </w:t>
      </w:r>
      <w:r>
        <w:rPr>
          <w:rFonts w:ascii="Arial" w:hAnsi="Arial"/>
          <w:b w:val="0"/>
          <w:i/>
          <w:sz w:val="19"/>
        </w:rPr>
        <w:t>Yahoo Finance</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Dealroom News</w:t>
      </w:r>
      <w:r>
        <w:rPr>
          <w:rFonts w:ascii="Arial" w:hAnsi="Arial"/>
          <w:b w:val="0"/>
          <w:i w:val="0"/>
          <w:sz w:val="19"/>
        </w:rPr>
        <w:t xml:space="preserve"> und </w:t>
      </w:r>
      <w:r>
        <w:rPr>
          <w:rFonts w:ascii="Arial" w:hAnsi="Arial"/>
          <w:b w:val="0"/>
          <w:i/>
          <w:sz w:val="19"/>
        </w:rPr>
        <w:t>WMBD Radio</w:t>
      </w:r>
      <w:r>
        <w:rPr>
          <w:rFonts w:ascii="Arial" w:hAnsi="Arial"/>
          <w:b w:val="0"/>
          <w:i w:val="0"/>
          <w:sz w:val="19"/>
        </w:rPr>
        <w:t xml:space="preserve"> sondiert </w:t>
      </w:r>
      <w:r>
        <w:rPr>
          <w:rFonts w:ascii="Arial" w:hAnsi="Arial"/>
          <w:b w:val="0"/>
          <w:i/>
          <w:sz w:val="19"/>
        </w:rPr>
        <w:t>Broadcom</w:t>
      </w:r>
      <w:r>
        <w:rPr>
          <w:rFonts w:ascii="Arial" w:hAnsi="Arial"/>
          <w:b w:val="0"/>
          <w:i w:val="0"/>
          <w:sz w:val="19"/>
        </w:rPr>
        <w:t xml:space="preserve"> seit dem 20. August 2026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im Umfang von mehr als 60 Milliarden US-Dollar zur Refinanzierung eigener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die Struktur soll aus einer rund 30 Milliarden US-Dollar schweren </w:t>
      </w:r>
      <w:r>
        <w:rPr>
          <w:rFonts w:ascii="Arial" w:hAnsi="Arial"/>
          <w:b w:val="0"/>
          <w:i/>
          <w:sz w:val="19"/>
        </w:rPr>
        <w:t>junior-debt</w:t>
      </w:r>
      <w:r>
        <w:rPr>
          <w:rFonts w:ascii="Arial" w:hAnsi="Arial"/>
          <w:b w:val="0"/>
          <w:i w:val="0"/>
          <w:sz w:val="19"/>
        </w:rPr>
        <w:t xml:space="preserve">-Tranche und einer </w:t>
      </w:r>
      <w:r>
        <w:rPr>
          <w:rFonts w:ascii="Arial" w:hAnsi="Arial"/>
          <w:b w:val="0"/>
          <w:i/>
          <w:sz w:val="19"/>
        </w:rPr>
        <w:t>senior-secured</w:t>
      </w:r>
      <w:r>
        <w:rPr>
          <w:rFonts w:ascii="Arial" w:hAnsi="Arial"/>
          <w:b w:val="0"/>
          <w:i w:val="0"/>
          <w:sz w:val="19"/>
        </w:rPr>
        <w:t xml:space="preserve">-Tranche von rund 60 bis 70 Milliarden US-Dollar bestehen (mit </w:t>
      </w:r>
      <w:r>
        <w:rPr>
          <w:rFonts w:ascii="Arial" w:hAnsi="Arial"/>
          <w:b w:val="0"/>
          <w:i/>
          <w:sz w:val="19"/>
        </w:rPr>
        <w:t>Broadcom</w:t>
      </w:r>
      <w:r>
        <w:rPr>
          <w:rFonts w:ascii="Arial" w:hAnsi="Arial"/>
          <w:b w:val="0"/>
          <w:i w:val="0"/>
          <w:sz w:val="19"/>
        </w:rPr>
        <w:t xml:space="preserve">-Teilbürgschaft auf letztere) und könne insgesamt bis rund 100 Milliarden US-Dollar erreichen; sie baut auf der bereits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w:t>
      </w:r>
      <w:r>
        <w:rPr>
          <w:rFonts w:ascii="Arial" w:hAnsi="Arial"/>
          <w:b w:val="0"/>
          <w:i/>
          <w:sz w:val="19"/>
        </w:rPr>
        <w:t>Anthropic</w:t>
      </w:r>
      <w:r>
        <w:rPr>
          <w:rFonts w:ascii="Arial" w:hAnsi="Arial"/>
          <w:b w:val="0"/>
          <w:i w:val="0"/>
          <w:sz w:val="19"/>
        </w:rPr>
        <w:t xml:space="preserve">-Compute-Kapazität auf (erste Ausbaustufe rund ein Gigawatt, Ziel der Partnerschaft mehr als 20 Gigawatt Compute bis 2028) — Konjunktivpflicht nach § 4.2 Claude.md, da endgültige Volumen, Konsortial­struktur und Bürgschaftsanteil vor Ausfertigung der Verträge nicht abgeschlossen sind. Zeitgleich verzahnt sich der Vorgang mit der Kundenseite: Nach </w:t>
      </w:r>
      <w:r>
        <w:rPr>
          <w:rFonts w:ascii="Arial" w:hAnsi="Arial"/>
          <w:b w:val="0"/>
          <w:i/>
          <w:sz w:val="19"/>
        </w:rPr>
        <w:t>Bloomberg</w:t>
      </w:r>
      <w:r>
        <w:rPr>
          <w:rFonts w:ascii="Arial" w:hAnsi="Arial"/>
          <w:b w:val="0"/>
          <w:i w:val="0"/>
          <w:sz w:val="19"/>
        </w:rPr>
        <w:t xml:space="preserve">-Berichterstattung („Anthropic's Annualized Revenue Tops $65 Billion Before IPO",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 xml:space="preserve">-Prospekt wird gegen Ende August 2026 erwartet (Konjunktivpflicht nach § 4.2 Claude.md). Für die in diesem Kapitel entwickelte Rohstoff-Analogie ergänzt der Vorgang die fünf zuvor markierten Muster (i–v) um eine sechste Konstruktion: (vi) </w:t>
      </w:r>
      <w:r>
        <w:rPr>
          <w:rFonts w:ascii="Arial" w:hAnsi="Arial"/>
          <w:b w:val="0"/>
          <w:i/>
          <w:sz w:val="19"/>
        </w:rPr>
        <w:t>Vendor-financed junior/senior debt</w:t>
      </w:r>
      <w:r>
        <w:rPr>
          <w:rFonts w:ascii="Arial" w:hAnsi="Arial"/>
          <w:b w:val="0"/>
          <w:i w:val="0"/>
          <w:sz w:val="19"/>
        </w:rPr>
        <w:t xml:space="preserve"> im Umfang mehrerer Zehnerpotenzen zur Refinanzierung eines Custom-Silicon-Roadmap-Kunden — der Design­partner (</w:t>
      </w:r>
      <w:r>
        <w:rPr>
          <w:rFonts w:ascii="Arial" w:hAnsi="Arial"/>
          <w:b w:val="0"/>
          <w:i/>
          <w:sz w:val="19"/>
        </w:rPr>
        <w:t>Broadcom</w:t>
      </w:r>
      <w:r>
        <w:rPr>
          <w:rFonts w:ascii="Arial" w:hAnsi="Arial"/>
          <w:b w:val="0"/>
          <w:i w:val="0"/>
          <w:sz w:val="19"/>
        </w:rPr>
        <w:t>) übernimmt gleichzeitig die Rolle des Teilbürgen und des Rohstoff-Lieferanten, während die institutionellen Kapital-Anker (</w:t>
      </w:r>
      <w:r>
        <w:rPr>
          <w:rFonts w:ascii="Arial" w:hAnsi="Arial"/>
          <w:b w:val="0"/>
          <w:i/>
          <w:sz w:val="19"/>
        </w:rPr>
        <w:t>Apollo</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mit denen aus Konstruktion (v) identisch sind. Die Kombination aus fremd­finanzierter Custom-Silicon-Zuweisung und in Aussicht stehendem 2-Billionen-Dollar-Börsengang schärft zwei Beobachtungen des Papiers: Erstens verlagert sich die Bemessungsbasis der KI-Wertschöpfung binnen Wochen aus der klassischen Anbieter­bilanz in ein Netz von Zweckgesellschaften und Vendor-Garantien, was die Bestandsanknüpfung inländischer Steuer- oder Beteiligungslogik (§ 4.5, § 8.3) empirisch weiter erschwert. Zweitens findet die im Papier skizzierte </w:t>
      </w:r>
      <w:r>
        <w:rPr>
          <w:rFonts w:ascii="Arial" w:hAnsi="Arial"/>
          <w:b w:val="0"/>
          <w:i/>
          <w:sz w:val="19"/>
        </w:rPr>
        <w:t>KI-Renten</w:t>
      </w:r>
      <w:r>
        <w:rPr>
          <w:rFonts w:ascii="Arial" w:hAnsi="Arial"/>
          <w:b w:val="0"/>
          <w:i w:val="0"/>
          <w:sz w:val="19"/>
        </w:rPr>
        <w:t xml:space="preserve">-Debatte in der bevorstehenden </w:t>
      </w:r>
      <w:r>
        <w:rPr>
          <w:rFonts w:ascii="Arial" w:hAnsi="Arial"/>
          <w:b w:val="0"/>
          <w:i/>
          <w:sz w:val="19"/>
        </w:rPr>
        <w:t>Anthropic</w:t>
      </w:r>
      <w:r>
        <w:rPr>
          <w:rFonts w:ascii="Arial" w:hAnsi="Arial"/>
          <w:b w:val="0"/>
          <w:i w:val="0"/>
          <w:sz w:val="19"/>
        </w:rPr>
        <w:t>-Erstnotiz einen konkreten Prüfstein — sollte die Zielbewertung auch nur annähernd erreicht werden, wird die Frage der öffentlichen Teilhabe an einem im Fünf­jahres­fenster entstandenen 2-Billionen-Dollar-Wertspeicher (§ 8.3) nicht länger hypothetisch. Für die Deutschland-These folgt daraus keine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 xml:space="preserve">Dritte Fortschreibung (Stand 26. August 2026): Die im Vorlauf um Konstruktion (vi) </w:t>
      </w:r>
      <w:r>
        <w:rPr>
          <w:rFonts w:ascii="Arial" w:hAnsi="Arial"/>
          <w:b w:val="0"/>
          <w:i/>
          <w:sz w:val="19"/>
        </w:rPr>
        <w:t>Vendor-financed junior/senior debt</w:t>
      </w:r>
      <w:r>
        <w:rPr>
          <w:rFonts w:ascii="Arial" w:hAnsi="Arial"/>
          <w:b w:val="0"/>
          <w:i w:val="0"/>
          <w:sz w:val="19"/>
        </w:rPr>
        <w:t xml:space="preserve"> verdichtete Compute-Finanzierungs­schicht spiegelt sich seit dem 19. August 2026 erstmals in einer makrofinanziellen Marktverwerfung an der US-Bond-Frontlinie, die die im Papier bislang isoliert markierten Einzelvorgänge zu einem aggregierten Systemwirkungsbefund zusammenzieht. Nach übereinstimmender Berichterstattung von </w:t>
      </w:r>
      <w:r>
        <w:rPr>
          <w:rFonts w:ascii="Arial" w:hAnsi="Arial"/>
          <w:b w:val="0"/>
          <w:i/>
          <w:sz w:val="19"/>
        </w:rPr>
        <w:t>Bloomberg</w:t>
      </w:r>
      <w:r>
        <w:rPr>
          <w:rFonts w:ascii="Arial" w:hAnsi="Arial"/>
          <w:b w:val="0"/>
          <w:i w:val="0"/>
          <w:sz w:val="19"/>
        </w:rPr>
        <w:t xml:space="preserve"> (23. August 2026, „US Long Bonds Risk Deeper Selloff Without Clear Warsh Guidance"), </w:t>
      </w:r>
      <w:r>
        <w:rPr>
          <w:rFonts w:ascii="Arial" w:hAnsi="Arial"/>
          <w:b w:val="0"/>
          <w:i/>
          <w:sz w:val="19"/>
        </w:rPr>
        <w:t>CNBC</w:t>
      </w:r>
      <w:r>
        <w:rPr>
          <w:rFonts w:ascii="Arial" w:hAnsi="Arial"/>
          <w:b w:val="0"/>
          <w:i w:val="0"/>
          <w:sz w:val="19"/>
        </w:rPr>
        <w:t xml:space="preserve"> („Bessent moves to curb Treasury yields, putting new pressure on Warsh's Fed", 19. August 2026), </w:t>
      </w:r>
      <w:r>
        <w:rPr>
          <w:rFonts w:ascii="Arial" w:hAnsi="Arial"/>
          <w:b w:val="0"/>
          <w:i/>
          <w:sz w:val="19"/>
        </w:rPr>
        <w:t>Axios</w:t>
      </w:r>
      <w:r>
        <w:rPr>
          <w:rFonts w:ascii="Arial" w:hAnsi="Arial"/>
          <w:b w:val="0"/>
          <w:i w:val="0"/>
          <w:sz w:val="19"/>
        </w:rPr>
        <w:t xml:space="preserve"> (19. August 2026), </w:t>
      </w:r>
      <w:r>
        <w:rPr>
          <w:rFonts w:ascii="Arial" w:hAnsi="Arial"/>
          <w:b w:val="0"/>
          <w:i/>
          <w:sz w:val="19"/>
        </w:rPr>
        <w:t>NBC News</w:t>
      </w:r>
      <w:r>
        <w:rPr>
          <w:rFonts w:ascii="Arial" w:hAnsi="Arial"/>
          <w:b w:val="0"/>
          <w:i w:val="0"/>
          <w:sz w:val="19"/>
        </w:rPr>
        <w:t xml:space="preserve">, </w:t>
      </w:r>
      <w:r>
        <w:rPr>
          <w:rFonts w:ascii="Arial" w:hAnsi="Arial"/>
          <w:b w:val="0"/>
          <w:i/>
          <w:sz w:val="19"/>
        </w:rPr>
        <w:t>Council on Foreign Relations</w:t>
      </w:r>
      <w:r>
        <w:rPr>
          <w:rFonts w:ascii="Arial" w:hAnsi="Arial"/>
          <w:b w:val="0"/>
          <w:i w:val="0"/>
          <w:sz w:val="19"/>
        </w:rPr>
        <w:t xml:space="preserve"> („What the Treasury's Buyback Surprise Says About the Bond Market") sowie </w:t>
      </w:r>
      <w:r>
        <w:rPr>
          <w:rFonts w:ascii="Arial" w:hAnsi="Arial"/>
          <w:b w:val="0"/>
          <w:i/>
          <w:sz w:val="19"/>
        </w:rPr>
        <w:t>TechTimes</w:t>
      </w:r>
      <w:r>
        <w:rPr>
          <w:rFonts w:ascii="Arial" w:hAnsi="Arial"/>
          <w:b w:val="0"/>
          <w:i w:val="0"/>
          <w:sz w:val="19"/>
        </w:rPr>
        <w:t xml:space="preserve"> („Warsh Keynote at Jackson Hole: AI Capex Is Breaking His Rate-Hold Case", 25. August 2026) hat </w:t>
      </w:r>
      <w:r>
        <w:rPr>
          <w:rFonts w:ascii="Arial" w:hAnsi="Arial"/>
          <w:b w:val="0"/>
          <w:i/>
          <w:sz w:val="19"/>
        </w:rPr>
        <w:t>Vanguard</w:t>
      </w:r>
      <w:r>
        <w:rPr>
          <w:rFonts w:ascii="Arial" w:hAnsi="Arial"/>
          <w:b w:val="0"/>
          <w:i w:val="0"/>
          <w:sz w:val="19"/>
        </w:rPr>
        <w:t xml:space="preserve"> das aggregierte Volumen KI-bezogener Schuldverschreibungen für das gesamte Jahr 2026 — Hyperscaler, Chip-Hersteller, Rechen­zentrums­entwickler und Versorgungsunternehmen zusammengenommen — auf 300 bis 570 Milliarden US-Dollar veranschlagt; nach der Zählung von </w:t>
      </w:r>
      <w:r>
        <w:rPr>
          <w:rFonts w:ascii="Arial" w:hAnsi="Arial"/>
          <w:b w:val="0"/>
          <w:i/>
          <w:sz w:val="19"/>
        </w:rPr>
        <w:t>S&amp;P Global</w:t>
      </w:r>
      <w:r>
        <w:rPr>
          <w:rFonts w:ascii="Arial" w:hAnsi="Arial"/>
          <w:b w:val="0"/>
          <w:i w:val="0"/>
          <w:sz w:val="19"/>
        </w:rPr>
        <w:t xml:space="preserve"> wurden bis Mitte 2026 bereits rund 225 Milliarden US-Dollar an KI-bezogenen Bonds emittiert (nahezu Verzehnfachung gegenüber dem Vorjahres­zeitraum), die fünf US-Hyperscaler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haben nach </w:t>
      </w:r>
      <w:r>
        <w:rPr>
          <w:rFonts w:ascii="Arial" w:hAnsi="Arial"/>
          <w:b w:val="0"/>
          <w:i/>
          <w:sz w:val="19"/>
        </w:rPr>
        <w:t>Bloomberg</w:t>
      </w:r>
      <w:r>
        <w:rPr>
          <w:rFonts w:ascii="Arial" w:hAnsi="Arial"/>
          <w:b w:val="0"/>
          <w:i w:val="0"/>
          <w:sz w:val="19"/>
        </w:rPr>
        <w:t xml:space="preserve">-Angaben bis zum 31. Juli 2026 rund 132 Milliarden US-Dollar am Bondmarkt aufgenommen (gegenüber einem Jahres­durchschnitt von rund 35 Milliarden US-Dollar in den Vorjahren), darunter ein Multitranchen-Angebot in Höhe von rund 53 Milliarden US-Dollar und ein „Century-Bond" mit hundertjähriger Laufzeit; </w:t>
      </w:r>
      <w:r>
        <w:rPr>
          <w:rFonts w:ascii="Arial" w:hAnsi="Arial"/>
          <w:b w:val="0"/>
          <w:i/>
          <w:sz w:val="19"/>
        </w:rPr>
        <w:t>Morgan Stanley</w:t>
      </w:r>
      <w:r>
        <w:rPr>
          <w:rFonts w:ascii="Arial" w:hAnsi="Arial"/>
          <w:b w:val="0"/>
          <w:i w:val="0"/>
          <w:sz w:val="19"/>
        </w:rPr>
        <w:t xml:space="preserve"> prognostiziert nach </w:t>
      </w:r>
      <w:r>
        <w:rPr>
          <w:rFonts w:ascii="Arial" w:hAnsi="Arial"/>
          <w:b w:val="0"/>
          <w:i/>
          <w:sz w:val="19"/>
        </w:rPr>
        <w:t>Forbes</w:t>
      </w:r>
      <w:r>
        <w:rPr>
          <w:rFonts w:ascii="Arial" w:hAnsi="Arial"/>
          <w:b w:val="0"/>
          <w:i w:val="0"/>
          <w:sz w:val="19"/>
        </w:rPr>
        <w:t xml:space="preserve">-Rezeption vom 17. Juli 2026 rund 570 Milliarden US-Dollar globale KI-Debt-Emission für 2026 und leitet daraus eine Finanzierungslücke von rund 1,5 Billionen US-Dollar zwischen erforderlichen Rechen­zentrums­investitionen (~2,9 Billionen US-Dollar bis 2028) und dem verfügbaren Konzern-Cashflow (~1,4 Billionen US-Dollar) ab. Diese Angebotsspitze verdrängt institutionelles Kapital aus dem US-Treasury-Markt: Die Rendite dreißigjähriger US-Staatsanleihen erreichte zeitweise ihren höchsten Stand seit 2007, worauf US-Finanz­minister Scott Bessent am 19. August 2026 eine Verdopplung des Buyback-Volumens für Long-Bonds von 2 auf 4 Milliarden US-Dollar pro Operation im Zeitfenster 9. September bis 4. November 2026 ankündigte — nach Council-on-Foreign-Relations-Einordnung ein Signal, dass die Grenze zwischen Fiskal- und Geldpolitik durch den KI-Capex-Druck neu vermessen wird. Für die geldpolitische Führung entsteht dadurch nach </w:t>
      </w:r>
      <w:r>
        <w:rPr>
          <w:rFonts w:ascii="Arial" w:hAnsi="Arial"/>
          <w:b w:val="0"/>
          <w:i/>
          <w:sz w:val="19"/>
        </w:rPr>
        <w:t>Bloomberg</w:t>
      </w:r>
      <w:r>
        <w:rPr>
          <w:rFonts w:ascii="Arial" w:hAnsi="Arial"/>
          <w:b w:val="0"/>
          <w:i w:val="0"/>
          <w:sz w:val="19"/>
        </w:rPr>
        <w:t xml:space="preserve">-Analyse ein struktureller Zielkonflikt: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der sein Amt mit einem angekündigten „regime change" gegen persistente Inflation angetreten ist, wird in seinem Jackson-Hole-Keynote am 28. August 2026 nach den zitierten Vorberichten (Konjunktivpflicht nach § 4.2 Claude.md) zwischen zwei entgegen­gesetzten KI-Wirkungspfaden abwägen müssen: einer langfristig-disinflationären Produktivitätswirkung aus KI-Deployment einerseits und einer kurzfristig inflationär und zinserhöhend wirkenden Bondmarkt-Verwerfung durch KI-Capex andererseits, wobei drei Fed-Gouverneure zuletzt öffentlich für Zinserhöhungen dissentierten — eine interne Divergenz auf einem Niveau, das die </w:t>
      </w:r>
      <w:r>
        <w:rPr>
          <w:rFonts w:ascii="Arial" w:hAnsi="Arial"/>
          <w:b w:val="0"/>
          <w:i/>
          <w:sz w:val="19"/>
        </w:rPr>
        <w:t>Federal Reserve</w:t>
      </w:r>
      <w:r>
        <w:rPr>
          <w:rFonts w:ascii="Arial" w:hAnsi="Arial"/>
          <w:b w:val="0"/>
          <w:i w:val="0"/>
          <w:sz w:val="19"/>
        </w:rPr>
        <w:t xml:space="preserve"> seit 2016 nicht mehr gesehen hat. Für die in diesem Kapitel entwickelte Rohstoff-Analogie ergänzt der Vorgang die sechs zuvor markierten Muster (i–vi) um eine siebte, aggregierte Konstruktion: (vii) </w:t>
      </w:r>
      <w:r>
        <w:rPr>
          <w:rFonts w:ascii="Arial" w:hAnsi="Arial"/>
          <w:b w:val="0"/>
          <w:i/>
          <w:sz w:val="19"/>
        </w:rPr>
        <w:t>makrofinanzielle Verdrängungswirkung</w:t>
      </w:r>
      <w:r>
        <w:rPr>
          <w:rFonts w:ascii="Arial" w:hAnsi="Arial"/>
          <w:b w:val="0"/>
          <w:i w:val="0"/>
          <w:sz w:val="19"/>
        </w:rPr>
        <w:t xml:space="preserve"> der Compute-Finanzierungs­schicht gegenüber der Staats­finanzierung, in der die im Papier dokumentierten Einzelvorgänge (</w:t>
      </w:r>
      <w:r>
        <w:rPr>
          <w:rFonts w:ascii="Arial" w:hAnsi="Arial"/>
          <w:b w:val="0"/>
          <w:i/>
          <w:sz w:val="19"/>
        </w:rPr>
        <w:t>Broadcom</w:t>
      </w:r>
      <w:r>
        <w:rPr>
          <w:rFonts w:ascii="Arial" w:hAnsi="Arial"/>
          <w:b w:val="0"/>
          <w:i w:val="0"/>
          <w:sz w:val="19"/>
        </w:rPr>
        <w:t xml:space="preserve">-Debt, </w:t>
      </w:r>
      <w:r>
        <w:rPr>
          <w:rFonts w:ascii="Arial" w:hAnsi="Arial"/>
          <w:b w:val="0"/>
          <w:i/>
          <w:sz w:val="19"/>
        </w:rPr>
        <w:t>Anthropic</w:t>
      </w:r>
      <w:r>
        <w:rPr>
          <w:rFonts w:ascii="Arial" w:hAnsi="Arial"/>
          <w:b w:val="0"/>
          <w:i w:val="0"/>
          <w:sz w:val="19"/>
        </w:rPr>
        <w:t xml:space="preserve">-SPV, </w:t>
      </w:r>
      <w:r>
        <w:rPr>
          <w:rFonts w:ascii="Arial" w:hAnsi="Arial"/>
          <w:b w:val="0"/>
          <w:i/>
          <w:sz w:val="19"/>
        </w:rPr>
        <w:t>Nvidia</w:t>
      </w:r>
      <w:r>
        <w:rPr>
          <w:rFonts w:ascii="Arial" w:hAnsi="Arial"/>
          <w:b w:val="0"/>
          <w:i w:val="0"/>
          <w:sz w:val="19"/>
        </w:rPr>
        <w:t>-</w:t>
      </w:r>
      <w:r>
        <w:rPr>
          <w:rFonts w:ascii="Arial" w:hAnsi="Arial"/>
          <w:b w:val="0"/>
          <w:i/>
          <w:sz w:val="19"/>
        </w:rPr>
        <w:t>Lancium</w:t>
      </w:r>
      <w:r>
        <w:rPr>
          <w:rFonts w:ascii="Arial" w:hAnsi="Arial"/>
          <w:b w:val="0"/>
          <w:i w:val="0"/>
          <w:sz w:val="19"/>
        </w:rPr>
        <w:t>-Beteiligung, Custom-Silicon-Kaskade) nicht mehr als isolierte Kapital­markt­episoden, sondern als aggregierte Ökosystem-Emission mit direkter Rückwirkung auf US-Zinskurve und Geldpolitik erscheinen. Für die Deutschland-These (§ 8.3) verdichtet dies drei Beobachtungen: Erstens gewinnt die Wertschöpfungs- statt Bestands­orientierung der Zugriffslogik weiter an Robustheit, weil das KI-Renten-Volumen nun sichtbar Fiskal- und Geldpolitik in der Frontier-Ökonomie berührt und damit den Adressierungs­gegenstand einer inländischen Umverteilung selbst instabiler macht. Zweitens fügt die Kopplung zwischen KI-Capex-Bondmarkt und Zinskurve der in § 8.4 skizzierten Systemstabilitäts-Dimension eine unmittelbare Kanalisierung hinzu: KI-getriebene Verschiebungen wirken nicht nur langfristig auf Arbeits- und Sozialversicherungs­systeme, sondern kurzfristig auf die Refinanzierungs­kosten von Staaten. Drittens ergänzt der Vorgang die in § 4.5 verortete Sanders-</w:t>
      </w:r>
      <w:r>
        <w:rPr>
          <w:rFonts w:ascii="Arial" w:hAnsi="Arial"/>
          <w:b w:val="0"/>
          <w:i/>
          <w:sz w:val="19"/>
        </w:rPr>
        <w:t>American A.I. Sovereign Wealth Fund Act</w:t>
      </w:r>
      <w:r>
        <w:rPr>
          <w:rFonts w:ascii="Arial" w:hAnsi="Arial"/>
          <w:b w:val="0"/>
          <w:i w:val="0"/>
          <w:sz w:val="19"/>
        </w:rPr>
        <w:t>-Debatte um eine bislang unter­gewichtete Volatilitäts­quelle: Eine bestands­orientierte Zugriffslogik trifft in einem Umfeld, in dem die Marktkapitalisierungen der adressierten Anbieter selbst zunehmend an einer fremdfinanzierten Compute-Schicht hängen, auf eine strukturell fragilere Bemessungs­grundlage — mit unmittelbarer Rückwirkung auf die stabileren wertschöpfungs­bezogenen Zugriffe (§ 8.3) und auf die in § 4.2 dokumentierte deutsche Rechtslage-Kette, deren fehlende fiskalische Adressierung der KI-Verdrängung (Antwort der Bundesregierung, Drucksache 21/7620) sich nun auch in einer fehlenden makro­finanziellen Adressierung der KI-Capex-Ökonomie fortsetzt.</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jc w:val="both"/>
      </w:pPr>
      <w:r>
        <w:rPr>
          <w:rFonts w:ascii="Arial" w:hAnsi="Arial"/>
          <w:b/>
          <w:i w:val="0"/>
          <w:sz w:val="19"/>
        </w:rPr>
        <w:t>EU-*AI-Gigafactories*-Ausschreibung und Rencontre-Rede von der Leyens (30. Juli / 27. August 2026):</w:t>
      </w:r>
      <w:r>
        <w:rPr>
          <w:rFonts w:ascii="Arial" w:hAnsi="Arial"/>
          <w:b w:val="0"/>
          <w:i w:val="0"/>
          <w:sz w:val="19"/>
        </w:rPr>
        <w:t xml:space="preserve"> Am 30. Juli 2026 hat das </w:t>
      </w:r>
      <w:r>
        <w:rPr>
          <w:rFonts w:ascii="Arial" w:hAnsi="Arial"/>
          <w:b w:val="0"/>
          <w:i/>
          <w:sz w:val="19"/>
        </w:rPr>
        <w:t>EuroHPC Joint Undertaking</w:t>
      </w:r>
      <w:r>
        <w:rPr>
          <w:rFonts w:ascii="Arial" w:hAnsi="Arial"/>
          <w:b w:val="0"/>
          <w:i w:val="0"/>
          <w:sz w:val="19"/>
        </w:rPr>
        <w:t xml:space="preserve"> nach der Pressemitteilung der Europäischen Kommission („EU launches AI Gigafactories call to boost Europe's computing capacity and unlock more than €30 billion in investment", IP/26/1708) und flankierender Berichterstattung von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IBTimes UK</w:t>
      </w:r>
      <w:r>
        <w:rPr>
          <w:rFonts w:ascii="Arial" w:hAnsi="Arial"/>
          <w:b w:val="0"/>
          <w:i w:val="0"/>
          <w:sz w:val="19"/>
        </w:rPr>
        <w:t xml:space="preserve"> eine offene Ausschreibung für bis zu sieben </w:t>
      </w:r>
      <w:r>
        <w:rPr>
          <w:rFonts w:ascii="Arial" w:hAnsi="Arial"/>
          <w:b w:val="0"/>
          <w:i/>
          <w:sz w:val="19"/>
        </w:rPr>
        <w:t>AI Gigafactories</w:t>
      </w:r>
      <w:r>
        <w:rPr>
          <w:rFonts w:ascii="Arial" w:hAnsi="Arial"/>
          <w:b w:val="0"/>
          <w:i w:val="0"/>
          <w:sz w:val="19"/>
        </w:rPr>
        <w:t xml:space="preserve"> in der Europäischen Union eröffnet: bis zu 10 Milliarden Euro öffentliche Kofinanzierung aus dem EU-Haushalt und den Mitgliedstaaten sollen mit mindestens 20 Milliarden Euro erwartetem Privatkapital verbunden werden; jede Gigafactory kombiniert KI-Prozessoren, Software-Stack, Cloud-Technologie, Hochgeschwindigkeits­konnektivität und Rechenzentrums­infrastruktur. Angebotsfrist ist der 12. November 2026, Vergabeentscheidungen werden für Anfang 2027 erwartet. Am 27. August 2026 hat </w:t>
      </w:r>
      <w:r>
        <w:rPr>
          <w:rFonts w:ascii="Arial" w:hAnsi="Arial"/>
          <w:b w:val="0"/>
          <w:i/>
          <w:sz w:val="19"/>
        </w:rPr>
        <w:t>Ursula von der Leyen</w:t>
      </w:r>
      <w:r>
        <w:rPr>
          <w:rFonts w:ascii="Arial" w:hAnsi="Arial"/>
          <w:b w:val="0"/>
          <w:i w:val="0"/>
          <w:sz w:val="19"/>
        </w:rPr>
        <w:t xml:space="preserve"> nach Berichterstattung von </w:t>
      </w:r>
      <w:r>
        <w:rPr>
          <w:rFonts w:ascii="Arial" w:hAnsi="Arial"/>
          <w:b w:val="0"/>
          <w:i/>
          <w:sz w:val="19"/>
        </w:rPr>
        <w:t>Eunews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auf der </w:t>
      </w:r>
      <w:r>
        <w:rPr>
          <w:rFonts w:ascii="Arial" w:hAnsi="Arial"/>
          <w:b w:val="0"/>
          <w:i/>
          <w:sz w:val="19"/>
        </w:rPr>
        <w:t>Rencontre des Entrepreneurs de France</w:t>
      </w:r>
      <w:r>
        <w:rPr>
          <w:rFonts w:ascii="Arial" w:hAnsi="Arial"/>
          <w:b w:val="0"/>
          <w:i w:val="0"/>
          <w:sz w:val="19"/>
        </w:rPr>
        <w:t xml:space="preserve"> in Paris die begleitende Doppel-Formel ausgegeben,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Für die im Absatz oben formulierte Veredelungsstrategie ergibt sich damit ein präzisierter EU-institutioneller Rahmen. Erstens bindet die Ausschreibung das an einen Standort-Bezug: Der Aufbau der Gigafactories erfolgt im </w:t>
      </w:r>
      <w:r>
        <w:rPr>
          <w:rFonts w:ascii="Arial" w:hAnsi="Arial"/>
          <w:b w:val="0"/>
          <w:i/>
          <w:sz w:val="19"/>
        </w:rPr>
        <w:t>EuroHPC</w:t>
      </w:r>
      <w:r>
        <w:rPr>
          <w:rFonts w:ascii="Arial" w:hAnsi="Arial"/>
          <w:b w:val="0"/>
          <w:i w:val="0"/>
          <w:sz w:val="19"/>
        </w:rPr>
        <w:t xml:space="preserve">-Verbund, damit prinzipiell zugänglich für inländische wie europäische Verarbeitungs­ökosysteme (Konjunktivpflicht nach § 4.2 Claude.md, da die Standort- und Konsortial­entscheidungen erst mit den Vergaben im ersten Quartal 2027 vorliegen). Zweitens rückt der Vorgang die im Papier bereits markierte </w:t>
      </w:r>
      <w:r>
        <w:rPr>
          <w:rFonts w:ascii="Arial" w:hAnsi="Arial"/>
          <w:b w:val="0"/>
          <w:i/>
          <w:sz w:val="19"/>
        </w:rPr>
        <w:t>Compute-Kapazitäts</w:t>
      </w:r>
      <w:r>
        <w:rPr>
          <w:rFonts w:ascii="Arial" w:hAnsi="Arial"/>
          <w:b w:val="0"/>
          <w:i w:val="0"/>
          <w:sz w:val="19"/>
        </w:rPr>
        <w:t xml:space="preserve">-Lücke Deutschlands und der EU (§ 8.2) auf eine legislative Zeitleiste, die vor der abschließenden Wahl der drei Säulen der Deutschland-These (Veredelungsstrategie, Wertschöpfungsabgabe, Teilhabefonds) genutzt werden kann, um inländische Anschluss­stellen für die </w:t>
      </w:r>
      <w:r>
        <w:rPr>
          <w:rFonts w:ascii="Arial" w:hAnsi="Arial"/>
          <w:b w:val="0"/>
          <w:i/>
          <w:sz w:val="19"/>
        </w:rPr>
        <w:t>Anwendungs</w:t>
      </w:r>
      <w:r>
        <w:rPr>
          <w:rFonts w:ascii="Arial" w:hAnsi="Arial"/>
          <w:b w:val="0"/>
          <w:i w:val="0"/>
          <w:sz w:val="19"/>
        </w:rPr>
        <w:t>-Ebene (§ 8.3) mit gesichertem Compute-Zugriff zu verankern. Drittens ergänzt die Doppel-Formel „produzieren, investieren, schützen" die im Papier dokumentierte Regulierungs-Perspektive des EU-</w:t>
      </w:r>
      <w:r>
        <w:rPr>
          <w:rFonts w:ascii="Arial" w:hAnsi="Arial"/>
          <w:b w:val="0"/>
          <w:i/>
          <w:sz w:val="19"/>
        </w:rPr>
        <w:t>AI Acts</w:t>
      </w:r>
      <w:r>
        <w:rPr>
          <w:rFonts w:ascii="Arial" w:hAnsi="Arial"/>
          <w:b w:val="0"/>
          <w:i w:val="0"/>
          <w:sz w:val="19"/>
        </w:rPr>
        <w:t xml:space="preserve"> um eine industriepolitische </w:t>
      </w:r>
      <w:r>
        <w:rPr>
          <w:rFonts w:ascii="Arial" w:hAnsi="Arial"/>
          <w:b w:val="0"/>
          <w:i/>
          <w:sz w:val="19"/>
        </w:rPr>
        <w:t>Wertschöpfungs</w:t>
      </w:r>
      <w:r>
        <w:rPr>
          <w:rFonts w:ascii="Arial" w:hAnsi="Arial"/>
          <w:b w:val="0"/>
          <w:i w:val="0"/>
          <w:sz w:val="19"/>
        </w:rPr>
        <w:t>-Dimension, die die im Papier vorgeschlagene Zugriffsarchitektur (wertschöpfungs­bezogen statt bestands­orientiert) an eine EU-institutionelle Investitionslogik anschließbar macht — ohne die in § 4.2 dokumentierte deutsche Rechtslage-Kette (fehlende fiskalische Adressierung der KI-Verdrängung, Drucksache 21/7620) zu ersetzen.</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jc w:val="both"/>
      </w:pPr>
      <w:r>
        <w:rPr>
          <w:rFonts w:ascii="Arial" w:hAnsi="Arial"/>
          <w:b w:val="0"/>
          <w:i w:val="0"/>
          <w:sz w:val="19"/>
        </w:rPr>
        <w:t xml:space="preserve">Ruffert, A. (12. August 2026). </w:t>
      </w:r>
      <w:r>
        <w:rPr>
          <w:rFonts w:ascii="Arial" w:hAnsi="Arial"/>
          <w:b w:val="0"/>
          <w:i/>
          <w:sz w:val="19"/>
        </w:rPr>
        <w:t>Unternehmen erwarten eher sinkende Löhne durch Einsatz von Künstlicher Intelligenz.</w:t>
      </w:r>
      <w:r>
        <w:rPr>
          <w:rFonts w:ascii="Arial" w:hAnsi="Arial"/>
          <w:b w:val="0"/>
          <w:i w:val="0"/>
          <w:sz w:val="19"/>
        </w:rPr>
        <w:t xml:space="preserve"> ifo Konjunkturperspektiven 07/2026, ifo Institut, München. Auswertung der </w:t>
      </w:r>
      <w:r>
        <w:rPr>
          <w:rFonts w:ascii="Arial" w:hAnsi="Arial"/>
          <w:b w:val="0"/>
          <w:i/>
          <w:sz w:val="19"/>
        </w:rPr>
        <w:t>ifo</w:t>
      </w:r>
      <w:r>
        <w:rPr>
          <w:rFonts w:ascii="Arial" w:hAnsi="Arial"/>
          <w:b w:val="0"/>
          <w:i w:val="0"/>
          <w:sz w:val="19"/>
        </w:rPr>
        <w:t>-Konjunkturumfrage vom Juni 2026 mit rund 3.000 KI-nutzenden deutschen Unternehmen: rund 50 % erwarten für Berufseinsteigerinnen und -einsteiger und rund 40 % auch für erfahrene Beschäftigte sinkende Löhne über einen Fünfjahres­horizont; im Detail 48,3 % (nicht-akademisch) beziehungsweise 50,8 % (akademisch) Lohnkompression für Junior-Beschäftigte mit weniger als fünf Jahren Berufserfahrung; nur 5,9 % (nicht-akademisch) beziehungsweise 16,3 % (akademisch) Lohn­zuwachs für dieselbe Gruppe; 26 % Lohn­zuwachs für Beschäftigte mit Hochschulabschluss und längerer Berufserfahrung; sektorale Spreizung Dienstleistungen 53,3 % / 44,2 % (Junior / Senior nicht-akademisch), Handel 47,9 % / 41,3 %, verarbeitendes Gewerbe 46,5 % / 38,9 %, Bauwesen 39 % / 31,3 %. https://www.ifo.de/fakten/2026-08-12/unternehmen-erwarten-eher-sinkende-loehne-durch-einsatz-von-kuenstlicher</w:t>
      </w:r>
    </w:p>
    <w:p>
      <w:pPr>
        <w:jc w:val="both"/>
      </w:pPr>
      <w:r>
        <w:rPr>
          <w:rFonts w:ascii="Arial" w:hAnsi="Arial"/>
          <w:b w:val="0"/>
          <w:i w:val="0"/>
          <w:sz w:val="19"/>
        </w:rPr>
        <w:t xml:space="preserve">Ding, Y., Ma, M. (S.), Wu, J., &amp; Yang, Y. (26. April 2026). </w:t>
      </w:r>
      <w:r>
        <w:rPr>
          <w:rFonts w:ascii="Arial" w:hAnsi="Arial"/>
          <w:b w:val="0"/>
          <w:i/>
          <w:sz w:val="19"/>
        </w:rPr>
        <w:t>Tracking Artificial Intelligence Sentiment in the U.S. Labor Market.</w:t>
      </w:r>
      <w:r>
        <w:rPr>
          <w:rFonts w:ascii="Arial" w:hAnsi="Arial"/>
          <w:b w:val="0"/>
          <w:i w:val="0"/>
          <w:sz w:val="19"/>
        </w:rPr>
        <w:t xml:space="preserve"> SSRN Working Paper 6652799, Katz Graduate School of Business, University of Pittsburgh. Multi-Datenquellen-Studie (Glassdoor-Employee-Reviews, Earnings-Call-Disclosures, LinkedIn-Karriereprofile, firm-level Job-Postings) über rund 3.200 US-Firmen zwischen 2021 und 2025 mit sechs Analysedimensionen (AI-Talent-Share, Hiring, Retention, Salary Premium, Employee- und Executive-Sentiment): Employee-KI-Sentiment signifikant negativer als generelles Employee-Sentiment; starke positive Assoziation zwischen Employee-KI-Sentiment und firm-produktivität; Management-KI-Sentiment systematisch optimistischer, erklärt Produktivitätsvariation nicht; KI-attribuierte Layoffs beschädigen Employee-KI-Sentiment nachhaltig; Firmen mit höherem AI-Talent-Share weisen höhere Gesamt-Fluktuation, niedrigere Einstellungs­raten und langsameres Beschäftigungs­wachstum auf; signifikanter und zunehmender Wage-Premium sowie stärkere Aufwärtsmobilität für AI-skilled Employees. https://dx.doi.org/10.2139/ssrn.6652799</w:t>
      </w:r>
    </w:p>
    <w:p>
      <w:pPr>
        <w:jc w:val="both"/>
      </w:pPr>
      <w:r>
        <w:rPr>
          <w:rFonts w:ascii="Arial" w:hAnsi="Arial"/>
          <w:b w:val="0"/>
          <w:i w:val="0"/>
          <w:sz w:val="19"/>
        </w:rPr>
        <w:t xml:space="preserve">Goldman Sachs / Briggs, J., Hatzius, J. et al. (19. August 2026). </w:t>
      </w:r>
      <w:r>
        <w:rPr>
          <w:rFonts w:ascii="Arial" w:hAnsi="Arial"/>
          <w:b w:val="0"/>
          <w:i/>
          <w:sz w:val="19"/>
        </w:rPr>
        <w:t>Global Economics Comment: Is AI Impacting Global Labor Markets?</w:t>
      </w:r>
      <w:r>
        <w:rPr>
          <w:rFonts w:ascii="Arial" w:hAnsi="Arial"/>
          <w:b w:val="0"/>
          <w:i w:val="0"/>
          <w:sz w:val="19"/>
        </w:rPr>
        <w:t xml:space="preserve"> Goldman Sachs Global Investment Research, Global Economics Comment. Sell-Side-Auswertung von mehr als 800 Berufen in mehreren Industrieländern (Frankreich, Kanada, Vereinigte Staaten, Australien, Deutschland u. a.) auf Basis von </w:t>
      </w:r>
      <w:r>
        <w:rPr>
          <w:rFonts w:ascii="Arial" w:hAnsi="Arial"/>
          <w:b w:val="0"/>
          <w:i/>
          <w:sz w:val="19"/>
        </w:rPr>
        <w:t>ONET-</w:t>
      </w:r>
      <w:r>
        <w:rPr>
          <w:rFonts w:ascii="Arial" w:hAnsi="Arial"/>
          <w:b w:val="0"/>
          <w:i w:val="0"/>
          <w:sz w:val="19"/>
        </w:rPr>
        <w:t xml:space="preserve">/BLS-Expositions­metriken und laufenden Stellen­wachstums­daten seit dem zweiten Halbjahr 2022; Kernbefunde: Ein Anstieg der berufs­spezifischen KI-Exposition um 10 Prozentpunkte reduziert das jährliche Beschäftigungs­wachstum im breiten Arbeitsmarkt um rund 0,1 Prozentpunkte, für Berufseinsteigerinnen und -einsteiger jedoch um mehr als das Dreifache (Australien über 0,6 Prozentpunkte, Vereinigte Staaten über 0,2 Prozentpunkte); sektorspezifische Beschäftigungslücken zum historischen Trend im Call-Center-Segment rund 39 % (USA), 33 % (Kanada), 27 % (Deutschland); weitere Untertrend-Ausschläge in </w:t>
      </w:r>
      <w:r>
        <w:rPr>
          <w:rFonts w:ascii="Arial" w:hAnsi="Arial"/>
          <w:b w:val="0"/>
          <w:i/>
          <w:sz w:val="19"/>
        </w:rPr>
        <w:t>Software Publishing</w:t>
      </w:r>
      <w:r>
        <w:rPr>
          <w:rFonts w:ascii="Arial" w:hAnsi="Arial"/>
          <w:b w:val="0"/>
          <w:i w:val="0"/>
          <w:sz w:val="19"/>
        </w:rPr>
        <w:t xml:space="preserve">, </w:t>
      </w:r>
      <w:r>
        <w:rPr>
          <w:rFonts w:ascii="Arial" w:hAnsi="Arial"/>
          <w:b w:val="0"/>
          <w:i/>
          <w:sz w:val="19"/>
        </w:rPr>
        <w:t>Management Consulting</w:t>
      </w:r>
      <w:r>
        <w:rPr>
          <w:rFonts w:ascii="Arial" w:hAnsi="Arial"/>
          <w:b w:val="0"/>
          <w:i w:val="0"/>
          <w:sz w:val="19"/>
        </w:rPr>
        <w:t xml:space="preserve"> und </w:t>
      </w:r>
      <w:r>
        <w:rPr>
          <w:rFonts w:ascii="Arial" w:hAnsi="Arial"/>
          <w:b w:val="0"/>
          <w:i/>
          <w:sz w:val="19"/>
        </w:rPr>
        <w:t>Advertising Services</w:t>
      </w:r>
      <w:r>
        <w:rPr>
          <w:rFonts w:ascii="Arial" w:hAnsi="Arial"/>
          <w:b w:val="0"/>
          <w:i w:val="0"/>
          <w:sz w:val="19"/>
        </w:rPr>
        <w:t xml:space="preserve">; Goldman ordnet den Aggregat-Effekt weiterhin als „limited to a narrow set of industries and workers" ein. Rezeption u. a. durch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(Bashir), </w:t>
      </w:r>
      <w:r>
        <w:rPr>
          <w:rFonts w:ascii="Arial" w:hAnsi="Arial"/>
          <w:b w:val="0"/>
          <w:i/>
          <w:sz w:val="19"/>
        </w:rPr>
        <w:t>PYMNTS</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(19./20. August 2026). https://www.cnbc.com/2026/08/19/goldman-ai-impact-employment-jobs.html | https://finance.yahoo.com/technology/ai/articles/goldman-sachs-report-shows-entry-090559386.html | https://www.pymnts.com/economy/2026/goldman-finds-entry-level-workers-more-vulnerable-to-ai-displacement/ | https://www.ibtimes.co.uk/ai-impact-entry-level-jobs-global-perspective-1815180</w:t>
      </w:r>
    </w:p>
    <w:p>
      <w:pPr>
        <w:jc w:val="both"/>
      </w:pPr>
      <w:r>
        <w:rPr>
          <w:rFonts w:ascii="Arial" w:hAnsi="Arial"/>
          <w:b w:val="0"/>
          <w:i w:val="0"/>
          <w:sz w:val="19"/>
        </w:rPr>
        <w:t xml:space="preserve">Bank of Korea / Oh, S. (18. August 2026). </w:t>
      </w:r>
      <w:r>
        <w:rPr>
          <w:rFonts w:ascii="Arial" w:hAnsi="Arial"/>
          <w:b w:val="0"/>
          <w:i/>
          <w:sz w:val="19"/>
        </w:rPr>
        <w:t>AI-exposed sectors see sharp drop in youth employment: BOK report.</w:t>
      </w:r>
      <w:r>
        <w:rPr>
          <w:rFonts w:ascii="Arial" w:hAnsi="Arial"/>
          <w:b w:val="0"/>
          <w:i w:val="0"/>
          <w:sz w:val="19"/>
        </w:rPr>
        <w:t xml:space="preserve"> Bank of Korea Research Department. Kohortenanalyse der Beschäftigungsentwicklung der 15- bis 29-Jährigen zwischen Juni 2022 (ChatGPT-Startpunkt als Baseline) und Juni 2026: rund 285.000 Netto-Arbeitsplatzverluste in dieser Kohorte, davon rund 268.000 (etwa 94 %) in KI-exponierten Sektoren; im selben Zeitraum Netto-Zugewinn von rund 230.000 Arbeitsplätzen bei Beschäftigten über 50 Jahren, davon rund 173.000 in KI-nahen Branchen. Sektorspezifische Jugend­beschäftigungsrückgänge: </w:t>
      </w:r>
      <w:r>
        <w:rPr>
          <w:rFonts w:ascii="Arial" w:hAnsi="Arial"/>
          <w:b w:val="0"/>
          <w:i/>
          <w:sz w:val="19"/>
        </w:rPr>
        <w:t>Informations­dienstleistungen</w:t>
      </w:r>
      <w:r>
        <w:rPr>
          <w:rFonts w:ascii="Arial" w:hAnsi="Arial"/>
          <w:b w:val="0"/>
          <w:i w:val="0"/>
          <w:sz w:val="19"/>
        </w:rPr>
        <w:t xml:space="preserve"> rund 31,4 %, </w:t>
      </w:r>
      <w:r>
        <w:rPr>
          <w:rFonts w:ascii="Arial" w:hAnsi="Arial"/>
          <w:b w:val="0"/>
          <w:i/>
          <w:sz w:val="19"/>
        </w:rPr>
        <w:t>Verlagswesen</w:t>
      </w:r>
      <w:r>
        <w:rPr>
          <w:rFonts w:ascii="Arial" w:hAnsi="Arial"/>
          <w:b w:val="0"/>
          <w:i w:val="0"/>
          <w:sz w:val="19"/>
        </w:rPr>
        <w:t xml:space="preserve"> rund 27,4 %, </w:t>
      </w:r>
      <w:r>
        <w:rPr>
          <w:rFonts w:ascii="Arial" w:hAnsi="Arial"/>
          <w:b w:val="0"/>
          <w:i/>
          <w:sz w:val="19"/>
        </w:rPr>
        <w:t>Computer­programmierung</w:t>
      </w:r>
      <w:r>
        <w:rPr>
          <w:rFonts w:ascii="Arial" w:hAnsi="Arial"/>
          <w:b w:val="0"/>
          <w:i w:val="0"/>
          <w:sz w:val="19"/>
        </w:rPr>
        <w:t xml:space="preserve"> rund 16,6 %, </w:t>
      </w:r>
      <w:r>
        <w:rPr>
          <w:rFonts w:ascii="Arial" w:hAnsi="Arial"/>
          <w:b w:val="0"/>
          <w:i/>
          <w:sz w:val="19"/>
        </w:rPr>
        <w:t>professionelle Dienstleistungen</w:t>
      </w:r>
      <w:r>
        <w:rPr>
          <w:rFonts w:ascii="Arial" w:hAnsi="Arial"/>
          <w:b w:val="0"/>
          <w:i w:val="0"/>
          <w:sz w:val="19"/>
        </w:rPr>
        <w:t xml:space="preserve"> rund 11,6 %. Zusätzliche Beobachtung zur Arbeitslosen­quote nach Bildungsniveau: Hochschulabsolventinnen und -absolventen von 8,2 % (2019–2022) auf 7,0 %, mittlere Abschlüsse von 8,0 % auf 5,4 % (Ausweitung der Bildungsprämien-Differenz um rund 1,6 Prozentpunkte). Publikation durch </w:t>
      </w:r>
      <w:r>
        <w:rPr>
          <w:rFonts w:ascii="Arial" w:hAnsi="Arial"/>
          <w:b w:val="0"/>
          <w:i/>
          <w:sz w:val="19"/>
        </w:rPr>
        <w:t>The Korea Times</w:t>
      </w:r>
      <w:r>
        <w:rPr>
          <w:rFonts w:ascii="Arial" w:hAnsi="Arial"/>
          <w:b w:val="0"/>
          <w:i w:val="0"/>
          <w:sz w:val="19"/>
        </w:rPr>
        <w:t xml:space="preserve">, IANS, Xinhua, </w:t>
      </w:r>
      <w:r>
        <w:rPr>
          <w:rFonts w:ascii="Arial" w:hAnsi="Arial"/>
          <w:b w:val="0"/>
          <w:i/>
          <w:sz w:val="19"/>
        </w:rPr>
        <w:t>TechTimes</w:t>
      </w:r>
      <w:r>
        <w:rPr>
          <w:rFonts w:ascii="Arial" w:hAnsi="Arial"/>
          <w:b w:val="0"/>
          <w:i w:val="0"/>
          <w:sz w:val="19"/>
        </w:rPr>
        <w:t xml:space="preserve"> (18. August 2026). Aufnahme in § 3.5 und § 6.1 als südkoreanischer Referenzpunkt zur Kohorten-Dimension der KI-Wirkung; Rückwirkung auf § 8.3 (Teilhabefrage) und § 8.4 (Systemstabilität). https://www.koreatimes.co.kr/southkorea/society/20260818/ai-exposed-sectors-see-sharp-drop-in-youth-employment-bok-report | https://english.news.cn/20260818/330e2bfb97824b4fbeb026e89e4ab02f/c.html | https://ianslive.in/ai-exposed-sectors-see-sharp-drop-in-youth-employment-bok--20260818090001</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Gates, B. (26. August 2026). </w:t>
      </w:r>
      <w:r>
        <w:rPr>
          <w:rFonts w:ascii="Arial" w:hAnsi="Arial"/>
          <w:b w:val="0"/>
          <w:i/>
          <w:sz w:val="19"/>
        </w:rPr>
        <w:t>Make AI Work for Everyone: A Turbulent AI Era and Critical Choices to Make.</w:t>
      </w:r>
      <w:r>
        <w:rPr>
          <w:rFonts w:ascii="Arial" w:hAnsi="Arial"/>
          <w:b w:val="0"/>
          <w:i w:val="0"/>
          <w:sz w:val="19"/>
        </w:rPr>
        <w:t xml:space="preserve"> GatesNotes-Aufsatz (rund 6.000 Wörter). Drei Politikvorschläge: (i) Aufbau neuer nationaler und internationaler Institutionen zur Steuerung des KI-Übergangs, (ii) Prinzip </w:t>
      </w:r>
      <w:r>
        <w:rPr>
          <w:rFonts w:ascii="Arial" w:hAnsi="Arial"/>
          <w:b w:val="0"/>
          <w:i/>
          <w:sz w:val="19"/>
        </w:rPr>
        <w:t>„Human Reserved"</w:t>
      </w:r>
      <w:r>
        <w:rPr>
          <w:rFonts w:ascii="Arial" w:hAnsi="Arial"/>
          <w:b w:val="0"/>
          <w:i w:val="0"/>
          <w:sz w:val="19"/>
        </w:rPr>
        <w:t xml:space="preserve"> (Zielanteil bis 40 % der Arbeit für Menschen, Instrumente verkürzte Arbeitszeit und früherer Renteneintritt; Beispielfelder Kinderbetreuung, Schöffendienst, teilweise Bildung und Gesundheit), (iii) Umkehr der steuerlichen Anreize durch eine Abgabe auf Roboter und KI-Token (Aufkommen in Umschulung und soziale Sicherung). Rezeption durch </w:t>
      </w:r>
      <w:r>
        <w:rPr>
          <w:rFonts w:ascii="Arial" w:hAnsi="Arial"/>
          <w:b w:val="0"/>
          <w:i/>
          <w:sz w:val="19"/>
        </w:rPr>
        <w:t>Bloomberg</w:t>
      </w:r>
      <w:r>
        <w:rPr>
          <w:rFonts w:ascii="Arial" w:hAnsi="Arial"/>
          <w:b w:val="0"/>
          <w:i w:val="0"/>
          <w:sz w:val="19"/>
        </w:rPr>
        <w:t xml:space="preserve"> („Five Takeaways From Bill Gates' Essay on AI's Potential Risks", 26. August 2026), </w:t>
      </w:r>
      <w:r>
        <w:rPr>
          <w:rFonts w:ascii="Arial" w:hAnsi="Arial"/>
          <w:b w:val="0"/>
          <w:i/>
          <w:sz w:val="19"/>
        </w:rPr>
        <w:t>CNBC</w:t>
      </w:r>
      <w:r>
        <w:rPr>
          <w:rFonts w:ascii="Arial" w:hAnsi="Arial"/>
          <w:b w:val="0"/>
          <w:i w:val="0"/>
          <w:sz w:val="19"/>
        </w:rPr>
        <w:t xml:space="preserve"> („Why we need 'Human Reserved' jobs: Bill Gates' AI memo" / „Bill Gates warns 'there is no plan' for the 'upheaval' AI will cause", 26. August 2026), </w:t>
      </w:r>
      <w:r>
        <w:rPr>
          <w:rFonts w:ascii="Arial" w:hAnsi="Arial"/>
          <w:b w:val="0"/>
          <w:i/>
          <w:sz w:val="19"/>
        </w:rPr>
        <w:t>Axios</w:t>
      </w:r>
      <w:r>
        <w:rPr>
          <w:rFonts w:ascii="Arial" w:hAnsi="Arial"/>
          <w:b w:val="0"/>
          <w:i w:val="0"/>
          <w:sz w:val="19"/>
        </w:rPr>
        <w:t xml:space="preserve"> („Bill Gates sounds the alarm on an AI transition" / „Bill Gates wants to keep some jobs off-limits to AI", 26. August 2026), </w:t>
      </w:r>
      <w:r>
        <w:rPr>
          <w:rFonts w:ascii="Arial" w:hAnsi="Arial"/>
          <w:b w:val="0"/>
          <w:i/>
          <w:sz w:val="19"/>
        </w:rPr>
        <w:t>TechCrunch</w:t>
      </w:r>
      <w:r>
        <w:rPr>
          <w:rFonts w:ascii="Arial" w:hAnsi="Arial"/>
          <w:b w:val="0"/>
          <w:i w:val="0"/>
          <w:sz w:val="19"/>
        </w:rPr>
        <w:t xml:space="preserve"> („Bill Gates wants to see a robot tax and 'Human Reserved' jobs to mitigate harms from AI", 26. August 2026), </w:t>
      </w:r>
      <w:r>
        <w:rPr>
          <w:rFonts w:ascii="Arial" w:hAnsi="Arial"/>
          <w:b w:val="0"/>
          <w:i/>
          <w:sz w:val="19"/>
        </w:rPr>
        <w:t>Fortune</w:t>
      </w:r>
      <w:r>
        <w:rPr>
          <w:rFonts w:ascii="Arial" w:hAnsi="Arial"/>
          <w:b w:val="0"/>
          <w:i w:val="0"/>
          <w:sz w:val="19"/>
        </w:rPr>
        <w:t xml:space="preserve"> („Bill Gates wants to tax robots and AI tokens to deter businesses from replacing humans" / „Bill Gates fears world leaders are unprepared for 3 major AI risks", 26. August 2026), </w:t>
      </w:r>
      <w:r>
        <w:rPr>
          <w:rFonts w:ascii="Arial" w:hAnsi="Arial"/>
          <w:b w:val="0"/>
          <w:i/>
          <w:sz w:val="19"/>
        </w:rPr>
        <w:t>GeekWire</w:t>
      </w:r>
      <w:r>
        <w:rPr>
          <w:rFonts w:ascii="Arial" w:hAnsi="Arial"/>
          <w:b w:val="0"/>
          <w:i w:val="0"/>
          <w:sz w:val="19"/>
        </w:rPr>
        <w:t xml:space="preserve"> („'I am very concerned': Bill Gates says the world needs a plan to deal with AI, and he has three ideas to start", 26. August 2026), </w:t>
      </w:r>
      <w:r>
        <w:rPr>
          <w:rFonts w:ascii="Arial" w:hAnsi="Arial"/>
          <w:b w:val="0"/>
          <w:i/>
          <w:sz w:val="19"/>
        </w:rPr>
        <w:t>CNN Business</w:t>
      </w:r>
      <w:r>
        <w:rPr>
          <w:rFonts w:ascii="Arial" w:hAnsi="Arial"/>
          <w:b w:val="0"/>
          <w:i w:val="0"/>
          <w:sz w:val="19"/>
        </w:rPr>
        <w:t xml:space="preserve"> („Bill Gates says there needs to be limits on AI", 26. August 2026), </w:t>
      </w:r>
      <w:r>
        <w:rPr>
          <w:rFonts w:ascii="Arial" w:hAnsi="Arial"/>
          <w:b w:val="0"/>
          <w:i/>
          <w:sz w:val="19"/>
        </w:rPr>
        <w:t>Tom's Hardware</w:t>
      </w:r>
      <w:r>
        <w:rPr>
          <w:rFonts w:ascii="Arial" w:hAnsi="Arial"/>
          <w:b w:val="0"/>
          <w:i w:val="0"/>
          <w:sz w:val="19"/>
        </w:rPr>
        <w:t xml:space="preserve"> („Bill Gates calls for some jobs to be 'Human Reserved,' suggests taxing AI tokens and robots", 26. August 2026), </w:t>
      </w:r>
      <w:r>
        <w:rPr>
          <w:rFonts w:ascii="Arial" w:hAnsi="Arial"/>
          <w:b w:val="0"/>
          <w:i/>
          <w:sz w:val="19"/>
        </w:rPr>
        <w:t>Forbes</w:t>
      </w:r>
      <w:r>
        <w:rPr>
          <w:rFonts w:ascii="Arial" w:hAnsi="Arial"/>
          <w:b w:val="0"/>
          <w:i w:val="0"/>
          <w:sz w:val="19"/>
        </w:rPr>
        <w:t xml:space="preserve"> („Bill Gates Says Some Jobs Should Be Off-Limits To AI — Who's Impacted?", 26. August 2026), </w:t>
      </w:r>
      <w:r>
        <w:rPr>
          <w:rFonts w:ascii="Arial" w:hAnsi="Arial"/>
          <w:b w:val="0"/>
          <w:i/>
          <w:sz w:val="19"/>
        </w:rPr>
        <w:t>The Next Web</w:t>
      </w:r>
      <w:r>
        <w:rPr>
          <w:rFonts w:ascii="Arial" w:hAnsi="Arial"/>
          <w:b w:val="0"/>
          <w:i w:val="0"/>
          <w:sz w:val="19"/>
        </w:rPr>
        <w:t xml:space="preserve"> („Bill Gates proposes 'Human Reserved' jobs and a tax on AI"), </w:t>
      </w:r>
      <w:r>
        <w:rPr>
          <w:rFonts w:ascii="Arial" w:hAnsi="Arial"/>
          <w:b w:val="0"/>
          <w:i/>
          <w:sz w:val="19"/>
        </w:rPr>
        <w:t>Quartz</w:t>
      </w:r>
      <w:r>
        <w:rPr>
          <w:rFonts w:ascii="Arial" w:hAnsi="Arial"/>
          <w:b w:val="0"/>
          <w:i w:val="0"/>
          <w:sz w:val="19"/>
        </w:rPr>
        <w:t xml:space="preserve"> („Bill Gates warns the world isn't ready for the AI upheaval", 26. August 2026), </w:t>
      </w:r>
      <w:r>
        <w:rPr>
          <w:rFonts w:ascii="Arial" w:hAnsi="Arial"/>
          <w:b w:val="0"/>
          <w:i/>
          <w:sz w:val="19"/>
        </w:rPr>
        <w:t>Fox Business</w:t>
      </w:r>
      <w:r>
        <w:rPr>
          <w:rFonts w:ascii="Arial" w:hAnsi="Arial"/>
          <w:b w:val="0"/>
          <w:i w:val="0"/>
          <w:sz w:val="19"/>
        </w:rPr>
        <w:t xml:space="preserve"> („Bill Gates calls for human reserved jobs amid AI workforce changes", 26. August 2026), </w:t>
      </w:r>
      <w:r>
        <w:rPr>
          <w:rFonts w:ascii="Arial" w:hAnsi="Arial"/>
          <w:b w:val="0"/>
          <w:i/>
          <w:sz w:val="19"/>
        </w:rPr>
        <w:t>The National</w:t>
      </w:r>
      <w:r>
        <w:rPr>
          <w:rFonts w:ascii="Arial" w:hAnsi="Arial"/>
          <w:b w:val="0"/>
          <w:i w:val="0"/>
          <w:sz w:val="19"/>
        </w:rPr>
        <w:t xml:space="preserve"> („Bill Gates wants jobs reserved for humans amid AI boom", 26. August 2026), </w:t>
      </w:r>
      <w:r>
        <w:rPr>
          <w:rFonts w:ascii="Arial" w:hAnsi="Arial"/>
          <w:b w:val="0"/>
          <w:i/>
          <w:sz w:val="19"/>
        </w:rPr>
        <w:t>BeInCrypto</w:t>
      </w:r>
      <w:r>
        <w:rPr>
          <w:rFonts w:ascii="Arial" w:hAnsi="Arial"/>
          <w:b w:val="0"/>
          <w:i w:val="0"/>
          <w:sz w:val="19"/>
        </w:rPr>
        <w:t xml:space="preserve"> („Bill Gates Wants Up to 40% of Jobs Reserved for Humans, Not AI"), Yahoo Finance („3 key takeaways from Bill Gates' stark warning about AI and jobs"), </w:t>
      </w:r>
      <w:r>
        <w:rPr>
          <w:rFonts w:ascii="Arial" w:hAnsi="Arial"/>
          <w:b w:val="0"/>
          <w:i/>
          <w:sz w:val="19"/>
        </w:rPr>
        <w:t>The Spokesman-Review</w:t>
      </w:r>
      <w:r>
        <w:rPr>
          <w:rFonts w:ascii="Arial" w:hAnsi="Arial"/>
          <w:b w:val="0"/>
          <w:i w:val="0"/>
          <w:sz w:val="19"/>
        </w:rPr>
        <w:t xml:space="preserve"> („Bill Gates warns of job losses, rising harm in plea for AI policies", 26. August 2026). Aufnahme in § 4.5 mit Rückwirkung auf § 2.1 (Typ 5 Ersatzabgabe), § 5.1 (Wertschöpfungsabgabe-Anknüpfung), § 5.3 (Verkürzung der Arbeitszeit als Verteilungsinstrument), § 7 (Human-Reserved-Perimeter in Gesundheit und Bildung), § 8.3 (Teilhabefrage), § 8.4 (Systemstabilität) und § 9.1 (Perimeter-Definition und Kausalattribution). https://www.gatesnotes.com/what-comes-next-with-ai | https://www.bloomberg.com/news/articles/2026-08-26/five-takeaways-from-bill-gates-essay-on-ai-s-potential-risks | https://www.cnbc.com/2026/08/26/why-we-need-human-reserved-jobs-bill-gates-ai-memo.html | https://www.cnbc.com/2026/08/26/bill-gates-ai-jobs-economic-upheaval.html | https://www.axios.com/2026/08/26/bill-gates-sounds-the-alarm-on-an-ai-transition | https://www.axios.com/2026/08/26/bill-gates-wants-to-keep-some-jobs-off-limits-to-ai | https://techcrunch.com/2026/08/26/bill-gates-wants-to-see-a-robot-tax-and-human-reserved-jobs-to-mitigate-harms-from-ai/ | https://fortune.com/2026/08/26/bill-gates-robot-ai-tax-replacehuman-workers/ | https://fortune.com/2026/08/26/bill-gates-ai-warning-risks-benefit-world-leaders/ | https://www.geekwire.com/2026/i-am-very-concerned-bill-gates-says-the-world-needs-a-plan-to-deal-with-ai-and-he-has-three-ideas-to-start/ | https://www.cnn.com/2026/08/26/business/bill-gates-wants-limits-on-ai | https://www.tomshardware.com/tech-industry/artificial-intelligence/bill-gates-calls-for-some-jobs-to-be-human-reserved-suggests-taxing-ai-tokens-and-robots-billionaire-says-that-ai-era-will-be-one-of-the-most-turbulent-times-in-human-history | https://www.forbes.com/sites/rachelwells/2026/08/26/bill-gates-says-some-jobs-should-be-off-limits-to-ai-whos-impacted/ | https://thenextweb.com/news/bill-gates-human-reserved-jobs-ai | https://qz.com/bill-gates-ai-warning-jobs-society-upheaval-082626 | https://www.foxbusiness.com/technology/bill-gates-outlines-stakes-ai-era-greatest-equalizer-worst-source-injustice | https://www.thenationalnews.com/future/technology/2026/08/26/bill-gates-warning-about-ai-jobs/ | https://beincrypto.com/bill-gates-human-reserved-jobs-ai/ | https://finance.yahoo.com/technology/ai/articles/3-key-takeaways-bill-gates-090540503.html | https://www.spokesman.com/stories/2026/aug/26/bill-gates-warns-of-job-losses-rising-harm-in-plea/</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jc w:val="both"/>
      </w:pPr>
      <w:r>
        <w:rPr>
          <w:rFonts w:ascii="Arial" w:hAnsi="Arial"/>
          <w:b w:val="0"/>
          <w:i w:val="0"/>
          <w:sz w:val="19"/>
        </w:rPr>
        <w:t xml:space="preserve">Board of Governors of the Federal Reserve System. (19. August 2026). </w:t>
      </w:r>
      <w:r>
        <w:rPr>
          <w:rFonts w:ascii="Arial" w:hAnsi="Arial"/>
          <w:b w:val="0"/>
          <w:i/>
          <w:sz w:val="19"/>
        </w:rPr>
        <w:t>Minutes of the Federal Open Market Committee, July 28–29, 2026.</w:t>
      </w:r>
      <w:r>
        <w:rPr>
          <w:rFonts w:ascii="Arial" w:hAnsi="Arial"/>
          <w:b w:val="0"/>
          <w:i w:val="0"/>
          <w:sz w:val="19"/>
        </w:rPr>
        <w:t xml:space="preserve"> Amtliche FOMC-Sitzungs­dokumentation der Juli-Sitzung, veröffentlicht am 19. August 2026 (Standard-Drei-Wochen-Frist). Erstmals in einem geldpolitischen Beschluss­dokument explizite, mehrfach ausformulierte Auslegung der KI-Wirkung auf Arbeitsmarkt, Produktivität und Preisniveau (nach </w:t>
      </w:r>
      <w:r>
        <w:rPr>
          <w:rFonts w:ascii="Arial" w:hAnsi="Arial"/>
          <w:b w:val="0"/>
          <w:i/>
          <w:sz w:val="19"/>
        </w:rPr>
        <w:t>Bloomberg</w:t>
      </w:r>
      <w:r>
        <w:rPr>
          <w:rFonts w:ascii="Arial" w:hAnsi="Arial"/>
          <w:b w:val="0"/>
          <w:i w:val="0"/>
          <w:sz w:val="19"/>
        </w:rPr>
        <w:t xml:space="preserve">-Auszählung vom 20. August 2026, </w:t>
      </w:r>
      <w:r>
        <w:rPr>
          <w:rFonts w:ascii="Arial" w:hAnsi="Arial"/>
          <w:b w:val="0"/>
          <w:i/>
          <w:sz w:val="19"/>
        </w:rPr>
        <w:t>„AI Has Infiltrated the Fed, at Least in Policy Meeting Debates"</w:t>
      </w:r>
      <w:r>
        <w:rPr>
          <w:rFonts w:ascii="Arial" w:hAnsi="Arial"/>
          <w:b w:val="0"/>
          <w:i w:val="0"/>
          <w:sz w:val="19"/>
        </w:rPr>
        <w:t xml:space="preserve">, rund 18 KI-Erwähnungen in 15 zusammenhängenden Absätzen des Ausblicks- und Diskussions­teils). Kernaussagen im Konjunktiv referiert nach § 4.2 Claude.md: KI-bezogene Entwicklungen hätten </w:t>
      </w:r>
      <w:r>
        <w:rPr>
          <w:rFonts w:ascii="Arial" w:hAnsi="Arial"/>
          <w:b w:val="0"/>
          <w:i/>
          <w:sz w:val="19"/>
        </w:rPr>
        <w:t>bislang</w:t>
      </w:r>
      <w:r>
        <w:rPr>
          <w:rFonts w:ascii="Arial" w:hAnsi="Arial"/>
          <w:b w:val="0"/>
          <w:i w:val="0"/>
          <w:sz w:val="19"/>
        </w:rPr>
        <w:t xml:space="preserve"> einen begrenzten Netto-Beschäftigungseffekt entfaltet, einige Beschäftigte würden verdrängt, andere profitierten von neu entstehenden Stellen; die Unsicherheit über KI-bezogene Entwicklungen und die gegenwärtigen wie erwarteten Produktivitäts­gewinne hielten </w:t>
      </w:r>
      <w:r>
        <w:rPr>
          <w:rFonts w:ascii="Arial" w:hAnsi="Arial"/>
          <w:b w:val="0"/>
          <w:i/>
          <w:sz w:val="19"/>
        </w:rPr>
        <w:t>sowohl</w:t>
      </w:r>
      <w:r>
        <w:rPr>
          <w:rFonts w:ascii="Arial" w:hAnsi="Arial"/>
          <w:b w:val="0"/>
          <w:i w:val="0"/>
          <w:sz w:val="19"/>
        </w:rPr>
        <w:t xml:space="preserve"> Einstellungen </w:t>
      </w:r>
      <w:r>
        <w:rPr>
          <w:rFonts w:ascii="Arial" w:hAnsi="Arial"/>
          <w:b w:val="0"/>
          <w:i/>
          <w:sz w:val="19"/>
        </w:rPr>
        <w:t>als auch</w:t>
      </w:r>
      <w:r>
        <w:rPr>
          <w:rFonts w:ascii="Arial" w:hAnsi="Arial"/>
          <w:b w:val="0"/>
          <w:i w:val="0"/>
          <w:sz w:val="19"/>
        </w:rPr>
        <w:t xml:space="preserve"> Entlassungen niedrig; mittelfristig würden Produktivitäts­gewinne aus der KI-Adoption die Produktions­kosten reduzieren und das aggregierte Angebot ausweiten; kurzfristig sei der KI-Buildout inflationär (Materialien für Rechenzentren wie Chips und Stahl, verwandte Konsumkategorien Elektronik und Software mit deutlichen Preissteigerungen); die </w:t>
      </w:r>
      <w:r>
        <w:rPr>
          <w:rFonts w:ascii="Arial" w:hAnsi="Arial"/>
          <w:b w:val="0"/>
          <w:i/>
          <w:sz w:val="19"/>
        </w:rPr>
        <w:t>Federal-Reserve-Staff</w:t>
      </w:r>
      <w:r>
        <w:rPr>
          <w:rFonts w:ascii="Arial" w:hAnsi="Arial"/>
          <w:b w:val="0"/>
          <w:i w:val="0"/>
          <w:sz w:val="19"/>
        </w:rPr>
        <w:t xml:space="preserve">-Prognose behandele KI-Investition und -Adoption zusammen mit dem Nahost-Konflikt als </w:t>
      </w:r>
      <w:r>
        <w:rPr>
          <w:rFonts w:ascii="Arial" w:hAnsi="Arial"/>
          <w:b w:val="0"/>
          <w:i/>
          <w:sz w:val="19"/>
        </w:rPr>
        <w:t>primäre Unsicherheits­quelle</w:t>
      </w:r>
      <w:r>
        <w:rPr>
          <w:rFonts w:ascii="Arial" w:hAnsi="Arial"/>
          <w:b w:val="0"/>
          <w:i w:val="0"/>
          <w:sz w:val="19"/>
        </w:rPr>
        <w:t xml:space="preserve"> für den mittelfristigen Ausblick. Sekundärrezeption: </w:t>
      </w:r>
      <w:r>
        <w:rPr>
          <w:rFonts w:ascii="Arial" w:hAnsi="Arial"/>
          <w:b w:val="0"/>
          <w:i/>
          <w:sz w:val="19"/>
        </w:rPr>
        <w:t>Bloomberg</w:t>
      </w:r>
      <w:r>
        <w:rPr>
          <w:rFonts w:ascii="Arial" w:hAnsi="Arial"/>
          <w:b w:val="0"/>
          <w:i w:val="0"/>
          <w:sz w:val="19"/>
        </w:rPr>
        <w:t xml:space="preserve"> (20. August 2026), </w:t>
      </w:r>
      <w:r>
        <w:rPr>
          <w:rFonts w:ascii="Arial" w:hAnsi="Arial"/>
          <w:b w:val="0"/>
          <w:i/>
          <w:sz w:val="19"/>
        </w:rPr>
        <w:t>CNBC</w:t>
      </w:r>
      <w:r>
        <w:rPr>
          <w:rFonts w:ascii="Arial" w:hAnsi="Arial"/>
          <w:b w:val="0"/>
          <w:i w:val="0"/>
          <w:sz w:val="19"/>
        </w:rPr>
        <w:t xml:space="preserve"> (19. August 2026, </w:t>
      </w:r>
      <w:r>
        <w:rPr>
          <w:rFonts w:ascii="Arial" w:hAnsi="Arial"/>
          <w:b w:val="0"/>
          <w:i/>
          <w:sz w:val="19"/>
        </w:rPr>
        <w:t>„Fed minutes July 2026: Officials saw need for rate hike if inflation doesn't cool"</w:t>
      </w:r>
      <w:r>
        <w:rPr>
          <w:rFonts w:ascii="Arial" w:hAnsi="Arial"/>
          <w:b w:val="0"/>
          <w:i w:val="0"/>
          <w:sz w:val="19"/>
        </w:rPr>
        <w:t xml:space="preserve">), </w:t>
      </w:r>
      <w:r>
        <w:rPr>
          <w:rFonts w:ascii="Arial" w:hAnsi="Arial"/>
          <w:b w:val="0"/>
          <w:i/>
          <w:sz w:val="19"/>
        </w:rPr>
        <w:t>Newsquawk</w:t>
      </w:r>
      <w:r>
        <w:rPr>
          <w:rFonts w:ascii="Arial" w:hAnsi="Arial"/>
          <w:b w:val="0"/>
          <w:i w:val="0"/>
          <w:sz w:val="19"/>
        </w:rPr>
        <w:t>/</w:t>
      </w:r>
      <w:r>
        <w:rPr>
          <w:rFonts w:ascii="Arial" w:hAnsi="Arial"/>
          <w:b w:val="0"/>
          <w:i/>
          <w:sz w:val="19"/>
        </w:rPr>
        <w:t>PNC Economics</w:t>
      </w:r>
      <w:r>
        <w:rPr>
          <w:rFonts w:ascii="Arial" w:hAnsi="Arial"/>
          <w:b w:val="0"/>
          <w:i w:val="0"/>
          <w:sz w:val="19"/>
        </w:rPr>
        <w:t xml:space="preserve"> (19. August 2026 Preview/Recap), </w:t>
      </w:r>
      <w:r>
        <w:rPr>
          <w:rFonts w:ascii="Arial" w:hAnsi="Arial"/>
          <w:b w:val="0"/>
          <w:i/>
          <w:sz w:val="19"/>
        </w:rPr>
        <w:t>FXStreet</w:t>
      </w:r>
      <w:r>
        <w:rPr>
          <w:rFonts w:ascii="Arial" w:hAnsi="Arial"/>
          <w:b w:val="0"/>
          <w:i w:val="0"/>
          <w:sz w:val="19"/>
        </w:rPr>
        <w:t xml:space="preserve"> (20. August 2026, MUFG-Kommentar). Aufnahme in § 3.5 als </w:t>
      </w:r>
      <w:r>
        <w:rPr>
          <w:rFonts w:ascii="Arial" w:hAnsi="Arial"/>
          <w:b w:val="0"/>
          <w:i/>
          <w:sz w:val="19"/>
        </w:rPr>
        <w:t>Empirische Ergänzung USA — Federal-Reserve-FOMC-Minutes</w:t>
      </w:r>
      <w:r>
        <w:rPr>
          <w:rFonts w:ascii="Arial" w:hAnsi="Arial"/>
          <w:b w:val="0"/>
          <w:i w:val="0"/>
          <w:sz w:val="19"/>
        </w:rPr>
        <w:t xml:space="preserve"> mit Rückwirkung auf § 8.4 (Systemstabilität, Timing-Asymmetrie), § 9.1 (Kausalattribution) und § 5.1/§ 8.3 (Robustheit einer wertschöpfungs­orientierten Bemessungs­basis gegenüber Investitions-/Produktivitäts-Zeitdivergenz). https://www.federalreserve.gov/monetarypolicy/fomcminutes20260729.htm | https://www.federalreserve.gov/newsevents/pressreleases/monetary20260819a.htm | https://www.federalreserve.gov/monetarypolicy/files/fomcminutes20260729.pdf | https://www.bloomberg.com/news/articles/2026-08-20/ai-has-infiltrated-the-fed-at-least-in-policy-meeting-debates | https://www.cnbc.com/2026/08/19/fed-minutes-july-2026-officials-saw-need-for-rate-hike-if-inflation-doesnt-cool.html</w:t>
      </w:r>
    </w:p>
    <w:p>
      <w:pPr>
        <w:jc w:val="both"/>
      </w:pPr>
      <w:r>
        <w:rPr>
          <w:rFonts w:ascii="Arial" w:hAnsi="Arial"/>
          <w:b w:val="0"/>
          <w:i w:val="0"/>
          <w:sz w:val="19"/>
        </w:rPr>
        <w:t xml:space="preserve">Republic of Korea, Ministry of Planning and Budget (기획재정부) / Park, H.-k. (Minister). (21. August 2026). </w:t>
      </w:r>
      <w:r>
        <w:rPr>
          <w:rFonts w:ascii="Arial" w:hAnsi="Arial"/>
          <w:b w:val="0"/>
          <w:i/>
          <w:sz w:val="19"/>
        </w:rPr>
        <w:t>Future Response Fund („미래대응기금") — Announcement of a fiscal reservoir financed by AI- and chip-driven windfall tax revenue.</w:t>
      </w:r>
      <w:r>
        <w:rPr>
          <w:rFonts w:ascii="Arial" w:hAnsi="Arial"/>
          <w:b w:val="0"/>
          <w:i w:val="0"/>
          <w:sz w:val="19"/>
        </w:rPr>
        <w:t xml:space="preserve"> Am 21. August 2026 vom südkoreanischen </w:t>
      </w:r>
      <w:r>
        <w:rPr>
          <w:rFonts w:ascii="Arial" w:hAnsi="Arial"/>
          <w:b w:val="0"/>
          <w:i/>
          <w:sz w:val="19"/>
        </w:rPr>
        <w:t>Ministry of Planning and Budget</w:t>
      </w:r>
      <w:r>
        <w:rPr>
          <w:rFonts w:ascii="Arial" w:hAnsi="Arial"/>
          <w:b w:val="0"/>
          <w:i w:val="0"/>
          <w:sz w:val="19"/>
        </w:rPr>
        <w:t xml:space="preserve"> angekündigter </w:t>
      </w:r>
      <w:r>
        <w:rPr>
          <w:rFonts w:ascii="Arial" w:hAnsi="Arial"/>
          <w:b w:val="0"/>
          <w:i/>
          <w:sz w:val="19"/>
        </w:rPr>
        <w:t>Fiscal-Reservoir-Fund</w:t>
      </w:r>
      <w:r>
        <w:rPr>
          <w:rFonts w:ascii="Arial" w:hAnsi="Arial"/>
          <w:b w:val="0"/>
          <w:i w:val="0"/>
          <w:sz w:val="19"/>
        </w:rPr>
        <w:t xml:space="preserve"> mit geplantem Anfangsvolumen von mindestens 100 Billionen KRW (rund 72 Milliarden US-Dollar; nach </w:t>
      </w:r>
      <w:r>
        <w:rPr>
          <w:rFonts w:ascii="Arial" w:hAnsi="Arial"/>
          <w:b w:val="0"/>
          <w:i/>
          <w:sz w:val="19"/>
        </w:rPr>
        <w:t>KED-Global</w:t>
      </w:r>
      <w:r>
        <w:rPr>
          <w:rFonts w:ascii="Arial" w:hAnsi="Arial"/>
          <w:b w:val="0"/>
          <w:i w:val="0"/>
          <w:sz w:val="19"/>
        </w:rPr>
        <w:t xml:space="preserve">-Bewertung bis zu rund 145 Milliarden US-Dollar über die Laufzeit), gespeist aus </w:t>
      </w:r>
      <w:r>
        <w:rPr>
          <w:rFonts w:ascii="Arial" w:hAnsi="Arial"/>
          <w:b w:val="0"/>
          <w:i/>
          <w:sz w:val="19"/>
        </w:rPr>
        <w:t>„Windfall Revenue"</w:t>
      </w:r>
      <w:r>
        <w:rPr>
          <w:rFonts w:ascii="Arial" w:hAnsi="Arial"/>
          <w:b w:val="0"/>
          <w:i w:val="0"/>
          <w:sz w:val="19"/>
        </w:rPr>
        <w:t xml:space="preserve">-Steuereinnahmen oberhalb des 10-Jahres-Durchschnitts­trends inländischer Aufkommen (in der laufenden Periode überwiegend halbleiter- und KI-getriebene Körperschaftsteuer). Vier Investitionsfelder: </w:t>
      </w:r>
      <w:r>
        <w:rPr>
          <w:rFonts w:ascii="Arial" w:hAnsi="Arial"/>
          <w:b w:val="0"/>
          <w:i/>
          <w:sz w:val="19"/>
        </w:rPr>
        <w:t>Wachstumsmotoren</w:t>
      </w:r>
      <w:r>
        <w:rPr>
          <w:rFonts w:ascii="Arial" w:hAnsi="Arial"/>
          <w:b w:val="0"/>
          <w:i w:val="0"/>
          <w:sz w:val="19"/>
        </w:rPr>
        <w:t xml:space="preserve"> (Frontier-KI, physische KI, KI-Rechenzentren, Strom- und Wasserinfrastruktur der drei Megaprojekte, kleine modulare Reaktoren), </w:t>
      </w:r>
      <w:r>
        <w:rPr>
          <w:rFonts w:ascii="Arial" w:hAnsi="Arial"/>
          <w:b w:val="0"/>
          <w:i/>
          <w:sz w:val="19"/>
        </w:rPr>
        <w:t>Jugend</w:t>
      </w:r>
      <w:r>
        <w:rPr>
          <w:rFonts w:ascii="Arial" w:hAnsi="Arial"/>
          <w:b w:val="0"/>
          <w:i w:val="0"/>
          <w:sz w:val="19"/>
        </w:rPr>
        <w:t xml:space="preserve"> (Beschäftigung, Wohnraum, Vermögensbildung, ausgeweiteter </w:t>
      </w:r>
      <w:r>
        <w:rPr>
          <w:rFonts w:ascii="Arial" w:hAnsi="Arial"/>
          <w:b w:val="0"/>
          <w:i/>
          <w:sz w:val="19"/>
        </w:rPr>
        <w:t>Youth Culture and Arts Pass</w:t>
      </w:r>
      <w:r>
        <w:rPr>
          <w:rFonts w:ascii="Arial" w:hAnsi="Arial"/>
          <w:b w:val="0"/>
          <w:i w:val="0"/>
          <w:sz w:val="19"/>
        </w:rPr>
        <w:t xml:space="preserve">), </w:t>
      </w:r>
      <w:r>
        <w:rPr>
          <w:rFonts w:ascii="Arial" w:hAnsi="Arial"/>
          <w:b w:val="0"/>
          <w:i/>
          <w:sz w:val="19"/>
        </w:rPr>
        <w:t>Regionen</w:t>
      </w:r>
      <w:r>
        <w:rPr>
          <w:rFonts w:ascii="Arial" w:hAnsi="Arial"/>
          <w:b w:val="0"/>
          <w:i w:val="0"/>
          <w:sz w:val="19"/>
        </w:rPr>
        <w:t xml:space="preserve"> (regionale Infrastruktur und Entwicklung) und </w:t>
      </w:r>
      <w:r>
        <w:rPr>
          <w:rFonts w:ascii="Arial" w:hAnsi="Arial"/>
          <w:b w:val="0"/>
          <w:i/>
          <w:sz w:val="19"/>
        </w:rPr>
        <w:t>Bildung und Talent</w:t>
      </w:r>
      <w:r>
        <w:rPr>
          <w:rFonts w:ascii="Arial" w:hAnsi="Arial"/>
          <w:b w:val="0"/>
          <w:i w:val="0"/>
          <w:sz w:val="19"/>
        </w:rPr>
        <w:t xml:space="preserve"> (frühkindliche, hochschulische und lebenslange Bildung, Talentanziehung). Governance-Merkmale: Überschussakkumulation in Boom-Phasen, Supplementierung in Downturns, 20-%-Umschichtungs­flexibilität zwischen Einzelprojekten ohne Zustimmung der </w:t>
      </w:r>
      <w:r>
        <w:rPr>
          <w:rFonts w:ascii="Arial" w:hAnsi="Arial"/>
          <w:b w:val="0"/>
          <w:i/>
          <w:sz w:val="19"/>
        </w:rPr>
        <w:t>Nationalversammlung</w:t>
      </w:r>
      <w:r>
        <w:rPr>
          <w:rFonts w:ascii="Arial" w:hAnsi="Arial"/>
          <w:b w:val="0"/>
          <w:i w:val="0"/>
          <w:sz w:val="19"/>
        </w:rPr>
        <w:t xml:space="preserve">. Legislativer Zeitplan: Kabinettsberatung 1. September 2026, Vorlage an die </w:t>
      </w:r>
      <w:r>
        <w:rPr>
          <w:rFonts w:ascii="Arial" w:hAnsi="Arial"/>
          <w:b w:val="0"/>
          <w:i/>
          <w:sz w:val="19"/>
        </w:rPr>
        <w:t>Nationalversammlung</w:t>
      </w:r>
      <w:r>
        <w:rPr>
          <w:rFonts w:ascii="Arial" w:hAnsi="Arial"/>
          <w:b w:val="0"/>
          <w:i w:val="0"/>
          <w:sz w:val="19"/>
        </w:rPr>
        <w:t xml:space="preserve"> 3. September 2026 (Konjunktivpflicht nach § 4.2 Claude.md). Berichterstattung: </w:t>
      </w:r>
      <w:r>
        <w:rPr>
          <w:rFonts w:ascii="Arial" w:hAnsi="Arial"/>
          <w:b w:val="0"/>
          <w:i/>
          <w:sz w:val="19"/>
        </w:rPr>
        <w:t>KED Global</w:t>
      </w:r>
      <w:r>
        <w:rPr>
          <w:rFonts w:ascii="Arial" w:hAnsi="Arial"/>
          <w:b w:val="0"/>
          <w:i w:val="0"/>
          <w:sz w:val="19"/>
        </w:rPr>
        <w:t xml:space="preserve"> (21. August 2026, </w:t>
      </w:r>
      <w:r>
        <w:rPr>
          <w:rFonts w:ascii="Arial" w:hAnsi="Arial"/>
          <w:b w:val="0"/>
          <w:i/>
          <w:sz w:val="19"/>
        </w:rPr>
        <w:t>„South Korea taps chip tax windfall for estimated $145 bn fund, stoking fiscal discipline concerns"</w:t>
      </w:r>
      <w:r>
        <w:rPr>
          <w:rFonts w:ascii="Arial" w:hAnsi="Arial"/>
          <w:b w:val="0"/>
          <w:i w:val="0"/>
          <w:sz w:val="19"/>
        </w:rPr>
        <w:t xml:space="preserve">), </w:t>
      </w:r>
      <w:r>
        <w:rPr>
          <w:rFonts w:ascii="Arial" w:hAnsi="Arial"/>
          <w:b w:val="0"/>
          <w:i/>
          <w:sz w:val="19"/>
        </w:rPr>
        <w:t>Seoul Economic Daily</w:t>
      </w:r>
      <w:r>
        <w:rPr>
          <w:rFonts w:ascii="Arial" w:hAnsi="Arial"/>
          <w:b w:val="0"/>
          <w:i w:val="0"/>
          <w:sz w:val="19"/>
        </w:rPr>
        <w:t xml:space="preserve"> (21. August 2026, Autoren Kim Nam-myung und Lee Jung-hoon, </w:t>
      </w:r>
      <w:r>
        <w:rPr>
          <w:rFonts w:ascii="Arial" w:hAnsi="Arial"/>
          <w:b w:val="0"/>
          <w:i/>
          <w:sz w:val="19"/>
        </w:rPr>
        <w:t>„Korea to Create 100 Trillion Won Fund for Future Investment Next Year"</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(21. August 2026, </w:t>
      </w:r>
      <w:r>
        <w:rPr>
          <w:rFonts w:ascii="Arial" w:hAnsi="Arial"/>
          <w:b w:val="0"/>
          <w:i/>
          <w:sz w:val="19"/>
        </w:rPr>
        <w:t>„S. Korea to launch 'future fund' with 'windfall revenue' amid chip boom"</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(21. August 2026, </w:t>
      </w:r>
      <w:r>
        <w:rPr>
          <w:rFonts w:ascii="Arial" w:hAnsi="Arial"/>
          <w:b w:val="0"/>
          <w:i/>
          <w:sz w:val="19"/>
        </w:rPr>
        <w:t>„South Korea to launch Future Fund using AI and chip boom tax revenue"</w:t>
      </w:r>
      <w:r>
        <w:rPr>
          <w:rFonts w:ascii="Arial" w:hAnsi="Arial"/>
          <w:b w:val="0"/>
          <w:i w:val="0"/>
          <w:sz w:val="19"/>
        </w:rPr>
        <w:t xml:space="preserve"> und </w:t>
      </w:r>
      <w:r>
        <w:rPr>
          <w:rFonts w:ascii="Arial" w:hAnsi="Arial"/>
          <w:b w:val="0"/>
          <w:i/>
          <w:sz w:val="19"/>
        </w:rPr>
        <w:t>„South Korea to create Future Fund with chip tax windfall for AI investment"</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 </w:t>
      </w:r>
      <w:r>
        <w:rPr>
          <w:rFonts w:ascii="Arial" w:hAnsi="Arial"/>
          <w:b w:val="0"/>
          <w:i/>
          <w:sz w:val="19"/>
        </w:rPr>
        <w:t>Yahoo Finance</w:t>
      </w:r>
      <w:r>
        <w:rPr>
          <w:rFonts w:ascii="Arial" w:hAnsi="Arial"/>
          <w:b w:val="0"/>
          <w:i w:val="0"/>
          <w:sz w:val="19"/>
        </w:rPr>
        <w:t xml:space="preserve"> / </w:t>
      </w:r>
      <w:r>
        <w:rPr>
          <w:rFonts w:ascii="Arial" w:hAnsi="Arial"/>
          <w:b w:val="0"/>
          <w:i/>
          <w:sz w:val="19"/>
        </w:rPr>
        <w:t>WTVB</w:t>
      </w:r>
      <w:r>
        <w:rPr>
          <w:rFonts w:ascii="Arial" w:hAnsi="Arial"/>
          <w:b w:val="0"/>
          <w:i w:val="0"/>
          <w:sz w:val="19"/>
        </w:rPr>
        <w:t xml:space="preserve"> / </w:t>
      </w:r>
      <w:r>
        <w:rPr>
          <w:rFonts w:ascii="Arial" w:hAnsi="Arial"/>
          <w:b w:val="0"/>
          <w:i/>
          <w:sz w:val="19"/>
        </w:rPr>
        <w:t>KFGO</w:t>
      </w:r>
      <w:r>
        <w:rPr>
          <w:rFonts w:ascii="Arial" w:hAnsi="Arial"/>
          <w:b w:val="0"/>
          <w:i w:val="0"/>
          <w:sz w:val="19"/>
        </w:rPr>
        <w:t xml:space="preserve"> (20./21. August 2026, </w:t>
      </w:r>
      <w:r>
        <w:rPr>
          <w:rFonts w:ascii="Arial" w:hAnsi="Arial"/>
          <w:b w:val="0"/>
          <w:i/>
          <w:sz w:val="19"/>
        </w:rPr>
        <w:t>„South Korea plans chip windfall fund to back youth, AI investment"</w:t>
      </w:r>
      <w:r>
        <w:rPr>
          <w:rFonts w:ascii="Arial" w:hAnsi="Arial"/>
          <w:b w:val="0"/>
          <w:i w:val="0"/>
          <w:sz w:val="19"/>
        </w:rPr>
        <w:t xml:space="preserve">) sowie </w:t>
      </w:r>
      <w:r>
        <w:rPr>
          <w:rFonts w:ascii="Arial" w:hAnsi="Arial"/>
          <w:b w:val="0"/>
          <w:i/>
          <w:sz w:val="19"/>
        </w:rPr>
        <w:t>MLex</w:t>
      </w:r>
      <w:r>
        <w:rPr>
          <w:rFonts w:ascii="Arial" w:hAnsi="Arial"/>
          <w:b w:val="0"/>
          <w:i w:val="0"/>
          <w:sz w:val="19"/>
        </w:rPr>
        <w:t xml:space="preserve"> (21. August 2026, </w:t>
      </w:r>
      <w:r>
        <w:rPr>
          <w:rFonts w:ascii="Arial" w:hAnsi="Arial"/>
          <w:b w:val="0"/>
          <w:i/>
          <w:sz w:val="19"/>
        </w:rPr>
        <w:t>„South Korea plans future fund with surplus tax revenue from AI-driven chip boom"</w:t>
      </w:r>
      <w:r>
        <w:rPr>
          <w:rFonts w:ascii="Arial" w:hAnsi="Arial"/>
          <w:b w:val="0"/>
          <w:i w:val="0"/>
          <w:sz w:val="19"/>
        </w:rPr>
        <w:t>). Aufnahme in § 6.1 als dritte Aktualisierung der südkoreanischen Reformperiode 2026 mit Rückwirkung auf § 5.4 (Staatsfonds- und Dividenden­logik ohne Anbieter-Beteiligung), § 8.2 (Robustheit gegenüber bestands­orientierter fiskalischer Volatilität), § 8.3 (Teilhabefrage, Jugend-Priorität als politische Antwort auf die Bank-of-Korea-Kohorten­dokumentation) und § 4.5 (Vergleichspunkt zur Ausgabenseite des US-</w:t>
      </w:r>
      <w:r>
        <w:rPr>
          <w:rFonts w:ascii="Arial" w:hAnsi="Arial"/>
          <w:b w:val="0"/>
          <w:i/>
          <w:sz w:val="19"/>
        </w:rPr>
        <w:t>AI Tax and Work Protection Act</w:t>
      </w:r>
      <w:r>
        <w:rPr>
          <w:rFonts w:ascii="Arial" w:hAnsi="Arial"/>
          <w:b w:val="0"/>
          <w:i w:val="0"/>
          <w:sz w:val="19"/>
        </w:rPr>
        <w:t>). https://www.kedglobal.com/policy/newsView/ked202608210006 | https://en.sedaily.com/finance/2026/08/21/korea-to-create-100-trillion-won-fund-for-future-investment | https://www.koreaherald.com/article/10847943 | https://www.koreajoongangdaily.com/korea/korea-plans-future-fund-fueled-by-ai-chip-boom-tax-windfall/12836782 | https://www.koreajoongangdaily.com/business/korea-to-stash-chip-tax-windfall-in-new-fund-for-ai-future-tech/12837249 | https://finance.yahoo.com/economy/policy/articles/south-korea-plans-chip-windfall-fund-041053403.html | https://www.mlex.com/mlex/artificial-intelligence/articles/2516207/south-korea-plans-future-fund-with-surplus-tax-revenue-from-ai-driven-chip-boom</w:t>
      </w:r>
    </w:p>
    <w:p>
      <w:pPr>
        <w:jc w:val="both"/>
      </w:pPr>
      <w:r>
        <w:rPr>
          <w:rFonts w:ascii="Arial" w:hAnsi="Arial"/>
          <w:b w:val="0"/>
          <w:i w:val="0"/>
          <w:sz w:val="19"/>
        </w:rPr>
        <w:t xml:space="preserve">Friedrich, M., &amp; Kagerl, C. (27. August 2026). </w:t>
      </w:r>
      <w:r>
        <w:rPr>
          <w:rFonts w:ascii="Arial" w:hAnsi="Arial"/>
          <w:b w:val="0"/>
          <w:i/>
          <w:sz w:val="19"/>
        </w:rPr>
        <w:t>Künstliche Intelligenz in deutschen Betrieben: Jeder vierte Betrieb nutzt mittlerweile generative KI.</w:t>
      </w:r>
      <w:r>
        <w:rPr>
          <w:rFonts w:ascii="Arial" w:hAnsi="Arial"/>
          <w:b w:val="0"/>
          <w:i w:val="0"/>
          <w:sz w:val="19"/>
        </w:rPr>
        <w:t xml:space="preserve"> IAB-Kurzbericht 08/2026, Institut für Arbeitsmarkt- und Berufsforschung, Nürnberg (8 Seiten). DOI 10.48720/IAB.KB.2608. Kernbefunde auf Basis des </w:t>
      </w:r>
      <w:r>
        <w:rPr>
          <w:rFonts w:ascii="Arial" w:hAnsi="Arial"/>
          <w:b w:val="0"/>
          <w:i/>
          <w:sz w:val="19"/>
        </w:rPr>
        <w:t>IAB-Betriebspanels</w:t>
      </w:r>
      <w:r>
        <w:rPr>
          <w:rFonts w:ascii="Arial" w:hAnsi="Arial"/>
          <w:b w:val="0"/>
          <w:i w:val="0"/>
          <w:sz w:val="19"/>
        </w:rPr>
        <w:t xml:space="preserve"> (Konjunktivpflicht nach § 4.2 Claude.md): Anteil der Betriebe mit Nutzung generativer KI 2023 rund 5 %, 2025 rund 24 % (Verfünffachung in zwei Jahren); nach Betriebsgröße rund 48 % bei 200 und mehr Beschäftigten, rund 21 % bei weniger als zehn Beschäftigten; rund 90 % der nutzenden Betriebe greifen auf frei verfügbare Anwendungen zurück, rund 16 % auf mit eigenen Daten trainierte Modelle; Nutzungsschwerpunkte in wissensintensiven Dienstleistungen und in jungen Betrieben. Aufnahme in § 8.1 als empirische Verankerung der Drei-Faktor-Sicht auf inländischer Betriebs­ebene mit Rückwirkung auf § 1.1 (Ausgangslage, deutscher KI-Adoptionsstand), § 5.1 (Bemessungsbasis der Sozialstaats­finanzierung), § 8.2 (Veredelungsstrategie, Anwendungs­ebene) und § 8.3 (wertschöpfungs­orientierte Zugriffsarchitektur). https://iab.de/kuenstliche-intelligenz-in-deutschen-betrieben-jeder-vierte-betrieb-nutzt-mittlerweile-generative-ki/ | https://iab.de/presseinfo/jeder-vierte-betrieb-in-deutschland-nutzt-generative-ki/ | https://ideas.repec.org/p/iab/iabkbe/202608.html</w:t>
      </w:r>
    </w:p>
    <w:p>
      <w:pPr>
        <w:jc w:val="both"/>
      </w:pPr>
      <w:r>
        <w:rPr>
          <w:rFonts w:ascii="Arial" w:hAnsi="Arial"/>
          <w:b w:val="0"/>
          <w:i w:val="0"/>
          <w:sz w:val="19"/>
        </w:rPr>
        <w:t xml:space="preserve">European Commission / EuroHPC Joint Undertaking. (30. Juli 2026). </w:t>
      </w:r>
      <w:r>
        <w:rPr>
          <w:rFonts w:ascii="Arial" w:hAnsi="Arial"/>
          <w:b w:val="0"/>
          <w:i/>
          <w:sz w:val="19"/>
        </w:rPr>
        <w:t>EU launches AI Gigafactories call to boost Europe's computing capacity and unlock more than €30 billion in investment.</w:t>
      </w:r>
      <w:r>
        <w:rPr>
          <w:rFonts w:ascii="Arial" w:hAnsi="Arial"/>
          <w:b w:val="0"/>
          <w:i w:val="0"/>
          <w:sz w:val="19"/>
        </w:rPr>
        <w:t xml:space="preserve"> Pressemitteilung IP/26/1708. Offene Ausschreibung des </w:t>
      </w:r>
      <w:r>
        <w:rPr>
          <w:rFonts w:ascii="Arial" w:hAnsi="Arial"/>
          <w:b w:val="0"/>
          <w:i/>
          <w:sz w:val="19"/>
        </w:rPr>
        <w:t>EuroHPC Joint Undertaking</w:t>
      </w:r>
      <w:r>
        <w:rPr>
          <w:rFonts w:ascii="Arial" w:hAnsi="Arial"/>
          <w:b w:val="0"/>
          <w:i w:val="0"/>
          <w:sz w:val="19"/>
        </w:rPr>
        <w:t xml:space="preserve"> für bis zu sieben </w:t>
      </w:r>
      <w:r>
        <w:rPr>
          <w:rFonts w:ascii="Arial" w:hAnsi="Arial"/>
          <w:b w:val="0"/>
          <w:i/>
          <w:sz w:val="19"/>
        </w:rPr>
        <w:t>AI Gigafactories</w:t>
      </w:r>
      <w:r>
        <w:rPr>
          <w:rFonts w:ascii="Arial" w:hAnsi="Arial"/>
          <w:b w:val="0"/>
          <w:i w:val="0"/>
          <w:sz w:val="19"/>
        </w:rPr>
        <w:t xml:space="preserve"> in der Europäischen Union; bis zu 10 Milliarden Euro öffentliche Kofinanzierung (EU-Haushalt und Mitgliedstaaten) gekoppelt mit mindestens 20 Milliarden Euro erwartetem Privatkapital (aggregiertes Investitionsvolumen über 30 Milliarden Euro). Kombination aus KI-Prozessoren, Software-Stack, Cloud-Technologie, Hochgeschwindigkeits­konnektivität und Rechen­zentrums­infrastruktur; Nutzung durch öffentliche und private Anwender in den EuroHPC-Teilnehmerstaaten. Angebotsfrist 12. November 2026, Vergabeentscheidungen für Anfang 2027 erwartet; Bau- und Ausbaustart im selben Jahr (Konjunktivpflicht nach § 4.2 Claude.md). Sekundärrezeption: </w:t>
      </w:r>
      <w:r>
        <w:rPr>
          <w:rFonts w:ascii="Arial" w:hAnsi="Arial"/>
          <w:b w:val="0"/>
          <w:i/>
          <w:sz w:val="19"/>
        </w:rPr>
        <w:t>HPCwire</w:t>
      </w:r>
      <w:r>
        <w:rPr>
          <w:rFonts w:ascii="Arial" w:hAnsi="Arial"/>
          <w:b w:val="0"/>
          <w:i w:val="0"/>
          <w:sz w:val="19"/>
        </w:rPr>
        <w:t xml:space="preserve">, </w:t>
      </w:r>
      <w:r>
        <w:rPr>
          <w:rFonts w:ascii="Arial" w:hAnsi="Arial"/>
          <w:b w:val="0"/>
          <w:i/>
          <w:sz w:val="19"/>
        </w:rPr>
        <w:t>Euronews</w:t>
      </w:r>
      <w:r>
        <w:rPr>
          <w:rFonts w:ascii="Arial" w:hAnsi="Arial"/>
          <w:b w:val="0"/>
          <w:i w:val="0"/>
          <w:sz w:val="19"/>
        </w:rPr>
        <w:t xml:space="preserve"> (30. Juli 2026, </w:t>
      </w:r>
      <w:r>
        <w:rPr>
          <w:rFonts w:ascii="Arial" w:hAnsi="Arial"/>
          <w:b w:val="0"/>
          <w:i/>
          <w:sz w:val="19"/>
        </w:rPr>
        <w:t>„EU opens call for seven 'gigafactories' to train next-generation AI technologies"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„E.U. opens bids for 7 AI gigafactories in €30 billion push"</w:t>
      </w:r>
      <w:r>
        <w:rPr>
          <w:rFonts w:ascii="Arial" w:hAnsi="Arial"/>
          <w:b w:val="0"/>
          <w:i w:val="0"/>
          <w:sz w:val="19"/>
        </w:rPr>
        <w:t xml:space="preserve">), </w:t>
      </w:r>
      <w:r>
        <w:rPr>
          <w:rFonts w:ascii="Arial" w:hAnsi="Arial"/>
          <w:b w:val="0"/>
          <w:i/>
          <w:sz w:val="19"/>
        </w:rPr>
        <w:t>Agence Europe</w:t>
      </w:r>
      <w:r>
        <w:rPr>
          <w:rFonts w:ascii="Arial" w:hAnsi="Arial"/>
          <w:b w:val="0"/>
          <w:i w:val="0"/>
          <w:sz w:val="19"/>
        </w:rPr>
        <w:t xml:space="preserve">, </w:t>
      </w:r>
      <w:r>
        <w:rPr>
          <w:rFonts w:ascii="Arial" w:hAnsi="Arial"/>
          <w:b w:val="0"/>
          <w:i/>
          <w:sz w:val="19"/>
        </w:rPr>
        <w:t>IBTimes UK</w:t>
      </w:r>
      <w:r>
        <w:rPr>
          <w:rFonts w:ascii="Arial" w:hAnsi="Arial"/>
          <w:b w:val="0"/>
          <w:i w:val="0"/>
          <w:sz w:val="19"/>
        </w:rPr>
        <w:t xml:space="preserve"> (</w:t>
      </w:r>
      <w:r>
        <w:rPr>
          <w:rFonts w:ascii="Arial" w:hAnsi="Arial"/>
          <w:b w:val="0"/>
          <w:i/>
          <w:sz w:val="19"/>
        </w:rPr>
        <w:t>„EU Opens Bids for Seven AI Super-Hubs To Break US and China Monopoly"</w:t>
      </w:r>
      <w:r>
        <w:rPr>
          <w:rFonts w:ascii="Arial" w:hAnsi="Arial"/>
          <w:b w:val="0"/>
          <w:i w:val="0"/>
          <w:sz w:val="19"/>
        </w:rPr>
        <w:t xml:space="preserve">). Aufnahme in § 8.2 als EU-institutioneller Rahmen der </w:t>
      </w:r>
      <w:r>
        <w:rPr>
          <w:rFonts w:ascii="Arial" w:hAnsi="Arial"/>
          <w:b w:val="0"/>
          <w:i/>
          <w:sz w:val="19"/>
        </w:rPr>
        <w:t>Veredelungsstrategie</w:t>
      </w:r>
      <w:r>
        <w:rPr>
          <w:rFonts w:ascii="Arial" w:hAnsi="Arial"/>
          <w:b w:val="0"/>
          <w:i w:val="0"/>
          <w:sz w:val="19"/>
        </w:rPr>
        <w:t xml:space="preserve"> mit Rückwirkung auf § 8.3 (Anwendungs­ebene inländischer Zugriffsarchitektur), § 4.4 (Europäisches Sekundärrecht und Harmonisierungsbedarf) und § 8.4 (Systemstabilität, Compute-Souveränität). https://ec.europa.eu/commission/presscorner/detail/en/ip_26_1708 | https://digital-strategy.ec.europa.eu/en/news/eu-launches-ai-gigafactories-call-boost-europes-computing-capacity-and-unlock-more-eu30-billion | https://www.hpcwire.com/off-the-wire/eurohpc-launches-tender-for-up-to-7-european-ai-gigafactories/ | https://www.euronews.com/my-europe/2026/07/30/eu-opens-call-for-seven-gigafactories-to-train-next-generation-ai-technologies | https://qz.com/eu-ai-gigafactories-bids-computing-30-billion-073126 | https://www.ibtimes.co.uk/eu-ai-gigafactories-tech-sovereignty-1811620</w:t>
      </w:r>
    </w:p>
    <w:p>
      <w:pPr>
        <w:jc w:val="both"/>
      </w:pPr>
      <w:r>
        <w:rPr>
          <w:rFonts w:ascii="Arial" w:hAnsi="Arial"/>
          <w:b w:val="0"/>
          <w:i w:val="0"/>
          <w:sz w:val="19"/>
        </w:rPr>
        <w:t xml:space="preserve">von der Leyen, U. (Präsidentin der Europäischen Kommission). (27. August 2026). </w:t>
      </w:r>
      <w:r>
        <w:rPr>
          <w:rFonts w:ascii="Arial" w:hAnsi="Arial"/>
          <w:b w:val="0"/>
          <w:i/>
          <w:sz w:val="19"/>
        </w:rPr>
        <w:t>Rede auf der</w:t>
      </w:r>
      <w:r>
        <w:rPr>
          <w:rFonts w:ascii="Arial" w:hAnsi="Arial"/>
          <w:b w:val="0"/>
          <w:i w:val="0"/>
          <w:sz w:val="19"/>
        </w:rPr>
        <w:t xml:space="preserve"> Rencontre des Entrepreneurs de France </w:t>
      </w:r>
      <w:r>
        <w:rPr>
          <w:rFonts w:ascii="Arial" w:hAnsi="Arial"/>
          <w:b w:val="0"/>
          <w:i/>
          <w:sz w:val="19"/>
        </w:rPr>
        <w:t>— „produce, invest and protect".</w:t>
      </w:r>
      <w:r>
        <w:rPr>
          <w:rFonts w:ascii="Arial" w:hAnsi="Arial"/>
          <w:b w:val="0"/>
          <w:i w:val="0"/>
          <w:sz w:val="19"/>
        </w:rPr>
        <w:t xml:space="preserve"> Sekundärrezeption durch </w:t>
      </w:r>
      <w:r>
        <w:rPr>
          <w:rFonts w:ascii="Arial" w:hAnsi="Arial"/>
          <w:b w:val="0"/>
          <w:i/>
          <w:sz w:val="19"/>
        </w:rPr>
        <w:t>Eunews</w:t>
      </w:r>
      <w:r>
        <w:rPr>
          <w:rFonts w:ascii="Arial" w:hAnsi="Arial"/>
          <w:b w:val="0"/>
          <w:i w:val="0"/>
          <w:sz w:val="19"/>
        </w:rPr>
        <w:t xml:space="preserve"> (</w:t>
      </w:r>
      <w:r>
        <w:rPr>
          <w:rFonts w:ascii="Arial" w:hAnsi="Arial"/>
          <w:b w:val="0"/>
          <w:i/>
          <w:sz w:val="19"/>
        </w:rPr>
        <w:t>„Produce, invest, and protect: von der Leyen's recipe for Europe's competitiveness"</w:t>
      </w:r>
      <w:r>
        <w:rPr>
          <w:rFonts w:ascii="Arial" w:hAnsi="Arial"/>
          <w:b w:val="0"/>
          <w:i w:val="0"/>
          <w:sz w:val="19"/>
        </w:rPr>
        <w:t xml:space="preserve">) und </w:t>
      </w:r>
      <w:r>
        <w:rPr>
          <w:rFonts w:ascii="Arial" w:hAnsi="Arial"/>
          <w:b w:val="0"/>
          <w:i/>
          <w:sz w:val="19"/>
        </w:rPr>
        <w:t>Science|Business</w:t>
      </w:r>
      <w:r>
        <w:rPr>
          <w:rFonts w:ascii="Arial" w:hAnsi="Arial"/>
          <w:b w:val="0"/>
          <w:i w:val="0"/>
          <w:sz w:val="19"/>
        </w:rPr>
        <w:t xml:space="preserve"> (</w:t>
      </w:r>
      <w:r>
        <w:rPr>
          <w:rFonts w:ascii="Arial" w:hAnsi="Arial"/>
          <w:b w:val="0"/>
          <w:i/>
          <w:sz w:val="19"/>
        </w:rPr>
        <w:t>„Europe's independence hinges on innovation, von der Leyen says"</w:t>
      </w:r>
      <w:r>
        <w:rPr>
          <w:rFonts w:ascii="Arial" w:hAnsi="Arial"/>
          <w:b w:val="0"/>
          <w:i w:val="0"/>
          <w:sz w:val="19"/>
        </w:rPr>
        <w:t xml:space="preserve">). Kernaussagen im Konjunktiv referiert nach § 4.2 Claude.md: Europa müsse produzieren, investieren und schützen und die neue Technologie nicht nur regulieren, sondern die </w:t>
      </w:r>
      <w:r>
        <w:rPr>
          <w:rFonts w:ascii="Arial" w:hAnsi="Arial"/>
          <w:b w:val="0"/>
          <w:i/>
          <w:sz w:val="19"/>
        </w:rPr>
        <w:t>Wertschöpfungskette</w:t>
      </w:r>
      <w:r>
        <w:rPr>
          <w:rFonts w:ascii="Arial" w:hAnsi="Arial"/>
          <w:b w:val="0"/>
          <w:i w:val="0"/>
          <w:sz w:val="19"/>
        </w:rPr>
        <w:t xml:space="preserve"> von Rechenleistung, Halbleitern und Modellen bis in Fabriken, Labore, Krankenhäuser und Energienetze kontrollieren; Adminis­trations­abbau um 25 % (35 % für KMU) bis 2029; Verweis auf die 30. Juli 2026 gestartete </w:t>
      </w:r>
      <w:r>
        <w:rPr>
          <w:rFonts w:ascii="Arial" w:hAnsi="Arial"/>
          <w:b w:val="0"/>
          <w:i/>
          <w:sz w:val="19"/>
        </w:rPr>
        <w:t>AI-Gigafactories</w:t>
      </w:r>
      <w:r>
        <w:rPr>
          <w:rFonts w:ascii="Arial" w:hAnsi="Arial"/>
          <w:b w:val="0"/>
          <w:i w:val="0"/>
          <w:sz w:val="19"/>
        </w:rPr>
        <w:t xml:space="preserve">-Ausschreibung als tragende Säule der industriepolitischen Antwort. Aufnahme in § 8.2 als industriepolitische Flankierung der </w:t>
      </w:r>
      <w:r>
        <w:rPr>
          <w:rFonts w:ascii="Arial" w:hAnsi="Arial"/>
          <w:b w:val="0"/>
          <w:i/>
          <w:sz w:val="19"/>
        </w:rPr>
        <w:t>Veredelungsstrategie</w:t>
      </w:r>
      <w:r>
        <w:rPr>
          <w:rFonts w:ascii="Arial" w:hAnsi="Arial"/>
          <w:b w:val="0"/>
          <w:i w:val="0"/>
          <w:sz w:val="19"/>
        </w:rPr>
        <w:t xml:space="preserve"> mit Rückwirkung auf § 4.4 (europäisches Sekundärrecht) und § 8.4 (Systemstabilität). https://www.eunews.it/en/2026/08/27/produce-invest-and-protect-von-der-leyens-recipe-for-europes-competitiveness/ | https://sciencebusiness.net/news/planning-fp10/europes-independence-hinges-innovation-von-der-leyen-says</w:t>
      </w:r>
    </w:p>
    <w:p>
      <w:pPr>
        <w:jc w:val="both"/>
      </w:pPr>
      <w:r>
        <w:rPr>
          <w:rFonts w:ascii="Arial" w:hAnsi="Arial"/>
          <w:b w:val="0"/>
          <w:i w:val="0"/>
          <w:sz w:val="19"/>
        </w:rPr>
        <w:t xml:space="preserve">Bundesregierung der Bundesrepublik Deutschland / Bundesministerium für Arbeit und Soziales / heise online / callcenterprofi.de. (20. August 2026, veröffentlicht in Sekundärrezeption ab 23. August 2026). </w:t>
      </w:r>
      <w:r>
        <w:rPr>
          <w:rFonts w:ascii="Arial" w:hAnsi="Arial"/>
          <w:b w:val="0"/>
          <w:i/>
          <w:sz w:val="19"/>
        </w:rPr>
        <w:t>Antwort der Bundesregierung auf die Kleine Anfrage der Abgeordneten Martin Hess, Dr. Gottfried Curio, weiterer Abgeordneter und der Fraktion der AfD — Auswirkungen Künstlicher Intelligenz auf den Arbeitsmarkteinstieg.</w:t>
      </w:r>
      <w:r>
        <w:rPr>
          <w:rFonts w:ascii="Arial" w:hAnsi="Arial"/>
          <w:b w:val="0"/>
          <w:i w:val="0"/>
          <w:sz w:val="19"/>
        </w:rPr>
        <w:t xml:space="preserve"> Bundestagsdrucksache 21/7620, 21. Wahlperiode, Antwort auf Kleine Anfrage 21/7421 (30. Juli 2026). Erste ausformulierte Positionierung der Bundesregierung zur KI-bedingten Verdrängungswirkung in einem parlamentarischen Antwort­dokument; Kernaussagen im Konjunktiv referiert nach § 4.2 Claude.md: keine belastbaren Hinweise auf einen systematischen KI-bedingten Beschäftigungsabbau in Deutschland, KI ersetze </w:t>
      </w:r>
      <w:r>
        <w:rPr>
          <w:rFonts w:ascii="Arial" w:hAnsi="Arial"/>
          <w:b w:val="0"/>
          <w:i/>
          <w:sz w:val="19"/>
        </w:rPr>
        <w:t>„selten ganze Berufsbilder"</w:t>
      </w:r>
      <w:r>
        <w:rPr>
          <w:rFonts w:ascii="Arial" w:hAnsi="Arial"/>
          <w:b w:val="0"/>
          <w:i w:val="0"/>
          <w:sz w:val="19"/>
        </w:rPr>
        <w:t xml:space="preserve"> und verändere primär </w:t>
      </w:r>
      <w:r>
        <w:rPr>
          <w:rFonts w:ascii="Arial" w:hAnsi="Arial"/>
          <w:b w:val="0"/>
          <w:i/>
          <w:sz w:val="19"/>
        </w:rPr>
        <w:t>„konkrete Aufgaben"</w:t>
      </w:r>
      <w:r>
        <w:rPr>
          <w:rFonts w:ascii="Arial" w:hAnsi="Arial"/>
          <w:b w:val="0"/>
          <w:i w:val="0"/>
          <w:sz w:val="19"/>
        </w:rPr>
        <w:t xml:space="preserve"> innerhalb bestehender Berufe, seit 2019 gesunkene Abgangsrate von Erwerbslosen unter 25 Jahren in Beschäftigung </w:t>
      </w:r>
      <w:r>
        <w:rPr>
          <w:rFonts w:ascii="Arial" w:hAnsi="Arial"/>
          <w:b w:val="0"/>
          <w:i/>
          <w:sz w:val="19"/>
        </w:rPr>
        <w:t>„nicht kausal"</w:t>
      </w:r>
      <w:r>
        <w:rPr>
          <w:rFonts w:ascii="Arial" w:hAnsi="Arial"/>
          <w:b w:val="0"/>
          <w:i w:val="0"/>
          <w:sz w:val="19"/>
        </w:rPr>
        <w:t xml:space="preserve"> mit KI-Nutzung verbindbar, keine empirische Evidenz für Gehaltseinbußen; als politische Reaktion Verweis auf das seit 2020 im </w:t>
      </w:r>
      <w:r>
        <w:rPr>
          <w:rFonts w:ascii="Arial" w:hAnsi="Arial"/>
          <w:b w:val="0"/>
          <w:i/>
          <w:sz w:val="19"/>
        </w:rPr>
        <w:t>Bundesministerium für Arbeit und Soziales</w:t>
      </w:r>
      <w:r>
        <w:rPr>
          <w:rFonts w:ascii="Arial" w:hAnsi="Arial"/>
          <w:b w:val="0"/>
          <w:i w:val="0"/>
          <w:sz w:val="19"/>
        </w:rPr>
        <w:t xml:space="preserve"> geführte </w:t>
      </w:r>
      <w:r>
        <w:rPr>
          <w:rFonts w:ascii="Arial" w:hAnsi="Arial"/>
          <w:b w:val="0"/>
          <w:i/>
          <w:sz w:val="19"/>
        </w:rPr>
        <w:t>Observatorium KI in Arbeit und Gesellschaft</w:t>
      </w:r>
      <w:r>
        <w:rPr>
          <w:rFonts w:ascii="Arial" w:hAnsi="Arial"/>
          <w:b w:val="0"/>
          <w:i w:val="0"/>
          <w:sz w:val="19"/>
        </w:rPr>
        <w:t xml:space="preserve">, das Projekt </w:t>
      </w:r>
      <w:r>
        <w:rPr>
          <w:rFonts w:ascii="Arial" w:hAnsi="Arial"/>
          <w:b w:val="0"/>
          <w:i/>
          <w:sz w:val="19"/>
        </w:rPr>
        <w:t>ai:conomics</w:t>
      </w:r>
      <w:r>
        <w:rPr>
          <w:rFonts w:ascii="Arial" w:hAnsi="Arial"/>
          <w:b w:val="0"/>
          <w:i w:val="0"/>
          <w:sz w:val="19"/>
        </w:rPr>
        <w:t xml:space="preserve"> und eine bis 2030 angestrebte Weiterbildungsquote von 65 Prozent, ohne Adressierung fiskalischer Instrumente (Robotersteuer nach § 2.1, Wertschöpfungsabgabe nach § 5.1, KI-spezifische Ersatzabgabe des Typs 5 nach § 2.1, Staatsfonds-Modell nach § 5.4). Sekundärrezeption: </w:t>
      </w:r>
      <w:r>
        <w:rPr>
          <w:rFonts w:ascii="Arial" w:hAnsi="Arial"/>
          <w:b w:val="0"/>
          <w:i/>
          <w:sz w:val="19"/>
        </w:rPr>
        <w:t>heise online</w:t>
      </w:r>
      <w:r>
        <w:rPr>
          <w:rFonts w:ascii="Arial" w:hAnsi="Arial"/>
          <w:b w:val="0"/>
          <w:i w:val="0"/>
          <w:sz w:val="19"/>
        </w:rPr>
        <w:t xml:space="preserve"> (23. August 2026, Zsolt Wilhelm, </w:t>
      </w:r>
      <w:r>
        <w:rPr>
          <w:rFonts w:ascii="Arial" w:hAnsi="Arial"/>
          <w:b w:val="0"/>
          <w:i/>
          <w:sz w:val="19"/>
        </w:rPr>
        <w:t>„KI am Arbeitsplatz: Bundesregierung sieht keinen systematischen Stellenabbau"</w:t>
      </w:r>
      <w:r>
        <w:rPr>
          <w:rFonts w:ascii="Arial" w:hAnsi="Arial"/>
          <w:b w:val="0"/>
          <w:i w:val="0"/>
          <w:sz w:val="19"/>
        </w:rPr>
        <w:t xml:space="preserve">), </w:t>
      </w:r>
      <w:r>
        <w:rPr>
          <w:rFonts w:ascii="Arial" w:hAnsi="Arial"/>
          <w:b w:val="0"/>
          <w:i/>
          <w:sz w:val="19"/>
        </w:rPr>
        <w:t>callcenterprofi.de</w:t>
      </w:r>
      <w:r>
        <w:rPr>
          <w:rFonts w:ascii="Arial" w:hAnsi="Arial"/>
          <w:b w:val="0"/>
          <w:i w:val="0"/>
          <w:sz w:val="19"/>
        </w:rPr>
        <w:t xml:space="preserve"> (24. August 2026, </w:t>
      </w:r>
      <w:r>
        <w:rPr>
          <w:rFonts w:ascii="Arial" w:hAnsi="Arial"/>
          <w:b w:val="0"/>
          <w:i/>
          <w:sz w:val="19"/>
        </w:rPr>
        <w:t>„Bundesregierung sieht bislang keinen KI-bedingten Beschäftigungsabbau"</w:t>
      </w:r>
      <w:r>
        <w:rPr>
          <w:rFonts w:ascii="Arial" w:hAnsi="Arial"/>
          <w:b w:val="0"/>
          <w:i w:val="0"/>
          <w:sz w:val="19"/>
        </w:rPr>
        <w:t xml:space="preserve">), </w:t>
      </w:r>
      <w:r>
        <w:rPr>
          <w:rFonts w:ascii="Arial" w:hAnsi="Arial"/>
          <w:b w:val="0"/>
          <w:i/>
          <w:sz w:val="19"/>
        </w:rPr>
        <w:t>business-punk.com</w:t>
      </w:r>
      <w:r>
        <w:rPr>
          <w:rFonts w:ascii="Arial" w:hAnsi="Arial"/>
          <w:b w:val="0"/>
          <w:i w:val="0"/>
          <w:sz w:val="19"/>
        </w:rPr>
        <w:t xml:space="preserve"> (August 2026, </w:t>
      </w:r>
      <w:r>
        <w:rPr>
          <w:rFonts w:ascii="Arial" w:hAnsi="Arial"/>
          <w:b w:val="0"/>
          <w:i/>
          <w:sz w:val="19"/>
        </w:rPr>
        <w:t>„KI-Jobangst: Berlin gibt Entwarnung, Zahlen malen ein anderes Bild"</w:t>
      </w:r>
      <w:r>
        <w:rPr>
          <w:rFonts w:ascii="Arial" w:hAnsi="Arial"/>
          <w:b w:val="0"/>
          <w:i w:val="0"/>
          <w:sz w:val="19"/>
        </w:rPr>
        <w:t xml:space="preserve">). Aufnahme in § 4.2 als </w:t>
      </w:r>
      <w:r>
        <w:rPr>
          <w:rFonts w:ascii="Arial" w:hAnsi="Arial"/>
          <w:b w:val="0"/>
          <w:i/>
          <w:sz w:val="19"/>
        </w:rPr>
        <w:t>Aktualisierung (Stand 23. August 2026)</w:t>
      </w:r>
      <w:r>
        <w:rPr>
          <w:rFonts w:ascii="Arial" w:hAnsi="Arial"/>
          <w:b w:val="0"/>
          <w:i w:val="0"/>
          <w:sz w:val="19"/>
        </w:rPr>
        <w:t xml:space="preserve"> mit Rückwirkung auf § 3.5 (Kausalattributions-Kontroverse), § 4.5 (Vergleichspunkt zur US-Sanders-/Casar-Vorlage und zur südkoreanischen Deployer-Beitrags­gesetz­gebung), § 5.1 (Wertschöpfungsabgabe-Debatte in Deutschland), § 8.4 (Systemstabilität, Timing-Asymmetrie) und § 9.1 (Kausalattribution im Verwaltungsvollzug). https://dserver.bundestag.de/btd/21/076/2107620.pdf | https://dserver.bundestag.de/btd/21/074/2107421.pdf | https://www.heise.de/news/KI-am-Arbeitsplatz-Bundesregierung-sieht-keinen-systematischen-Stellenabbau-11423001.html | https://www.callcenterprofi.de/branchennews/detailseite/bundesregierung-sieht-bislang-keinen-ki-bedingten-beschaeftigungsabbau-20268932/ | https://www.business-punk.com/work/ki-jobangst-berlin-gibt-entwarnung-zahlen-malen-ein-anderes-bild/</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val="0"/>
          <w:i w:val="0"/>
          <w:sz w:val="19"/>
        </w:rPr>
        <w:t xml:space="preserve">Broadcom Inc. / Apollo Global Management / Blackstone / Bloomberg / Yahoo Finance / TheNextWeb / CNBC / Dealroom News / Insider Finance / WMBD Radio. (20. August 2026). </w:t>
      </w:r>
      <w:r>
        <w:rPr>
          <w:rFonts w:ascii="Arial" w:hAnsi="Arial"/>
          <w:b w:val="0"/>
          <w:i/>
          <w:sz w:val="19"/>
        </w:rPr>
        <w:t>AI Infrastructure Boom Drives Broadcom's $60 Billion Debt Financing Talks / Broadcom Seeks More Than $60 Billion in Latest AI Debt Deal / Broadcom seeks more than $60bn in debt to fund AI chips for Anthropic / Broadcom's newest debt deal / Broadcom seeks over $60B in debt to bankroll AI chips for Anthropic / Broadcom Debt Financing Negotiations Expand.</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20. August 2026 sondiert </w:t>
      </w:r>
      <w:r>
        <w:rPr>
          <w:rFonts w:ascii="Arial" w:hAnsi="Arial"/>
          <w:b w:val="0"/>
          <w:i/>
          <w:sz w:val="19"/>
        </w:rPr>
        <w:t>Broadcom</w:t>
      </w:r>
      <w:r>
        <w:rPr>
          <w:rFonts w:ascii="Arial" w:hAnsi="Arial"/>
          <w:b w:val="0"/>
          <w:i w:val="0"/>
          <w:sz w:val="19"/>
        </w:rPr>
        <w:t xml:space="preserve"> gemeinsam mit </w:t>
      </w:r>
      <w:r>
        <w:rPr>
          <w:rFonts w:ascii="Arial" w:hAnsi="Arial"/>
          <w:b w:val="0"/>
          <w:i/>
          <w:sz w:val="19"/>
        </w:rPr>
        <w:t>Apollo Global Management</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eine Fremdkapital-Struktur von mehr als 60 Milliarden US-Dollar (rund 30 Milliarden US-Dollar Junior-Debt-Tranche und rund 60–70 Milliarden US-Dollar Senior-Secured-Tranche mit Broadcom-Teilbürgschaft, Gesamtvolumen potenziell bis rund 100 Milliarden US-Dollar) zur Finanzierung von </w:t>
      </w:r>
      <w:r>
        <w:rPr>
          <w:rFonts w:ascii="Arial" w:hAnsi="Arial"/>
          <w:b w:val="0"/>
          <w:i/>
          <w:sz w:val="19"/>
        </w:rPr>
        <w:t>Custom-Silicon</w:t>
      </w:r>
      <w:r>
        <w:rPr>
          <w:rFonts w:ascii="Arial" w:hAnsi="Arial"/>
          <w:b w:val="0"/>
          <w:i w:val="0"/>
          <w:sz w:val="19"/>
        </w:rPr>
        <w:t xml:space="preserve">-Auslieferungen an </w:t>
      </w:r>
      <w:r>
        <w:rPr>
          <w:rFonts w:ascii="Arial" w:hAnsi="Arial"/>
          <w:b w:val="0"/>
          <w:i/>
          <w:sz w:val="19"/>
        </w:rPr>
        <w:t>Anthropic</w:t>
      </w:r>
      <w:r>
        <w:rPr>
          <w:rFonts w:ascii="Arial" w:hAnsi="Arial"/>
          <w:b w:val="0"/>
          <w:i w:val="0"/>
          <w:sz w:val="19"/>
        </w:rPr>
        <w:t xml:space="preserve"> und weitere Frontier-Kunden; sie baut auf einer im Juni 2026 zwischen </w:t>
      </w:r>
      <w:r>
        <w:rPr>
          <w:rFonts w:ascii="Arial" w:hAnsi="Arial"/>
          <w:b w:val="0"/>
          <w:i/>
          <w:sz w:val="19"/>
        </w:rPr>
        <w:t>Broadcom</w:t>
      </w:r>
      <w:r>
        <w:rPr>
          <w:rFonts w:ascii="Arial" w:hAnsi="Arial"/>
          <w:b w:val="0"/>
          <w:i w:val="0"/>
          <w:sz w:val="19"/>
        </w:rPr>
        <w:t xml:space="preserve">, </w:t>
      </w:r>
      <w:r>
        <w:rPr>
          <w:rFonts w:ascii="Arial" w:hAnsi="Arial"/>
          <w:b w:val="0"/>
          <w:i/>
          <w:sz w:val="19"/>
        </w:rPr>
        <w:t>Apollo</w:t>
      </w:r>
      <w:r>
        <w:rPr>
          <w:rFonts w:ascii="Arial" w:hAnsi="Arial"/>
          <w:b w:val="0"/>
          <w:i w:val="0"/>
          <w:sz w:val="19"/>
        </w:rPr>
        <w:t xml:space="preserve"> und </w:t>
      </w:r>
      <w:r>
        <w:rPr>
          <w:rFonts w:ascii="Arial" w:hAnsi="Arial"/>
          <w:b w:val="0"/>
          <w:i/>
          <w:sz w:val="19"/>
        </w:rPr>
        <w:t>Blackstone</w:t>
      </w:r>
      <w:r>
        <w:rPr>
          <w:rFonts w:ascii="Arial" w:hAnsi="Arial"/>
          <w:b w:val="0"/>
          <w:i w:val="0"/>
          <w:sz w:val="19"/>
        </w:rPr>
        <w:t xml:space="preserve"> strukturierten 35-Milliarden-US-Dollar-Erst­finanzierung der Anthropic-Compute-Kapazität (erste Ausbaustufe rund ein Gigawatt, Ziel der Partnerschaft mehr als 20 Gigawatt Compute bis 2028) auf. Aufnahme in § 8.2 als sechste Konstruktion der Compute-Finanzierungs­schicht (Vendor-financed junior/senior debt mit Design­partner als Teilbürge und Rohstoff-Lieferanten); Rückwirkung auf § 4.5 und § 8.3 (Bestandsanknüpfung außerhalb der Anbieter­bilanz). https://www.bloomberg.com/news/articles/2026-08-20/broadcom-seeks-more-than-60-billion-in-latest-ai-debt-deal | https://finance.yahoo.com/technology/ai/articles/broadcom-seeks-more-60-billion-201702584.html | https://thenextweb.com/news/broadcom-60bn-ai-chip-debt-anthropic | https://www.cnbc.com/video/2026/08/21/broadcoms-newest-debt-deal.html | https://dealroom.co/news/146284-broadcom-seeks-over-60b-in-debt-to-bankroll-ai-chips-for-anthropic/ | https://www.insiderfinance.io/news/broadcom-debt-financing-negotiations-expand | https://wmbdradio.com/2026/08/20/broadcom-seeks-more-than-60-billion-in-latest-ai-debt-deal-bloomberg-news-reports/</w:t>
      </w:r>
    </w:p>
    <w:p>
      <w:pPr>
        <w:jc w:val="both"/>
      </w:pPr>
      <w:r>
        <w:rPr>
          <w:rFonts w:ascii="Arial" w:hAnsi="Arial"/>
          <w:b w:val="0"/>
          <w:i w:val="0"/>
          <w:sz w:val="19"/>
        </w:rPr>
        <w:t xml:space="preserve">Anthropic PBC / Bloomberg / Fortune / Quartz / futuresearch / Tech Startups / Digital Applied. (17.–21. August 2026). </w:t>
      </w:r>
      <w:r>
        <w:rPr>
          <w:rFonts w:ascii="Arial" w:hAnsi="Arial"/>
          <w:b w:val="0"/>
          <w:i/>
          <w:sz w:val="19"/>
        </w:rPr>
        <w:t>Anthropic's Annualized Revenue Tops $65 Billion Before IPO / Anthropic investors target $2 trillion IPO valuation in October / Anthropic Revenue and Valuation in 2026 Leading to IPO / Top Tech News Today, August 21, 2026 / Anthropic Files for IPO: What It Means for Claude Users.</w:t>
      </w:r>
      <w:r>
        <w:rPr>
          <w:rFonts w:ascii="Arial" w:hAnsi="Arial"/>
          <w:b w:val="0"/>
          <w:i w:val="0"/>
          <w:sz w:val="19"/>
        </w:rPr>
        <w:t xml:space="preserve"> Nach </w:t>
      </w:r>
      <w:r>
        <w:rPr>
          <w:rFonts w:ascii="Arial" w:hAnsi="Arial"/>
          <w:b w:val="0"/>
          <w:i/>
          <w:sz w:val="19"/>
        </w:rPr>
        <w:t>Bloomberg</w:t>
      </w:r>
      <w:r>
        <w:rPr>
          <w:rFonts w:ascii="Arial" w:hAnsi="Arial"/>
          <w:b w:val="0"/>
          <w:i w:val="0"/>
          <w:sz w:val="19"/>
        </w:rPr>
        <w:t xml:space="preserve">-Berichterstattung vom 17. August 2026 hat </w:t>
      </w:r>
      <w:r>
        <w:rPr>
          <w:rFonts w:ascii="Arial" w:hAnsi="Arial"/>
          <w:b w:val="0"/>
          <w:i/>
          <w:sz w:val="19"/>
        </w:rPr>
        <w:t>Anthropic</w:t>
      </w:r>
      <w:r>
        <w:rPr>
          <w:rFonts w:ascii="Arial" w:hAnsi="Arial"/>
          <w:b w:val="0"/>
          <w:i w:val="0"/>
          <w:sz w:val="19"/>
        </w:rPr>
        <w:t xml:space="preserve"> Ende Juli 2026 eine annualisierte Umsatz-Run-Rate von rund 65 Milliarden US-Dollar erreicht (Q2-2026-Umsatz rund 11,5 Milliarden US-Dollar gegenüber rund 787 Millionen US-Dollar im Vorjahresquartal, erstmals operatives Ergebnis positiv); nach flankierender 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Qz</w:t>
      </w:r>
      <w:r>
        <w:rPr>
          <w:rFonts w:ascii="Arial" w:hAnsi="Arial"/>
          <w:b w:val="0"/>
          <w:i w:val="0"/>
          <w:sz w:val="19"/>
        </w:rPr>
        <w:t xml:space="preserve">, </w:t>
      </w:r>
      <w:r>
        <w:rPr>
          <w:rFonts w:ascii="Arial" w:hAnsi="Arial"/>
          <w:b w:val="0"/>
          <w:i/>
          <w:sz w:val="19"/>
        </w:rPr>
        <w:t>futuresearch</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(21. August 2026) arbeiten die Investoren auf ein Erstlistungsfenster im Oktober 2026 bei einer Zielbewertung von rund 2 Billionen US-Dollar hin, das öffentliche </w:t>
      </w:r>
      <w:r>
        <w:rPr>
          <w:rFonts w:ascii="Arial" w:hAnsi="Arial"/>
          <w:b w:val="0"/>
          <w:i/>
          <w:sz w:val="19"/>
        </w:rPr>
        <w:t>S-1</w:t>
      </w:r>
      <w:r>
        <w:rPr>
          <w:rFonts w:ascii="Arial" w:hAnsi="Arial"/>
          <w:b w:val="0"/>
          <w:i w:val="0"/>
          <w:sz w:val="19"/>
        </w:rPr>
        <w:t>-Prospekt wird gegen Ende August 2026 erwartet (Konjunktivpflicht nach § 4.2 Claude.md). Aufnahme in § 8.2 als Kundenseiten-Bestätigung der sechsten Compute-Finanzierungs­konstruktion und als unmittelbarer Prüfstein der im Papier skizzierten KI-Renten-Debatte (§ 8.3). https://www.bloomberg.com/news/articles/2026-08-17/anthropic-revenue-run-rate-surpasses-65-billion-ahead-of-ipo | https://qz.com/anthropic-ipo-2-trillion-valuation-october-081326 | https://futuresearch.ai/anthropic-financial-forecast/ | https://techstartups.com/2026/08/21/top-tech-news-today-august-21-2026-anthropic-apple-broadcom-google-nvidia-openai-tesla-more/ | https://www.digitalapplied.com/blog/anthropic-ipo-filing-2026-claude-stack-analysis</w:t>
      </w:r>
    </w:p>
    <w:p>
      <w:pPr>
        <w:jc w:val="both"/>
      </w:pPr>
      <w:r>
        <w:rPr>
          <w:rFonts w:ascii="Arial" w:hAnsi="Arial"/>
          <w:b w:val="0"/>
          <w:i w:val="0"/>
          <w:sz w:val="19"/>
        </w:rPr>
        <w:t xml:space="preserve">Vanguard / S&amp;P Global / Morgan Stanley / U.S. Department of the Treasury (Bessent) / Bloomberg / CNBC / Axios / NBC News / Council on Foreign Relations / Forbes / Yahoo Finance / TechTimes. (17. Juli 2026 – 25. August 2026). </w:t>
      </w:r>
      <w:r>
        <w:rPr>
          <w:rFonts w:ascii="Arial" w:hAnsi="Arial"/>
          <w:b w:val="0"/>
          <w:i/>
          <w:sz w:val="19"/>
        </w:rPr>
        <w:t>Bond Investors Push Back As AI Debt Heads Toward $570 Billion / The AI buildout comes to the bond market / US Long Bonds Risk Deeper Selloff Without Clear Warsh Guidance / Bessent moves to curb Treasury yields, putting new pressure on Warsh's Fed / Treasury doubles debt buybacks as Bessent moves to steady bond market / What the Treasury's Buyback Surprise Says About the Bond Market / Warsh Keynote at Jackson Hole: AI Capex Is Breaking His Rate-Hold Case.</w:t>
      </w:r>
      <w:r>
        <w:rPr>
          <w:rFonts w:ascii="Arial" w:hAnsi="Arial"/>
          <w:b w:val="0"/>
          <w:i w:val="0"/>
          <w:sz w:val="19"/>
        </w:rPr>
        <w:t xml:space="preserve"> Belegkette zur makrofinanziellen Verdrängungswirkung der KI-Capex-Finanzierung: (i) </w:t>
      </w:r>
      <w:r>
        <w:rPr>
          <w:rFonts w:ascii="Arial" w:hAnsi="Arial"/>
          <w:b w:val="0"/>
          <w:i/>
          <w:sz w:val="19"/>
        </w:rPr>
        <w:t>Vanguard</w:t>
      </w:r>
      <w:r>
        <w:rPr>
          <w:rFonts w:ascii="Arial" w:hAnsi="Arial"/>
          <w:b w:val="0"/>
          <w:i w:val="0"/>
          <w:sz w:val="19"/>
        </w:rPr>
        <w:t xml:space="preserve"> schätzt das aggregierte KI-Debt-Emissionsvolumen für 2026 auf 300–570 Milliarden US-Dollar (Ökosystem-weit: Hyperscaler, Chip-Hersteller, Rechenzentrumsentwickler, Versorgungsunternehmen); (ii) </w:t>
      </w:r>
      <w:r>
        <w:rPr>
          <w:rFonts w:ascii="Arial" w:hAnsi="Arial"/>
          <w:b w:val="0"/>
          <w:i/>
          <w:sz w:val="19"/>
        </w:rPr>
        <w:t>S&amp;P Global</w:t>
      </w:r>
      <w:r>
        <w:rPr>
          <w:rFonts w:ascii="Arial" w:hAnsi="Arial"/>
          <w:b w:val="0"/>
          <w:i w:val="0"/>
          <w:sz w:val="19"/>
        </w:rPr>
        <w:t xml:space="preserve"> zählt bis Mitte 2026 rund 225 Milliarden US-Dollar an KI-bezogenen Bonds (rund zehnfache Steigerung gegenüber dem Vorjahres­zeitraum); (iii) </w:t>
      </w:r>
      <w:r>
        <w:rPr>
          <w:rFonts w:ascii="Arial" w:hAnsi="Arial"/>
          <w:b w:val="0"/>
          <w:i/>
          <w:sz w:val="19"/>
        </w:rPr>
        <w:t>Bloomberg</w:t>
      </w:r>
      <w:r>
        <w:rPr>
          <w:rFonts w:ascii="Arial" w:hAnsi="Arial"/>
          <w:b w:val="0"/>
          <w:i w:val="0"/>
          <w:sz w:val="19"/>
        </w:rPr>
        <w:t xml:space="preserve"> verzeichnet bei den fünf US-Hyperscalern </w:t>
      </w:r>
      <w:r>
        <w:rPr>
          <w:rFonts w:ascii="Arial" w:hAnsi="Arial"/>
          <w:b w:val="0"/>
          <w:i/>
          <w:sz w:val="19"/>
        </w:rPr>
        <w:t>Alphabet</w:t>
      </w:r>
      <w:r>
        <w:rPr>
          <w:rFonts w:ascii="Arial" w:hAnsi="Arial"/>
          <w:b w:val="0"/>
          <w:i w:val="0"/>
          <w:sz w:val="19"/>
        </w:rPr>
        <w:t xml:space="preserve">, </w:t>
      </w:r>
      <w:r>
        <w:rPr>
          <w:rFonts w:ascii="Arial" w:hAnsi="Arial"/>
          <w:b w:val="0"/>
          <w:i/>
          <w:sz w:val="19"/>
        </w:rPr>
        <w:t>Amazon</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rund 132 Milliarden US-Dollar Bond-Emission bis 31. Juli 2026 gegenüber einem Jahres­durchschnitt von rund 35 Milliarden US-Dollar in den Vorjahren, darunter ein Multitranchen-Angebot in Höhe von rund 53 Milliarden US-Dollar sowie ein „Century-Bond" mit hundertjähriger Laufzeit; (iv) </w:t>
      </w:r>
      <w:r>
        <w:rPr>
          <w:rFonts w:ascii="Arial" w:hAnsi="Arial"/>
          <w:b w:val="0"/>
          <w:i/>
          <w:sz w:val="19"/>
        </w:rPr>
        <w:t>Morgan Stanley</w:t>
      </w:r>
      <w:r>
        <w:rPr>
          <w:rFonts w:ascii="Arial" w:hAnsi="Arial"/>
          <w:b w:val="0"/>
          <w:i w:val="0"/>
          <w:sz w:val="19"/>
        </w:rPr>
        <w:t xml:space="preserve"> leitet nach </w:t>
      </w:r>
      <w:r>
        <w:rPr>
          <w:rFonts w:ascii="Arial" w:hAnsi="Arial"/>
          <w:b w:val="0"/>
          <w:i/>
          <w:sz w:val="19"/>
        </w:rPr>
        <w:t>Forbes</w:t>
      </w:r>
      <w:r>
        <w:rPr>
          <w:rFonts w:ascii="Arial" w:hAnsi="Arial"/>
          <w:b w:val="0"/>
          <w:i w:val="0"/>
          <w:sz w:val="19"/>
        </w:rPr>
        <w:t xml:space="preserve">-Rezeption vom 17. Juli 2026 aus 570 Milliarden US-Dollar globalem KI-Debt-Volumen eine Finanzierungslücke von rund 1,5 Billionen US-Dollar zwischen erforderlichen Rechenzentrums­investitionen (~2,9 Billionen US-Dollar bis 2028) und dem verfügbaren Konzern-Cashflow (~1,4 Billionen US-Dollar) ab; (v) am 19. August 2026 kündigt US-Finanzminister </w:t>
      </w:r>
      <w:r>
        <w:rPr>
          <w:rFonts w:ascii="Arial" w:hAnsi="Arial"/>
          <w:b w:val="0"/>
          <w:i/>
          <w:sz w:val="19"/>
        </w:rPr>
        <w:t>Scott Bessent</w:t>
      </w:r>
      <w:r>
        <w:rPr>
          <w:rFonts w:ascii="Arial" w:hAnsi="Arial"/>
          <w:b w:val="0"/>
          <w:i w:val="0"/>
          <w:sz w:val="19"/>
        </w:rPr>
        <w:t xml:space="preserve"> eine Verdopplung des Long-Bond-Buyback-Volumens von 2 auf 4 Milliarden US-Dollar pro Operation zwischen 9. September und 4. November 2026 an, nachdem die dreißigjährige US-Treasury-Rendite zeitweise den höchsten Stand seit 2007 erreicht hatte; (vi) </w:t>
      </w:r>
      <w:r>
        <w:rPr>
          <w:rFonts w:ascii="Arial" w:hAnsi="Arial"/>
          <w:b w:val="0"/>
          <w:i/>
          <w:sz w:val="19"/>
        </w:rPr>
        <w:t>Bloomberg</w:t>
      </w:r>
      <w:r>
        <w:rPr>
          <w:rFonts w:ascii="Arial" w:hAnsi="Arial"/>
          <w:b w:val="0"/>
          <w:i w:val="0"/>
          <w:sz w:val="19"/>
        </w:rPr>
        <w:t xml:space="preserve">-Vorbericht vom 23. August 2026 und </w:t>
      </w:r>
      <w:r>
        <w:rPr>
          <w:rFonts w:ascii="Arial" w:hAnsi="Arial"/>
          <w:b w:val="0"/>
          <w:i/>
          <w:sz w:val="19"/>
        </w:rPr>
        <w:t>TechTimes</w:t>
      </w:r>
      <w:r>
        <w:rPr>
          <w:rFonts w:ascii="Arial" w:hAnsi="Arial"/>
          <w:b w:val="0"/>
          <w:i w:val="0"/>
          <w:sz w:val="19"/>
        </w:rPr>
        <w:t xml:space="preserve">-Analyse vom 25. August 2026 bereiten die Jackson-Hole-Keynote von </w:t>
      </w:r>
      <w:r>
        <w:rPr>
          <w:rFonts w:ascii="Arial" w:hAnsi="Arial"/>
          <w:b w:val="0"/>
          <w:i/>
          <w:sz w:val="19"/>
        </w:rPr>
        <w:t>Fed</w:t>
      </w:r>
      <w:r>
        <w:rPr>
          <w:rFonts w:ascii="Arial" w:hAnsi="Arial"/>
          <w:b w:val="0"/>
          <w:i w:val="0"/>
          <w:sz w:val="19"/>
        </w:rPr>
        <w:t xml:space="preserve">-Chair </w:t>
      </w:r>
      <w:r>
        <w:rPr>
          <w:rFonts w:ascii="Arial" w:hAnsi="Arial"/>
          <w:b w:val="0"/>
          <w:i/>
          <w:sz w:val="19"/>
        </w:rPr>
        <w:t>Kevin Warsh</w:t>
      </w:r>
      <w:r>
        <w:rPr>
          <w:rFonts w:ascii="Arial" w:hAnsi="Arial"/>
          <w:b w:val="0"/>
          <w:i w:val="0"/>
          <w:sz w:val="19"/>
        </w:rPr>
        <w:t xml:space="preserve"> am 28. August 2026 als Prüfstein einer disinflationären KI-Produktivitätsthese gegen die kurzfristig zinserhöhende Bondmarkt-Verwerfung durch KI-Capex vor (interne Fed-Dissenz auf einem Niveau, das die </w:t>
      </w:r>
      <w:r>
        <w:rPr>
          <w:rFonts w:ascii="Arial" w:hAnsi="Arial"/>
          <w:b w:val="0"/>
          <w:i/>
          <w:sz w:val="19"/>
        </w:rPr>
        <w:t>Federal Reserve</w:t>
      </w:r>
      <w:r>
        <w:rPr>
          <w:rFonts w:ascii="Arial" w:hAnsi="Arial"/>
          <w:b w:val="0"/>
          <w:i w:val="0"/>
          <w:sz w:val="19"/>
        </w:rPr>
        <w:t xml:space="preserve"> seit 2016 nicht mehr gesehen hat). Aufnahme in § 8.2 als siebte Konstruktion der Compute-Finanzierungs­schicht (aggregierte makrofinanzielle Verdrängungswirkung); Rückwirkung auf § 8.3 (KI-Renten-Volumen berührt Fiskal- und Geldpolitik), § 8.4 (Systemstabilität durch Kopplung KI-Capex/Zinskurve) und § 4.5 (Volatilitätsquelle für bestands­orientierte Sanders-Zugriffslogik). https://corporate.vanguard.com/content/corporatesite/us/en/corp/vemo/ai-buildout-comes-to-bond-market.html | https://www.forbes.com/sites/robertszczerba/2026/07/17/bond-investors-push-back-as-ai-debt-heads-toward-570-billion/ | https://www.bloomberg.com/news/articles/2026-08-23/us-long-bonds-risk-deeper-selloff-without-clear-warsh-guidance | https://finance.yahoo.com/economy/policy/articles/us-long-bonds-risk-deeper-193000359.html | https://www.cnbc.com/2026/08/19/bessent-treasury-buybacks-yields-warsh-fed.html | https://www.cnbc.com/2026/08/19/treasury-announces-upscaled-buyback-operation-for-longer-term-debt-sending-yields-lower.html | https://www.axios.com/2026/08/19/rates-treasury-borrowing-bessent | https://www.nbcnews.com/business/economy/bonds-bessent-treasury-debt-repurchase-rcna593319 | https://www.cfr.org/articles/what-the-treasurys-buyback-surprise-says-about-the-bond-market | https://www.techtimes.com/articles/325518/20260825/warsh-keynote-jackson-hole-ai-capex-breaking-his-rate-hold-case.htm</w:t>
      </w:r>
    </w:p>
    <w:p>
      <w:pPr>
        <w:jc w:val="both"/>
      </w:pPr>
      <w:r>
        <w:rPr>
          <w:rFonts w:ascii="Arial" w:hAnsi="Arial"/>
          <w:b w:val="0"/>
          <w:i w:val="0"/>
          <w:sz w:val="19"/>
        </w:rPr>
        <w:t xml:space="preserve">Ma, M. (S.) / The Conversation / Naked Capitalism / TechXplore / Dataconomy / Fast Company / Digital Information World / The Times Weekly / Capital / United for Equity. (12./13. August 2026). </w:t>
      </w:r>
      <w:r>
        <w:rPr>
          <w:rFonts w:ascii="Arial" w:hAnsi="Arial"/>
          <w:b w:val="0"/>
          <w:i/>
          <w:sz w:val="19"/>
        </w:rPr>
        <w:t>Layoffs tied to AI hurt worker productivity — and the reason may surprise managers / AI-driven Layoffs Are Failing To Deliver Productivity Gains / The surprising reason AI layoffs hurt worker productivity.</w:t>
      </w:r>
      <w:r>
        <w:rPr>
          <w:rFonts w:ascii="Arial" w:hAnsi="Arial"/>
          <w:b w:val="0"/>
          <w:i w:val="0"/>
          <w:sz w:val="19"/>
        </w:rPr>
        <w:t xml:space="preserve"> Am 12. August 2026 in </w:t>
      </w:r>
      <w:r>
        <w:rPr>
          <w:rFonts w:ascii="Arial" w:hAnsi="Arial"/>
          <w:b w:val="0"/>
          <w:i/>
          <w:sz w:val="19"/>
        </w:rPr>
        <w:t>The Conversation</w:t>
      </w:r>
      <w:r>
        <w:rPr>
          <w:rFonts w:ascii="Arial" w:hAnsi="Arial"/>
          <w:b w:val="0"/>
          <w:i w:val="0"/>
          <w:sz w:val="19"/>
        </w:rPr>
        <w:t xml:space="preserve"> durch Mark (Shuai) Ma, Associate Professor of Business Administration an der Katz Graduate School of Business der University of Pittsburgh, publizierte populärwissenschaftliche Auslegung des eigenen SSRN-Working-Papers </w:t>
      </w:r>
      <w:r>
        <w:rPr>
          <w:rFonts w:ascii="Arial" w:hAnsi="Arial"/>
          <w:b w:val="0"/>
          <w:i/>
          <w:sz w:val="19"/>
        </w:rPr>
        <w:t>Ding, Ma, Wu &amp; Yang</w:t>
      </w:r>
      <w:r>
        <w:rPr>
          <w:rFonts w:ascii="Arial" w:hAnsi="Arial"/>
          <w:b w:val="0"/>
          <w:i w:val="0"/>
          <w:sz w:val="19"/>
        </w:rPr>
        <w:t xml:space="preserve"> (26. April 2026, SSRN 6652799); Kernaussage: KI-attribuierte Layoffs beschädigen das Mitarbeiter-KI-Sentiment und damit systematisch jene firm-produktivität, die durch KI-Adoption realisiert werden soll — Rückgriff auf eine Atlanta-Fed-Erhebung (rund 90 % der Führungskräfte sehen bislang keine messbaren KI-Produktivitätsgewinne im eigenen Haus), eine Reuters/Ipsos-Umfrage (rund 50 % der US-Amerikanerinnen und -Amerikaner fürchten KI-bedingte Arbeitsplatzverluste im eigenen Haushalt) und eine durchschnittliche Börsenrendite nahe null bei KI-Layoff-Ankündigungen; breite Wiederaufnahme durch </w:t>
      </w:r>
      <w:r>
        <w:rPr>
          <w:rFonts w:ascii="Arial" w:hAnsi="Arial"/>
          <w:b w:val="0"/>
          <w:i/>
          <w:sz w:val="19"/>
        </w:rPr>
        <w:t>Naked Capitalism</w:t>
      </w:r>
      <w:r>
        <w:rPr>
          <w:rFonts w:ascii="Arial" w:hAnsi="Arial"/>
          <w:b w:val="0"/>
          <w:i w:val="0"/>
          <w:sz w:val="19"/>
        </w:rPr>
        <w:t xml:space="preserve"> (12. August 2026), </w:t>
      </w:r>
      <w:r>
        <w:rPr>
          <w:rFonts w:ascii="Arial" w:hAnsi="Arial"/>
          <w:b w:val="0"/>
          <w:i/>
          <w:sz w:val="19"/>
        </w:rPr>
        <w:t>TechXplore</w:t>
      </w:r>
      <w:r>
        <w:rPr>
          <w:rFonts w:ascii="Arial" w:hAnsi="Arial"/>
          <w:b w:val="0"/>
          <w:i w:val="0"/>
          <w:sz w:val="19"/>
        </w:rPr>
        <w:t xml:space="preserve">, </w:t>
      </w:r>
      <w:r>
        <w:rPr>
          <w:rFonts w:ascii="Arial" w:hAnsi="Arial"/>
          <w:b w:val="0"/>
          <w:i/>
          <w:sz w:val="19"/>
        </w:rPr>
        <w:t>Dataconomy</w:t>
      </w:r>
      <w:r>
        <w:rPr>
          <w:rFonts w:ascii="Arial" w:hAnsi="Arial"/>
          <w:b w:val="0"/>
          <w:i w:val="0"/>
          <w:sz w:val="19"/>
        </w:rPr>
        <w:t xml:space="preserve"> (13. August 2026, „AI-driven Layoffs Are Failing To Deliver Productivity Gains"), </w:t>
      </w:r>
      <w:r>
        <w:rPr>
          <w:rFonts w:ascii="Arial" w:hAnsi="Arial"/>
          <w:b w:val="0"/>
          <w:i/>
          <w:sz w:val="19"/>
        </w:rPr>
        <w:t>Fast Company</w:t>
      </w:r>
      <w:r>
        <w:rPr>
          <w:rFonts w:ascii="Arial" w:hAnsi="Arial"/>
          <w:b w:val="0"/>
          <w:i w:val="0"/>
          <w:sz w:val="19"/>
        </w:rPr>
        <w:t xml:space="preserve">, </w:t>
      </w:r>
      <w:r>
        <w:rPr>
          <w:rFonts w:ascii="Arial" w:hAnsi="Arial"/>
          <w:b w:val="0"/>
          <w:i/>
          <w:sz w:val="19"/>
        </w:rPr>
        <w:t>Digital Information World</w:t>
      </w:r>
      <w:r>
        <w:rPr>
          <w:rFonts w:ascii="Arial" w:hAnsi="Arial"/>
          <w:b w:val="0"/>
          <w:i w:val="0"/>
          <w:sz w:val="19"/>
        </w:rPr>
        <w:t xml:space="preserve">, </w:t>
      </w:r>
      <w:r>
        <w:rPr>
          <w:rFonts w:ascii="Arial" w:hAnsi="Arial"/>
          <w:b w:val="0"/>
          <w:i/>
          <w:sz w:val="19"/>
        </w:rPr>
        <w:t>The Times Weekly</w:t>
      </w:r>
      <w:r>
        <w:rPr>
          <w:rFonts w:ascii="Arial" w:hAnsi="Arial"/>
          <w:b w:val="0"/>
          <w:i w:val="0"/>
          <w:sz w:val="19"/>
        </w:rPr>
        <w:t xml:space="preserve">, </w:t>
      </w:r>
      <w:r>
        <w:rPr>
          <w:rFonts w:ascii="Arial" w:hAnsi="Arial"/>
          <w:b w:val="0"/>
          <w:i/>
          <w:sz w:val="19"/>
        </w:rPr>
        <w:t>Capital</w:t>
      </w:r>
      <w:r>
        <w:rPr>
          <w:rFonts w:ascii="Arial" w:hAnsi="Arial"/>
          <w:b w:val="0"/>
          <w:i w:val="0"/>
          <w:sz w:val="19"/>
        </w:rPr>
        <w:t xml:space="preserve"> (Mauritius), </w:t>
      </w:r>
      <w:r>
        <w:rPr>
          <w:rFonts w:ascii="Arial" w:hAnsi="Arial"/>
          <w:b w:val="0"/>
          <w:i/>
          <w:sz w:val="19"/>
        </w:rPr>
        <w:t>United for Equity</w:t>
      </w:r>
      <w:r>
        <w:rPr>
          <w:rFonts w:ascii="Arial" w:hAnsi="Arial"/>
          <w:b w:val="0"/>
          <w:i w:val="0"/>
          <w:sz w:val="19"/>
        </w:rPr>
        <w:t xml:space="preserve">. Aufnahme in § 3.5 als Sentiment-Sabotage-Kanal komplementär zur </w:t>
      </w:r>
      <w:r>
        <w:rPr>
          <w:rFonts w:ascii="Arial" w:hAnsi="Arial"/>
          <w:b w:val="0"/>
          <w:i/>
          <w:sz w:val="19"/>
        </w:rPr>
        <w:t>„jagged capability"</w:t>
      </w:r>
      <w:r>
        <w:rPr>
          <w:rFonts w:ascii="Arial" w:hAnsi="Arial"/>
          <w:b w:val="0"/>
          <w:i w:val="0"/>
          <w:sz w:val="19"/>
        </w:rPr>
        <w:t>-Auslegung (McCrory 22. Juli 2026); Rückwirkung auf § 8.4 (Systemstabilität) und § 9.1 (Kausalattributions­problematik einer engen Typ-5-Ersatzabgabe). https://theconversation.com/layoffs-tied-to-ai-hurt-worker-productivity-and-the-reason-may-surprise-managers-286749 | https://www.nakedcapitalism.com/2026/08/layoffs-tied-to-ai-hurt-worker-productivity-and-the-reason-may-surprise-managers.html | https://techxplore.com/news/2026-08-layoffs-ai-worker-productivity.html | https://dataconomy.com/2026/08/13/ai-driven-layoffs-undermine-productivity/ | https://www.fastcompany.com/91589194/surprising-reason-ai-layoffs-hurt-worker-productivity | https://www.digitalinformationworld.com/2026/08/layoffs-tied-to-ai-hurt-worker.html | https://thetimesweekly.com/2026/08/layoffs-tied-to-ai-hurt-worker-productivity-and-the-reason-may-surprise-managers/ | https://www.capital-media.mu/2026/08/layoffs-tied-to-ai-hurt-worker-productivity-and-the-reason-may-surprise-managers/</w:t>
      </w:r>
    </w:p>
    <w:p>
      <w:pPr>
        <w:jc w:val="both"/>
      </w:pPr>
      <w:r>
        <w:rPr>
          <w:rFonts w:ascii="Arial" w:hAnsi="Arial"/>
          <w:b/>
          <w:i w:val="0"/>
          <w:sz w:val="19"/>
        </w:rPr>
        <w:t>Hinweis zur Aktualität:</w:t>
      </w:r>
      <w:r>
        <w:rPr>
          <w:rFonts w:ascii="Arial" w:hAnsi="Arial"/>
          <w:b w:val="0"/>
          <w:i w:val="0"/>
          <w:sz w:val="19"/>
        </w:rPr>
        <w:t xml:space="preserve"> Dieses Arbeitspapier gibt den Stand Ende August 2026 (Schnitt am 28. August 2026 — Lauf 001 vom 28. August 2026, Version 77.0)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xml:space="preserve">; Zuteilungsquote rund 0,018 Prozent, Gesamtemissionsvolumen rund 900 Millionen US-Dollar; Konjunktivpflicht nach § 4.2 Claude.md, Angaben anbieter-/emittentenseitig). Der Lauf am 21. August 2026 (Version 70.0 → 71.0) ergänzt eine explizite Kohorten-Dimension der KI-Wirkung in § 3.5: (a) der </w:t>
      </w:r>
      <w:r>
        <w:rPr>
          <w:rFonts w:ascii="Arial" w:hAnsi="Arial"/>
          <w:b w:val="0"/>
          <w:i/>
          <w:sz w:val="19"/>
        </w:rPr>
        <w:t>Goldman-Sachs</w:t>
      </w:r>
      <w:r>
        <w:rPr>
          <w:rFonts w:ascii="Arial" w:hAnsi="Arial"/>
          <w:b w:val="0"/>
          <w:i w:val="0"/>
          <w:sz w:val="19"/>
        </w:rPr>
        <w:t>-</w:t>
      </w:r>
      <w:r>
        <w:rPr>
          <w:rFonts w:ascii="Arial" w:hAnsi="Arial"/>
          <w:b w:val="0"/>
          <w:i/>
          <w:sz w:val="19"/>
        </w:rPr>
        <w:t>Global-Economics-Comment „Is AI Impacting Global Labor Markets?"</w:t>
      </w:r>
      <w:r>
        <w:rPr>
          <w:rFonts w:ascii="Arial" w:hAnsi="Arial"/>
          <w:b w:val="0"/>
          <w:i w:val="0"/>
          <w:sz w:val="19"/>
        </w:rPr>
        <w:t xml:space="preserve"> vom 19. August 2026 (Briggs/Hatzius et al.) über mehr als 800 Berufe in Industrieländern (Beschäftigungslücke Berufseinsteiger mehr als dreifach gegenüber breitem Arbeitsmarkt; Call-Center-Untertrend USA rund 39 %, Kanada rund 33 %, Deutschland rund 27 %) — Neueintrag in § 11.1; (b) der </w:t>
      </w:r>
      <w:r>
        <w:rPr>
          <w:rFonts w:ascii="Arial" w:hAnsi="Arial"/>
          <w:b w:val="0"/>
          <w:i/>
          <w:sz w:val="19"/>
        </w:rPr>
        <w:t>Bank-of-Korea</w:t>
      </w:r>
      <w:r>
        <w:rPr>
          <w:rFonts w:ascii="Arial" w:hAnsi="Arial"/>
          <w:b w:val="0"/>
          <w:i w:val="0"/>
          <w:sz w:val="19"/>
        </w:rPr>
        <w:t>-Forschungsbeitrag vom 18. August 2026 (Oh Sam-il) zur Kohorte 15–29: rund 268.000 von 285.000 Netto-Jugendbeschäftigungsverlusten in KI-exponierten Sektoren (rund 94 %) bei zugleich rund 173.000 Netto-Zugewinn in KI-nahen Branchen für die Über-50-Jährigen — Neueintrag in § 11.1 mit Rückwirkung auf § 6.1, § 8.3 (Teilhabefrage) und § 8.4 (Systemstabilität).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77.0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