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45.0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w:t>
      </w:r>
      <w:r>
        <w:rPr>
          <w:rFonts w:ascii="Arial" w:hAnsi="Arial"/>
          <w:b w:val="0"/>
          <w:i/>
          <w:sz w:val="19"/>
        </w:rPr>
        <w:t>Mai-2026-Job-Cuts-Report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(2. Juni 2026) zeigt eine erneute Beschleunigung: 97.006 US-Streichungen im Mai (+16 % gegenüber April; höchster Mai-Wert seit 2020), KI-bezogen 38.579 — 40 % aller Mai-Streichungen und der bislang höchste Monatswert seit Beginn der Kategorisierung 2023; Tech mit 38.242 Streichungen erreicht den höchsten Monatswert seit August 2024, YTD-KI liegt bei 87.714 (22 % aller 2026-Streichungspläne). Der Folge-Report für Juni 2026 (2. Juli 2026) meldet demgegenüber einen deutlichen Rückgang auf 45.849 Streichungen (−53 % gegenüber Mai; −4 % gegenüber Juni 2025); KI bleibt vierten Monat in Folge führender Einzelgrund mit 14.029 Streichungen (31 % des Monatsvolumens), YTD-KI kumuliert auf 101.743 (rund 23 % aller im Jahr 2026 angekündigten Streichungen) und übersteigt damit die Gesamtjahres­summe 2025 (54.836) im ersten Halbjahr um rund 86 %. Am 2. Juli 2026 hat </w:t>
      </w:r>
      <w:r>
        <w:rPr>
          <w:rFonts w:ascii="Arial" w:hAnsi="Arial"/>
          <w:b w:val="0"/>
          <w:i/>
          <w:sz w:val="19"/>
        </w:rPr>
        <w:t>Microsoft</w:t>
      </w:r>
      <w:r>
        <w:rPr>
          <w:rFonts w:ascii="Arial" w:hAnsi="Arial"/>
          <w:b w:val="0"/>
          <w:i w:val="0"/>
          <w:sz w:val="19"/>
        </w:rPr>
        <w:t xml:space="preserve"> parallel zum Start seines Geschäftsjahres 2026 rund 9.000 zusätzliche Stellenstreichungen bekanntgegeben (weniger als 4 % der weltweiten Belegschaft) und damit den seit 2023 verstetigten Fiskaljahres-Restrukturierungspfad fortgesetzt; die Reduktion trifft Sales-, Consulting- und Xbox-Bereiche und fällt nach Konzernangaben geringer aus als die rund 9.000 Streichungen des Vorjahres, weil rund ein Drittel der zum 2. Juli 2026 fälligen </w:t>
      </w:r>
      <w:r>
        <w:rPr>
          <w:rFonts w:ascii="Arial" w:hAnsi="Arial"/>
          <w:b w:val="0"/>
          <w:i/>
          <w:sz w:val="19"/>
        </w:rPr>
        <w:t>Voluntary Retirement Separation Agreements</w:t>
      </w:r>
      <w:r>
        <w:rPr>
          <w:rFonts w:ascii="Arial" w:hAnsi="Arial"/>
          <w:b w:val="0"/>
          <w:i w:val="0"/>
          <w:sz w:val="19"/>
        </w:rPr>
        <w:t xml:space="preserve"> (VRSAR) aus dem am 7. Mai 2026 angebotenen Buyout-Programm angenommen wurde und einen entsprechenden Teil der geplanten Reduktion vorwegnahm. Anfang Juli 2026 präzisieren Finanzmedien (TechRepublic, Yahoo Finance) die reine Layoff-Komponente jenseits der bereits abgeschlossenen VRSAR-Austritte auf voraussichtlich weniger als 5.500 Beschäftigte beziehungsweise unter 2,5 % der weltweiten Belegschaft; die Größenordnung ist damit erkennbar niedriger als die aggregierte 9.000-Zahl, weil die VRSAR-Annahmen den Layoff-Bedarf bereits vorwegnahmen. Am 6. Juli 2026 hat Microsoft die eigentliche Layoff-Runde konkret angekündigt: rund 4.800 unmittelbare Streichungen (2,1 % der weltweiten Belegschaft von rund 220.000), darunter etwa 1.600 in der Xbox-Sparte und rund 600 im US-Bundesstaat Washington; nach Konzernangaben summieren sich die Xbox-Reduktionen im laufenden Fiskaljahr auf rund 3.200 Stellen (etwa 20 % der globalen Xbox-Belegschaft), und vier Gaming-Studios werden aus dem Microsoft-Verbund ausgegliedert (CNBC, GeekWire, NBC News, Thurrott). Die Konzernkommunikation ordnet den Schritt in einen breiteren strukturellen Umbau ein („AI is changing how work gets done"), betont aber, die betroffenen Rollen würden „not being replaced by AI" — eine Formulierung, die die in § 9.1 diskutierte Kausalattributionsproblematik der Typ-5-Ersatzabgabe erneut illustriert. Zugleich bestätigt Microsoft die tatsächliche Annahmequote des VRSAR-Programms mit rund 30 % der etwa 8.750 angebotsberechtigten US-Beschäftigten und damit die zuvor als „rund ein Drittel" referierte Vorwegnahme. Ergänzend legen Yahoo Finance und GeekWire (1. Juli 2026) den geschäftlichen Kontext der Xbox-Komponente offen: Ein internes Memo der Xbox-CEO Asha Sharma und des Content-Chiefs Matt Booty beziffert die Gaming-Bilanz auf über 20 Milliarden US-Dollar Investitionen in Content, Plattform und Hardware-Subventionen über fünf Jahre bei zugleich rückläufiger Umsatzentwicklung — im letzten Quartal (März 2026) Gaming-Umsatz −7 % auf 5,3 Milliarden US-Dollar, Hardware-Verkäufe −33 %, Content und Services −5 %; das Memo formuliert, das Geschäft „kann so nicht weitergeführt werden" und begründet damit die Xbox-Anteile am Fiskaljahresstart-Layoff als strategisch angetriebene Restrukturierung, nicht als reine KI-Substitution. Für die Steuerdebatte unterstreicht der Xbox-Fall damit erneut die in § 9.1 diskutierte Kausalattributionsproblematik einer Typ-5-Ersatzabgabe, weil auch innerhalb desselben Konzerns die Verdrängungs- und die Austerity-Logik ineinandergreifen. Zur weiteren Einordnung schreibt </w:t>
      </w:r>
      <w:r>
        <w:rPr>
          <w:rFonts w:ascii="Arial" w:hAnsi="Arial"/>
          <w:b w:val="0"/>
          <w:i/>
          <w:sz w:val="19"/>
        </w:rPr>
        <w:t>SkillSyncer</w:t>
      </w:r>
      <w:r>
        <w:rPr>
          <w:rFonts w:ascii="Arial" w:hAnsi="Arial"/>
          <w:b w:val="0"/>
          <w:i w:val="0"/>
          <w:sz w:val="19"/>
        </w:rPr>
        <w:t xml:space="preserve"> seinen Layoff-Tracker zum 5. Juli 2026 auf 185.894 betroffene Beschäftigte aus 267 Layoff-Ereignissen fort (rund 999 Stellen pro Tag; +58.483 gegenüber dem 8. Mai 2026) und dokumentiert zum 9. Juli 2026 erstmals eine explizite Aggregat-Kausalzuschreibung: 150 der 267 Layoff-Ereignisse (56 %) mit rund 156.270 betroffenen Beschäftigten (etwa 84 % der Tracker-Gesamtsumme) werden vom Tracker als KI- oder Automatisierungs­getrieben klassifiziert — die erstmals im Verlauf der Trackerbeobachtung veröffentlichte KI-Kausalquote reduziert das in § 9.1 dokumentierte Attributions­problem auf der Aggregat-Ebene teilweise, bleibt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Eine erneute Fortschreibung zum 19. Juli 2026 hebt den </w:t>
      </w:r>
      <w:r>
        <w:rPr>
          <w:rFonts w:ascii="Arial" w:hAnsi="Arial"/>
          <w:b w:val="0"/>
          <w:i/>
          <w:sz w:val="19"/>
        </w:rPr>
        <w:t>SkillSyncer</w:t>
      </w:r>
      <w:r>
        <w:rPr>
          <w:rFonts w:ascii="Arial" w:hAnsi="Arial"/>
          <w:b w:val="0"/>
          <w:i w:val="0"/>
          <w:sz w:val="19"/>
        </w:rPr>
        <w:t xml:space="preserve">-Stand auf 302 Layoff-Ereignisse mit 201.754 betroffenen Beschäftigten (rund 1.024 Stellen pro Tag; +35 Ereignisse und +15.860 Personen gegenüber dem 9. Juli 2026) und weist zugleich 164 KI-attribuierte Einzelereignisse mit rund 168.770 betroffenen Beschäftigten aus — die Aggregat-KI-Kausalquote sinkt damit tendenziell von 56 auf 54 %, während die Zahl der KI-attribuierten Betroffenen von 156.270 auf 168.770 steigt; die Fortschreibung bestätigt die Beobachtung, dass die 54-%-Quote inzwischen als stabile obere Grenze der Aggregat-Attribution durch den Tracker anzusehen ist, ohne die in § 9.1 dokumentierten Attribuierungs­grenzen aufzulösen. Die nochmalige Aktualisierung zum 22. Juli 2026 hebt den </w:t>
      </w:r>
      <w:r>
        <w:rPr>
          <w:rFonts w:ascii="Arial" w:hAnsi="Arial"/>
          <w:b w:val="0"/>
          <w:i/>
          <w:sz w:val="19"/>
        </w:rPr>
        <w:t>SkillSyncer</w:t>
      </w:r>
      <w:r>
        <w:rPr>
          <w:rFonts w:ascii="Arial" w:hAnsi="Arial"/>
          <w:b w:val="0"/>
          <w:i w:val="0"/>
          <w:sz w:val="19"/>
        </w:rPr>
        <w:t xml:space="preserve">-Stand auf 322 Layoff-Ereignisse mit 205.832 betroffenen Beschäftigten (rund 1.014 Stellen pro Tag; +20 Ereignisse und +4.078 Personen gegenüber dem 19. Juli 2026) und weist 173 KI-attribuierte Einzelereignisse mit rund 170.945 betroffenen Beschäftigten aus — die Aggregat-KI-Kausalquote bleibt stabil bei 54 %, die absolute Zahl KI-attribuierter Ereignisse steigt um neun (+5,5 %), die Zahl KI-attribuierter Betroffener um 2.175 (+1,3 %); die Fortschreibung untermauert die stabile Position der 54-%-Quote als obere Aggregat-Attributionsgrenze und dokumentiert eine gleichmäßige, nicht sprunghafte Weiterrollung der Trackerbasis um rund 700 Stellen pro Tag im 72-Stunden-Fenster. Am 22. Juli 2026 verdichten zwei parallele Ankündigungen aus Cluster F die Trackerbasis um zwei substanziell KI-getriebene Einzelereignisse: Nach Berichterstattung von GeekWire, KUOW, Fox Business, Fox13 Seattle und Business Insider hat </w:t>
      </w:r>
      <w:r>
        <w:rPr>
          <w:rFonts w:ascii="Arial" w:hAnsi="Arial"/>
          <w:b w:val="0"/>
          <w:i/>
          <w:sz w:val="19"/>
        </w:rPr>
        <w:t>Meta</w:t>
      </w:r>
      <w:r>
        <w:rPr>
          <w:rFonts w:ascii="Arial" w:hAnsi="Arial"/>
          <w:b w:val="0"/>
          <w:i w:val="0"/>
          <w:sz w:val="19"/>
        </w:rPr>
        <w:t xml:space="preserve"> zum Wirksamkeitsstichtag 22. Juli 2026 (Ankündigungsmail an die Belegschaft 20. Mai 2026) rund 1.395 Beschäftigte im US-Bundesstaat Washington entlassen — nach der Aufschlüsselung aus Bellevue (699), Seattle (259 aus zwei Büros), Redmond (206) und Remote-Positionen (231) — als Teil des im Mai 2026 gestarteten konzernweiten 8.000-Stellen-Restrukturierungsprogramms zur Umschichtung „hin zu geschäftskritischen Prioritäten"; das Konzernstatement („The changes we are implementing vary by team and include layoffs, open role closures and moving thousands of employees to business critical priorities across the company") verankert den Vorgang wortgleich in der bereits in § 3.5 und § 8.3 diskutierten AI-Reorganisationslogik, das Abfindungspaket umfasst 16 Wochen Grundvergütung plus zwei Wochen pro Dienstjahr bei einer globalen März-2026-Belegschaft von knapp 78.000 Beschäftigten. Parallel dazu hat </w:t>
      </w:r>
      <w:r>
        <w:rPr>
          <w:rFonts w:ascii="Arial" w:hAnsi="Arial"/>
          <w:b w:val="0"/>
          <w:i/>
          <w:sz w:val="19"/>
        </w:rPr>
        <w:t>Amazon</w:t>
      </w:r>
      <w:r>
        <w:rPr>
          <w:rFonts w:ascii="Arial" w:hAnsi="Arial"/>
          <w:b w:val="0"/>
          <w:i w:val="0"/>
          <w:sz w:val="19"/>
        </w:rPr>
        <w:t xml:space="preserve"> am selben 22. Juli 2026 nach CNBC-, Yahoo-Finance- und American-Bazaar-Berichterstattung Streichungen in der </w:t>
      </w:r>
      <w:r>
        <w:rPr>
          <w:rFonts w:ascii="Arial" w:hAnsi="Arial"/>
          <w:b w:val="0"/>
          <w:i/>
          <w:sz w:val="19"/>
        </w:rPr>
        <w:t>Artificial-General-Intelligence</w:t>
      </w:r>
      <w:r>
        <w:rPr>
          <w:rFonts w:ascii="Arial" w:hAnsi="Arial"/>
          <w:b w:val="0"/>
          <w:i w:val="0"/>
          <w:sz w:val="19"/>
        </w:rPr>
        <w:t xml:space="preserve">-Organisation angekündigt — jener Einheit, die für die </w:t>
      </w:r>
      <w:r>
        <w:rPr>
          <w:rFonts w:ascii="Arial" w:hAnsi="Arial"/>
          <w:b w:val="0"/>
          <w:i/>
          <w:sz w:val="19"/>
        </w:rPr>
        <w:t>Nova</w:t>
      </w:r>
      <w:r>
        <w:rPr>
          <w:rFonts w:ascii="Arial" w:hAnsi="Arial"/>
          <w:b w:val="0"/>
          <w:i w:val="0"/>
          <w:sz w:val="19"/>
        </w:rPr>
        <w:t xml:space="preserve">-Foundation-Modelle (unter anderem </w:t>
      </w:r>
      <w:r>
        <w:rPr>
          <w:rFonts w:ascii="Arial" w:hAnsi="Arial"/>
          <w:b w:val="0"/>
          <w:i/>
          <w:sz w:val="19"/>
        </w:rPr>
        <w:t>Amazon Nova Act</w:t>
      </w:r>
      <w:r>
        <w:rPr>
          <w:rFonts w:ascii="Arial" w:hAnsi="Arial"/>
          <w:b w:val="0"/>
          <w:i w:val="0"/>
          <w:sz w:val="19"/>
        </w:rPr>
        <w:t xml:space="preserve">) sowie für Silizium- und Quantencomputing-Programme zuständig ist und in den vorangegangenen Monaten die Abgänge der Führungskräfte Rohit Prasad und David Luan verzeichnete; die Streichungen betreffen die Teams der Vice Presidents Adeeb Shanaa (AGI Data Services) und Vishal Sharma (AGI Information) und werden vom Konzern ohne konkrete Personenanzahl kommuniziert, jedoch als strategische Verschiebung „hin zu kundenzentrierter KI" begründet, wörtlich: „This is a fast-moving space, and we're sharpening our focus on the initiatives that matter most for customers, so we can move faster on what counts." Die Streichungen fallen in einen Zeitraum, in dem AWS parallel eine Milliarden-US-Dollar-Initiative zur Einbettung eigener Ingenieurinnen und Ingenieure in Enterprise-Kundenprojekte für agentische KI-Systeme aufsetzt; betroffene US-Beschäftigte erhalten 90 Tage Gehalts- und Leistungsfortzahlung, Outplacement-Zugang sowie einen Übergangsanspruch auf Krankenversicherung. Die beiden Ankündigungen fügen sich in die in § 3.4 referierte Rebound-Beobachtung insofern ein, als </w:t>
      </w:r>
      <w:r>
        <w:rPr>
          <w:rFonts w:ascii="Arial" w:hAnsi="Arial"/>
          <w:b w:val="0"/>
          <w:i/>
          <w:sz w:val="19"/>
        </w:rPr>
        <w:t>Amazon</w:t>
      </w:r>
      <w:r>
        <w:rPr>
          <w:rFonts w:ascii="Arial" w:hAnsi="Arial"/>
          <w:b w:val="0"/>
          <w:i w:val="0"/>
          <w:sz w:val="19"/>
        </w:rPr>
        <w:t xml:space="preserve"> seine strategische Neuausrichtung ausdrücklich auf Deployment statt Grundlagenforschung verlagert, während </w:t>
      </w:r>
      <w:r>
        <w:rPr>
          <w:rFonts w:ascii="Arial" w:hAnsi="Arial"/>
          <w:b w:val="0"/>
          <w:i/>
          <w:sz w:val="19"/>
        </w:rPr>
        <w:t>Meta</w:t>
      </w:r>
      <w:r>
        <w:rPr>
          <w:rFonts w:ascii="Arial" w:hAnsi="Arial"/>
          <w:b w:val="0"/>
          <w:i w:val="0"/>
          <w:sz w:val="19"/>
        </w:rPr>
        <w:t xml:space="preserve"> im Rahmen desselben AI-Restrukturierungsprogramms rund 7.000 Beschäftigte in neu geschaffene AI-Rollen umschichtet — die Kausalattributions-Grenze zwischen KI-Verdrängung und strategischem Portfolio-Wechsel innerhalb desselben Konzerns bleibt damit auch am aktuellen Rand präsent. Diese binnenwirtschaftliche Kausalunschärfe wird durch eine am 17. Juli 2026 vom US-Board of Governors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der Federal-Reserve-Ökonominnen und -Ökonomen Paul E. Soto, Mason Thieu und Jeffrey S. Allen aggregiert und institutionalisiert: Die Autoren ordnen die aktuelle Phase — bei zugleich anhaltend hohem Capex-Wachstum der Hyperscaler und rasch steigenden Adoptionsraten — als „Buildout-Phase" ein, in der die makroökonomischen Arbeitsmarkteffekte „konzentriert bleiben und sich im Aggregat noch nicht verbreitert haben"; die Produktivitätstrends zwischen Sektoren mit hoher (Information, Finanzen, professionelle Dienstleistungen), mittlerer (Verarbeitendes Gewerbe, Handel) und niedriger KI-Exposition (Bau, Gastgewerbe, Verkehr) hätten sich „relativ konsistent über die Zeit" entwickelt — ein Befund, den die Autoren als „Mikro-Ebenen-Produktivitätsgewinne, die sich im Aggregat noch nicht summieren" bezeichnen. Für die Arbeitsmarktseite dokumentiert die Note eine Zweiteilung nach Altersgruppen: Bei jüngeren Beschäftigten (20 – 24 Jahre) zeige sich der KI-Effekt „primär in verlangsamter Einstellungsdynamik statt in unmittelbaren Entlassungen" (Referenz: Lichtinger &amp; Hosseini Maasoum 2025), während für Erwerbspersonen im Haupterwerbsalter (25 – 54 Jahre) kein vergleichbares Signal identifiziert werde; die höchste sektorale Exposition liege bei Programmier- und Analysetätigkeiten (NAICS 51 Information, NAICS 54 Professional/Technical Services). Für die Steuerdebatte wirkt die Fed-Note in doppelter Weise: Sie stützt die in § 8.3 dokumentierte Diagnose, dass die Beitragsseite der lohnbasierten Sozialversicherung sich strukturell schneller erodiert als die aggregierte Statistik derzeit ausweist — der Aggregatbefund maskiere „kompositionelle Verschiebungen, die möglicherweise mit KI zusammenhängen" — und stützt zugleich die in § 9.1 dokumentierte Kausalattributionsproblematik einer engen Typ-5-Ersatzabgabe, weil auf der Ebene US-weiter administrativer Daten die Attribution „Verdrängung / verlangsamte Einstellung / Restrukturierung / Sektor-Reallokation" noch nicht trennscharf isolierbar ist. </w:t>
      </w:r>
      <w:r>
        <w:rPr>
          <w:rFonts w:ascii="Arial" w:hAnsi="Arial"/>
          <w:b w:val="0"/>
          <w:i/>
          <w:sz w:val="19"/>
        </w:rPr>
        <w:t>TrueUp</w:t>
      </w:r>
      <w:r>
        <w:rPr>
          <w:rFonts w:ascii="Arial" w:hAnsi="Arial"/>
          <w:b w:val="0"/>
          <w:i w:val="0"/>
          <w:sz w:val="19"/>
        </w:rPr>
        <w:t xml:space="preserve"> zählt zur Jahresmitte 2026 rund 164.971 Personen aus 435 Layoff-Meldungen (rund 887 pro Tag) und dokumentiert damit ein 2026 kumuliert niedrigeres Volumen als 2025 (245.953 Personen aus 783 Meldungen), aber eine deutlich höhere tägliche Rate (887 gegenüber 674 pro Tag). Parallel bestätigt </w:t>
      </w:r>
      <w:r>
        <w:rPr>
          <w:rFonts w:ascii="Arial" w:hAnsi="Arial"/>
          <w:b w:val="0"/>
          <w:i/>
          <w:sz w:val="19"/>
        </w:rPr>
        <w:t>Oracle</w:t>
      </w:r>
      <w:r>
        <w:rPr>
          <w:rFonts w:ascii="Arial" w:hAnsi="Arial"/>
          <w:b w:val="0"/>
          <w:i w:val="0"/>
          <w:sz w:val="19"/>
        </w:rPr>
        <w:t xml:space="preserve"> in der FY2026-Berichterstattung (SEC-8-K, Juni 2026) einen jahresbezogenen Personalabbau von rund 21.000 Stellen — etwa 13 % der Konzernbelegschaft, die damit von rund 162.000 (Mai 2025) auf 141.000 (Mai 2026) sinkt; der Restrukturierungsaufwand steigt entsprechend von 374 Millionen US-Dollar (FY2025) auf rund 1,8 Milliarden US-Dollar (FY2026), das zeitgleich angekündigte KI- und Cloud-Investitionsvolumen liegt für das Geschäftsjahr bei rund 50 Milliarden US-Dollar. Für die Steuerdebatte verdichtet sich damit das Bild eines vier Monate durchgehenden KI-getriebenen Restrukturierungspfads bei zugleich unverändert hohem Capex — eine Konstellation, die das Argument in § 5.1 und § 8.3 (Anknüpfung an Maschinenkapital und Wertschöpfung) auch im mittelfristigen Verlauf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Diese Kausalunschärfe wird durch eine am 1. Juli 2026 von </w:t>
      </w:r>
      <w:r>
        <w:rPr>
          <w:rFonts w:ascii="Arial" w:hAnsi="Arial"/>
          <w:b w:val="0"/>
          <w:i/>
          <w:sz w:val="19"/>
        </w:rPr>
        <w:t>CNBC</w:t>
      </w:r>
      <w:r>
        <w:rPr>
          <w:rFonts w:ascii="Arial" w:hAnsi="Arial"/>
          <w:b w:val="0"/>
          <w:i w:val="0"/>
          <w:sz w:val="19"/>
        </w:rPr>
        <w:t xml:space="preserve"> zu einer Gesamtbetrachtung zusammengefasste Gegenbewegung zusätzlich unterstrichen, die dokumentiert, dass mehrere prominente Unternehmen ihre KI-getriebenen Personalreduktionen inzwischen offen als Fehleinschätzung revidieren und Beschäftigte wiedereinstellen: </w:t>
      </w:r>
      <w:r>
        <w:rPr>
          <w:rFonts w:ascii="Arial" w:hAnsi="Arial"/>
          <w:b w:val="0"/>
          <w:i/>
          <w:sz w:val="19"/>
        </w:rPr>
        <w:t>Ford</w:t>
      </w:r>
      <w:r>
        <w:rPr>
          <w:rFonts w:ascii="Arial" w:hAnsi="Arial"/>
          <w:b w:val="0"/>
          <w:i w:val="0"/>
          <w:sz w:val="19"/>
        </w:rPr>
        <w:t xml:space="preserve"> hat über einen Zeitraum von rund drei Jahren rund 350 erfahrene „Gray-Beard"-Ingenieure zurückgeholt, nachdem KI-gestützte Qualitätskontrollsysteme (unter anderem tausende KI-Kameras) an der Erkennung produktionsrelevanter Fehler gescheitert waren; das Unternehmen führt daraufhin die </w:t>
      </w:r>
      <w:r>
        <w:rPr>
          <w:rFonts w:ascii="Arial" w:hAnsi="Arial"/>
          <w:b w:val="0"/>
          <w:i/>
          <w:sz w:val="19"/>
        </w:rPr>
        <w:t>JD Power 2026 U.S. Initial Quality Study</w:t>
      </w:r>
      <w:r>
        <w:rPr>
          <w:rFonts w:ascii="Arial" w:hAnsi="Arial"/>
          <w:b w:val="0"/>
          <w:i w:val="0"/>
          <w:sz w:val="19"/>
        </w:rPr>
        <w:t xml:space="preserve"> mit 152 Problemen pro 100 Fahrzeugen erstmals seit 2010 als Nummer eins der US-Mainstream-Marken an, mit einer erwarteten Jahres-Kostenersparnis von rund einer Milliarde US-Dollar (Charles Poon, Ford VP Vehicle Hardware Engineering, im Konzernstatement sinngemäß: KI sei nur so gut wie die Menschen, die sie einsetzen). </w:t>
      </w:r>
      <w:r>
        <w:rPr>
          <w:rFonts w:ascii="Arial" w:hAnsi="Arial"/>
          <w:b w:val="0"/>
          <w:i/>
          <w:sz w:val="19"/>
        </w:rPr>
        <w:t>IBM</w:t>
      </w:r>
      <w:r>
        <w:rPr>
          <w:rFonts w:ascii="Arial" w:hAnsi="Arial"/>
          <w:b w:val="0"/>
          <w:i w:val="0"/>
          <w:sz w:val="19"/>
        </w:rPr>
        <w:t xml:space="preserve"> hat nach dem Ausrollen einer KI-basierten Personalabteilung, die zwar rund 94 % der Routineanfragen abwickelte, aber an den verbleibenden 6 % (überwiegend ethische Dilemmata) scheiterte, die Einstellungen für Berufseinsteiger 2026 verdreifacht; die </w:t>
      </w:r>
      <w:r>
        <w:rPr>
          <w:rFonts w:ascii="Arial" w:hAnsi="Arial"/>
          <w:b w:val="0"/>
          <w:i/>
          <w:sz w:val="19"/>
        </w:rPr>
        <w:t>Commonwealth Bank of Australia</w:t>
      </w:r>
      <w:r>
        <w:rPr>
          <w:rFonts w:ascii="Arial" w:hAnsi="Arial"/>
          <w:b w:val="0"/>
          <w:i w:val="0"/>
          <w:sz w:val="19"/>
        </w:rPr>
        <w:t xml:space="preserve"> hat mehr als vierzig Kundenservicestellen nach dem Ausfall eines </w:t>
      </w:r>
      <w:r>
        <w:rPr>
          <w:rFonts w:ascii="Arial" w:hAnsi="Arial"/>
          <w:b w:val="0"/>
          <w:i/>
          <w:sz w:val="19"/>
        </w:rPr>
        <w:t>AI-Voicebot</w:t>
      </w:r>
      <w:r>
        <w:rPr>
          <w:rFonts w:ascii="Arial" w:hAnsi="Arial"/>
          <w:b w:val="0"/>
          <w:i w:val="0"/>
          <w:sz w:val="19"/>
        </w:rPr>
        <w:t xml:space="preserve"> wieder aufgebaut. Empirische Grundlage dieser Rebound-Beobachtung liefert eine im Zeitraum Februar bis März 2025 durch </w:t>
      </w:r>
      <w:r>
        <w:rPr>
          <w:rFonts w:ascii="Arial" w:hAnsi="Arial"/>
          <w:b w:val="0"/>
          <w:i/>
          <w:sz w:val="19"/>
        </w:rPr>
        <w:t>Vitreous World</w:t>
      </w:r>
      <w:r>
        <w:rPr>
          <w:rFonts w:ascii="Arial" w:hAnsi="Arial"/>
          <w:b w:val="0"/>
          <w:i w:val="0"/>
          <w:sz w:val="19"/>
        </w:rPr>
        <w:t xml:space="preserve"> im Auftrag der Analytik-Firma </w:t>
      </w:r>
      <w:r>
        <w:rPr>
          <w:rFonts w:ascii="Arial" w:hAnsi="Arial"/>
          <w:b w:val="0"/>
          <w:i/>
          <w:sz w:val="19"/>
        </w:rPr>
        <w:t>Orgvue</w:t>
      </w:r>
      <w:r>
        <w:rPr>
          <w:rFonts w:ascii="Arial" w:hAnsi="Arial"/>
          <w:b w:val="0"/>
          <w:i w:val="0"/>
          <w:sz w:val="19"/>
        </w:rPr>
        <w:t xml:space="preserve"> durchgeführte Befragung von 1.163 Senior Decision-Makers (Vorstände, C-Level und Senior-Manager) in Organisationen ab 500 beziehungsweise 2.000 Beschäftigten in den USA, Kanada, dem Vereinigten Königreich, Irland, Australien, Hongkong, Malaysia und Singapur, deren Kernbefunde in der Fach- und Wirtschaftspresse Ende Juni / Anfang Juli 2026 neu aufgegriffen und mit den obigen Einzelfällen synthetisiert wurden: 39 % der befragten Führungskräfte haben aufgrund einer KI-Einführung Beschäftigte entlassen; von diesen halten 55 % im Nachhinein zumindest eine dieser Entscheidungen für einen Fehler, 23 % räumten ein, die Entscheidung habe auf einer allgemeinen Annahme über KI-Fähigkeiten und nicht auf einer Analyse der konkret betroffenen Rolle beruht. Eine parallele Erhebung von </w:t>
      </w:r>
      <w:r>
        <w:rPr>
          <w:rFonts w:ascii="Arial" w:hAnsi="Arial"/>
          <w:b w:val="0"/>
          <w:i/>
          <w:sz w:val="19"/>
        </w:rPr>
        <w:t>Robert Half</w:t>
      </w:r>
      <w:r>
        <w:rPr>
          <w:rFonts w:ascii="Arial" w:hAnsi="Arial"/>
          <w:b w:val="0"/>
          <w:i w:val="0"/>
          <w:sz w:val="19"/>
        </w:rPr>
        <w:t xml:space="preserve"> aus dem Frühjahr 2026 zeigt in dieselbe Richtung: 32 % der US-Hiring-Manager, die eine Rolle primär aufgrund von KI abgebaut haben, mussten dieselbe oder eine ähnliche Rolle später wiederbesetzen; die höchsten Rückholquoten liegen im Finanzsektor (44 %), gefolgt von HR (35 %) und Technology (32 %). Für die Steuerdebatte hat dieser Befund eine doppelte Bedeutung: Zum einen dämpft er die für eine zielgerichtete Ersatzabgabe (Typ 5 nach § 2.1) benötigte Kausalzuweisung „nachgewiesene KI-Verdrängung" zusätzlich (vgl. § 9.1), zum anderen stützt er die in § 3.4 referierte Warnung, symbolische oder voreilige Automatisierungssteuern könnten sich als kontraproduktiv erweisen, weil die zugrundeliegende Verdrängungshypothese nur teilweise erhärtet ist. Diese binnenwirtschaftliche Grundlagenspannung wird durch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(BMWK) im amtlichen Standbericht bestätigt: Die Erwerbstätigkeit sank im Mai 2026 um 8.000 Personen, die sozialversicherungspflichtige Beschäftigung im April 2026 um 5.000 Personen, während die Arbeitslosigkeit im Juni stabil blieb; das Ministerium ordnet die Perspektive als „noch keine Verbesserung der Arbeitsmarktperspektiven" ein und benennt „die zunehmende Bedeutung künstlicher Intelligenz und den demografischen Wandel" ausdrücklich als strukturelle Herausforderungen. Zugleich hebt der Bericht hervor, dass „die starke Handelsdynamik in Asien im Zusammenhang mit dem KI-Boom" den Welthandel stützt und im Mai 2026 zu einem Anstieg der Exporte von Datenverarbeitungsgeräten um 2,3 % beigetragen hat — die KI-Nachfrage wird damit erstmals auf amtlicher Ebene als eigenständiger, kurzfristig konjunkturstützender Faktor in einer Monatsbetrachtung aus­gewiesen. In derselben Woche verdichtet sich die Personal­reduktions­seite auf der Hardware-Achse durch eine mit WARN-Notice hinterlegte Intel-Layoff-Runde: Nach der Bericht­erstattung von KATU, KOIN, KGW und Data Center Dynamics werden zum 15. Juli 2026 rund 2.392 Beschäftigte an vier Intel-Standorten im Großraum Portland (Aloha, Ronler Acres, Hawthorne Farms und Jones Farm) entlassen; nach dem Layoff-Aggregat byteiota entfallen davon 412 </w:t>
      </w:r>
      <w:r>
        <w:rPr>
          <w:rFonts w:ascii="Arial" w:hAnsi="Arial"/>
          <w:b w:val="0"/>
          <w:i/>
          <w:sz w:val="19"/>
        </w:rPr>
        <w:t>Module Equipment Technicians</w:t>
      </w:r>
      <w:r>
        <w:rPr>
          <w:rFonts w:ascii="Arial" w:hAnsi="Arial"/>
          <w:b w:val="0"/>
          <w:i w:val="0"/>
          <w:sz w:val="19"/>
        </w:rPr>
        <w:t xml:space="preserve">, 307 </w:t>
      </w:r>
      <w:r>
        <w:rPr>
          <w:rFonts w:ascii="Arial" w:hAnsi="Arial"/>
          <w:b w:val="0"/>
          <w:i/>
          <w:sz w:val="19"/>
        </w:rPr>
        <w:t>Module Development Engineers</w:t>
      </w:r>
      <w:r>
        <w:rPr>
          <w:rFonts w:ascii="Arial" w:hAnsi="Arial"/>
          <w:b w:val="0"/>
          <w:i w:val="0"/>
          <w:sz w:val="19"/>
        </w:rPr>
        <w:t xml:space="preserve">, 148 </w:t>
      </w:r>
      <w:r>
        <w:rPr>
          <w:rFonts w:ascii="Arial" w:hAnsi="Arial"/>
          <w:b w:val="0"/>
          <w:i/>
          <w:sz w:val="19"/>
        </w:rPr>
        <w:t>Module Engineers</w:t>
      </w:r>
      <w:r>
        <w:rPr>
          <w:rFonts w:ascii="Arial" w:hAnsi="Arial"/>
          <w:b w:val="0"/>
          <w:i w:val="0"/>
          <w:sz w:val="19"/>
        </w:rPr>
        <w:t xml:space="preserve"> sowie eine Reihe von </w:t>
      </w:r>
      <w:r>
        <w:rPr>
          <w:rFonts w:ascii="Arial" w:hAnsi="Arial"/>
          <w:b w:val="0"/>
          <w:i/>
          <w:sz w:val="19"/>
        </w:rPr>
        <w:t>Process Integration Engineers</w:t>
      </w:r>
      <w:r>
        <w:rPr>
          <w:rFonts w:ascii="Arial" w:hAnsi="Arial"/>
          <w:b w:val="0"/>
          <w:i w:val="0"/>
          <w:sz w:val="19"/>
        </w:rPr>
        <w:t xml:space="preserve"> und </w:t>
      </w:r>
      <w:r>
        <w:rPr>
          <w:rFonts w:ascii="Arial" w:hAnsi="Arial"/>
          <w:b w:val="0"/>
          <w:i/>
          <w:sz w:val="19"/>
        </w:rPr>
        <w:t>Manufacturing Technicians</w:t>
      </w:r>
      <w:r>
        <w:rPr>
          <w:rFonts w:ascii="Arial" w:hAnsi="Arial"/>
          <w:b w:val="0"/>
          <w:i w:val="0"/>
          <w:sz w:val="19"/>
        </w:rPr>
        <w:t xml:space="preserve"> — ausdrücklich also die technischen Kernrollen der Chip-Fertigung, nicht administrative Rollen. Betroffene erhalten neun Wochen Gehalt und Leistungen; die Runde ordnet sich in die 2025/2026 unter CEO Lip-Bu Tan fortgesetzte Restrukturierung ein, die den globalen Personalbestand von rund 125.000 auf unter 100.000 senkt und ein zusätzliches Einsparziel von rund 1 Milliarde US-Dollar Betriebskosten für 2026 verfolgt. Ökonomischer Hintergrund ist der Verlust des Intel-Foundry-Segments von rund 3 Milliarden US-Dollar allein im zweiten Quartal 2025 sowie der weiterhin nur einprozentige Marktanteil von Intel im Segment der KI-Beschleuniger gegenüber rund 92 % von NVIDIA — die Layoff-Runde illustriert damit exemplarisch, dass die in § 8.2 dokumentierte Asymmetrie zwischen Hyperscaler-Capex und Personalreduktion inzwischen bis in die klassische Halbleiter­fertigung reicht und bei den Verlierern der KI-Konzentration nicht nur die Anwenderseite, sondern auch die vorgelagerte Produktions­schicht trifft. In derselben Woche verdichten zwei weitere Layoff-Ankündigungen aus dem Enterprise-Software- und Information-Services-Segment das Bild: Am 13. Juli 2026 berichteten </w:t>
      </w:r>
      <w:r>
        <w:rPr>
          <w:rFonts w:ascii="Arial" w:hAnsi="Arial"/>
          <w:b w:val="0"/>
          <w:i/>
          <w:sz w:val="19"/>
        </w:rPr>
        <w:t>Reuters</w:t>
      </w:r>
      <w:r>
        <w:rPr>
          <w:rFonts w:ascii="Arial" w:hAnsi="Arial"/>
          <w:b w:val="0"/>
          <w:i w:val="0"/>
          <w:sz w:val="19"/>
        </w:rPr>
        <w:t xml:space="preserve">, </w:t>
      </w:r>
      <w:r>
        <w:rPr>
          <w:rFonts w:ascii="Arial" w:hAnsi="Arial"/>
          <w:b w:val="0"/>
          <w:i/>
          <w:sz w:val="19"/>
        </w:rPr>
        <w:t>Silicon Republic</w:t>
      </w:r>
      <w:r>
        <w:rPr>
          <w:rFonts w:ascii="Arial" w:hAnsi="Arial"/>
          <w:b w:val="0"/>
          <w:i w:val="0"/>
          <w:sz w:val="19"/>
        </w:rPr>
        <w:t xml:space="preserve">, </w:t>
      </w:r>
      <w:r>
        <w:rPr>
          <w:rFonts w:ascii="Arial" w:hAnsi="Arial"/>
          <w:b w:val="0"/>
          <w:i/>
          <w:sz w:val="19"/>
        </w:rPr>
        <w:t>US News</w:t>
      </w:r>
      <w:r>
        <w:rPr>
          <w:rFonts w:ascii="Arial" w:hAnsi="Arial"/>
          <w:b w:val="0"/>
          <w:i w:val="0"/>
          <w:sz w:val="19"/>
        </w:rPr>
        <w:t xml:space="preserve"> und </w:t>
      </w:r>
      <w:r>
        <w:rPr>
          <w:rFonts w:ascii="Arial" w:hAnsi="Arial"/>
          <w:b w:val="0"/>
          <w:i/>
          <w:sz w:val="19"/>
        </w:rPr>
        <w:t>The Next Web</w:t>
      </w:r>
      <w:r>
        <w:rPr>
          <w:rFonts w:ascii="Arial" w:hAnsi="Arial"/>
          <w:b w:val="0"/>
          <w:i w:val="0"/>
          <w:sz w:val="19"/>
        </w:rPr>
        <w:t xml:space="preserve"> über eine Konzernmitteilung von </w:t>
      </w:r>
      <w:r>
        <w:rPr>
          <w:rFonts w:ascii="Arial" w:hAnsi="Arial"/>
          <w:b w:val="0"/>
          <w:i/>
          <w:sz w:val="19"/>
        </w:rPr>
        <w:t>Thomson Reuters</w:t>
      </w:r>
      <w:r>
        <w:rPr>
          <w:rFonts w:ascii="Arial" w:hAnsi="Arial"/>
          <w:b w:val="0"/>
          <w:i w:val="0"/>
          <w:sz w:val="19"/>
        </w:rPr>
        <w:t xml:space="preserve">, wonach das Unternehmen bis zu 500 Stellen in seiner Engineering-Sparte streiche — rund 1,8 % der weltweit 27.100 Beschäftigten und etwa 5,2 % der 9.400 Beschäftigten in der Operations-and-Technology-Division — mit expliziter Umschichtung „hin zu KI-nativen Rollen" und einem Auftreten in einem Quartal, das der Konzern mit einem Umsatzplus von rund 10 % (Q1 FY2026) und einer optimistischen Jahresprognose eröffnet hatte. Am 15. Juli 2026 gab der Social-Media-Analytics-Anbieter </w:t>
      </w:r>
      <w:r>
        <w:rPr>
          <w:rFonts w:ascii="Arial" w:hAnsi="Arial"/>
          <w:b w:val="0"/>
          <w:i/>
          <w:sz w:val="19"/>
        </w:rPr>
        <w:t>Sprout Social</w:t>
      </w:r>
      <w:r>
        <w:rPr>
          <w:rFonts w:ascii="Arial" w:hAnsi="Arial"/>
          <w:b w:val="0"/>
          <w:i w:val="0"/>
          <w:sz w:val="19"/>
        </w:rPr>
        <w:t xml:space="preserve"> (NASDAQ: SPT) in einer </w:t>
      </w:r>
      <w:r>
        <w:rPr>
          <w:rFonts w:ascii="Arial" w:hAnsi="Arial"/>
          <w:b w:val="0"/>
          <w:i/>
          <w:sz w:val="19"/>
        </w:rPr>
        <w:t>SEC-8-K-Meldung</w:t>
      </w:r>
      <w:r>
        <w:rPr>
          <w:rFonts w:ascii="Arial" w:hAnsi="Arial"/>
          <w:b w:val="0"/>
          <w:i w:val="0"/>
          <w:sz w:val="19"/>
        </w:rPr>
        <w:t xml:space="preserve"> eine Reduktion von rund 260 Positionen und damit 20 % der Belegschaft bekannt (</w:t>
      </w:r>
      <w:r>
        <w:rPr>
          <w:rFonts w:ascii="Arial" w:hAnsi="Arial"/>
          <w:b w:val="0"/>
          <w:i/>
          <w:sz w:val="19"/>
        </w:rPr>
        <w:t>Crain's Chicago Business</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Stifel</w:t>
      </w:r>
      <w:r>
        <w:rPr>
          <w:rFonts w:ascii="Arial" w:hAnsi="Arial"/>
          <w:b w:val="0"/>
          <w:i w:val="0"/>
          <w:sz w:val="19"/>
        </w:rPr>
        <w:t xml:space="preserve">); der Board hatte die Maßnahme am 8. Juli 2026 verabschiedet, Mitarbeitendenmitteilungen begannen am 15. Juli 2026; der Restrukturierungsaufwand ist mit 18 bis 20 Millionen US-Dollar (überwiegend Cash-Abfindungen und Leistungen) ausgewiesen, das Q2-2026-Vorabergebnis am oberen Rand der bislang publizierten Bandbreite (endgültige Zahlen am 6. August 2026); die Konzernbegründung nennt die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Beide Ankündigungen aus dem 48-Stunden-Fenster illustrieren, dass die 2026 dokumentierte Restrukturierungsdynamik bereits nicht mehr allein Hyperscaler und Halbleiter-Fertiger, sondern auch Enterprise-Software-, Analytics- und Legal-/Tax-/Regulatory-Segmentanbieter erreicht — und damit die in § 3.5 referierten sektoralen Frühwirkungen bis in konsolidierte SaaS-Geschäftsmodelle hinein sichtbar werden. Am Abend des 22. Juli 2026 verdichtet der </w:t>
      </w:r>
      <w:r>
        <w:rPr>
          <w:rFonts w:ascii="Arial" w:hAnsi="Arial"/>
          <w:b w:val="0"/>
          <w:i/>
          <w:sz w:val="19"/>
        </w:rPr>
        <w:t>Alphabet</w:t>
      </w:r>
      <w:r>
        <w:rPr>
          <w:rFonts w:ascii="Arial" w:hAnsi="Arial"/>
          <w:b w:val="0"/>
          <w:i w:val="0"/>
          <w:sz w:val="19"/>
        </w:rPr>
        <w:t xml:space="preserve">-Q2-2026-Earnings-Call diese Asymmetrie zwischen Personalreduktion und Capex-Ausbau auf einer weiteren Datenpunkt-Ebene (CNBC, Investing.com, The Street, Yahoo Finance): Bei einem Konzernumsatz von 119,8 Milliarden US-Dollar (+24 % gegenüber Vorjahr) und einem operativen Ergebnis +30 % bei 34 % operativer Marge steigt der Google-Cloud-Umsatz um 82 % auf 24,8 Milliarden US-Dollar bei einem Auftragsbestand von 514 Milliarden US-Dollar; CEO Sundar Pichai formuliert im Konjunktiv, „existierende Kunden überträfen ihre Verpflichtungen um mehr als 50 %". Die Q2-2026-Kapitalausgaben liegen bei 44,9 Milliarden US-Dollar (Q1 2026: 36 Milliarden US-Dollar), rund 60 % davon in Server und 40 % in Rechenzentren und Netzwerk-Ausrüstung; der Free Cashflow des Quartals dreht auf −5,9 Milliarden US-Dollar (erstmals negativ seit rund zehn Jahren). Konzernweit hebt Alphabet den Full-Year-Capex-Ausblick 2026 von der bisherigen Spanne 180 bis 190 Milliarden US-Dollar auf 195 bis 205 Milliarden US-Dollar an — eine Aufwärtsrevision um rund 15 Milliarden US-Dollar innerhalb eines Quartals, die die Q1-Aggregat-Größenordnung der Hyperscaler (130,65 Milliarden US-Dollar) im Konzernvergleich strukturell fortschreibt; die Aktie gab im nachbörslichen Handel rund 7 % ab. Einen Tag später bestätigt der </w:t>
      </w:r>
      <w:r>
        <w:rPr>
          <w:rFonts w:ascii="Arial" w:hAnsi="Arial"/>
          <w:b w:val="0"/>
          <w:i/>
          <w:sz w:val="19"/>
        </w:rPr>
        <w:t>Intel</w:t>
      </w:r>
      <w:r>
        <w:rPr>
          <w:rFonts w:ascii="Arial" w:hAnsi="Arial"/>
          <w:b w:val="0"/>
          <w:i w:val="0"/>
          <w:sz w:val="19"/>
        </w:rPr>
        <w:t xml:space="preserve">-Q2-2026-Earnings-Call vom 23. Juli 2026 (Yahoo Finance, BigGo Finance, TradingKey) dieses Bild auf der Hardware-Achse: Intel verzeichnet mit 16,1 Milliarden US-Dollar Quartalsumsatz (+25 % gegenüber Vorjahr) das stärkste Umsatzwachstum seit mehr als 15 Jahren; das Segment </w:t>
      </w:r>
      <w:r>
        <w:rPr>
          <w:rFonts w:ascii="Arial" w:hAnsi="Arial"/>
          <w:b w:val="0"/>
          <w:i/>
          <w:sz w:val="19"/>
        </w:rPr>
        <w:t>Data Center and AI</w:t>
      </w:r>
      <w:r>
        <w:rPr>
          <w:rFonts w:ascii="Arial" w:hAnsi="Arial"/>
          <w:b w:val="0"/>
          <w:i w:val="0"/>
          <w:sz w:val="19"/>
        </w:rPr>
        <w:t xml:space="preserve"> wächst 59 % auf 6,3 Milliarden US-Dollar, Client Computing +13 % auf 8,9 Milliarden US-Dollar, Foundry +31 % auf 5,8 Milliarden US-Dollar; das Non-GAAP-Ergebnis je Aktie erreicht 0,42 US-Dollar gegenüber 0,20 US-Dollar Konzern-Guidance, die Bruttomarge liegt bei 41,8 % (+2,8 Prozentpunkte über Guidance). Der Konzern kann nach Angaben des Vorstands die vorliegenden Bestellungen für Server-Produkte gegenwärtig nicht vollständig erfüllen; CFO Dave Zinsner konjunktiviert die daran anknüpfende Capex-Anhebung wörtlich: „AI-driven compute continues to strengthen, and to support expected growth this year and next across products and foundry, we are meaningfully increasing our investments in equipment, clean room space, and substrates" (Konjunktiv nach § 4.2 Claude.md). Die Full-Year-Capex-Prognose für 2026 wird von zuvor rund 17 Milliarden US-Dollar auf über 20 Milliarden US-Dollar angehoben, für 2027 stellt Intel eine „signifikante" weitere Anhebung in Aussicht — mit den Tooling-Ausgaben +40 % gegenüber Vorjahr und dem im GAAP-Ergebnis enthaltenen einmaligen 12,5-Milliarden-US-Dollar-Mark-to-Market-Verlust auf treuhänderisch gehaltene CHIPS-Act-Anteile, der zu einem GAAP-Netto­verlust je Aktie von 2,16 US-Dollar führt, aber den zugrundeliegenden operativen Rückenwind nicht neutralisiert. Ergänzend hat </w:t>
      </w:r>
      <w:r>
        <w:rPr>
          <w:rFonts w:ascii="Arial" w:hAnsi="Arial"/>
          <w:b w:val="0"/>
          <w:i/>
          <w:sz w:val="19"/>
        </w:rPr>
        <w:t>Anthropic</w:t>
      </w:r>
      <w:r>
        <w:rPr>
          <w:rFonts w:ascii="Arial" w:hAnsi="Arial"/>
          <w:b w:val="0"/>
          <w:i w:val="0"/>
          <w:sz w:val="19"/>
        </w:rPr>
        <w:t xml:space="preserve"> am 22. Juli 2026 seinen </w:t>
      </w:r>
      <w:r>
        <w:rPr>
          <w:rFonts w:ascii="Arial" w:hAnsi="Arial"/>
          <w:b w:val="0"/>
          <w:i/>
          <w:sz w:val="19"/>
        </w:rPr>
        <w:t>Economic Index Connector</w:t>
      </w:r>
      <w:r>
        <w:rPr>
          <w:rFonts w:ascii="Arial" w:hAnsi="Arial"/>
          <w:b w:val="0"/>
          <w:i w:val="0"/>
          <w:sz w:val="19"/>
        </w:rPr>
        <w:t xml:space="preserve"> für Claude öffentlich freigegeben (anthropic.com, X-Ankündigung @claudeai): Der Connector öffnet den in § 3.5 referierten </w:t>
      </w:r>
      <w:r>
        <w:rPr>
          <w:rFonts w:ascii="Arial" w:hAnsi="Arial"/>
          <w:b w:val="0"/>
          <w:i/>
          <w:sz w:val="19"/>
        </w:rPr>
        <w:t>Anthropic Economic Index</w:t>
      </w:r>
      <w:r>
        <w:rPr>
          <w:rFonts w:ascii="Arial" w:hAnsi="Arial"/>
          <w:b w:val="0"/>
          <w:i w:val="0"/>
          <w:sz w:val="19"/>
        </w:rPr>
        <w:t xml:space="preserve"> — also die auf ausgewerteten Claude-Nutzungsdaten beruhende Metrik der tatsächlichen KI-Adoption über Berufe und Regionen — für eine niedrigschwellige Abfrage durch Forscherinnen und Forscher, Journalistinnen und Journalisten, politische Entscheiderinnen und Entscheider sowie die allgemeine Öffentlichkeit. Nutzerinnen und Nutzer können damit ohne technische Vorarbeit Fragen an die Indexdaten stellen (etwa „Welche Berufe nutzen KI am stärksten?" oder „Welche Aufgaben delegieren Lehrkräfte an Claude?") und die Antworten mit Verweisen auf die Quelldaten prüfen. Für die hier geführte Steuerdebatte ist der Connector in doppelter Weise relevant: Er erweitert die empirische Basis für die in § 3.5 und § 9.1 referierten Attribuierungsfragen um ein öffentlich zugängliches, aggregiertes Nutzungsdaten-Instrument und dokumentiert zugleich die institutionelle Verstetigung des </w:t>
      </w:r>
      <w:r>
        <w:rPr>
          <w:rFonts w:ascii="Arial" w:hAnsi="Arial"/>
          <w:b w:val="0"/>
          <w:i/>
          <w:sz w:val="19"/>
        </w:rPr>
        <w:t>Anthropic Economic Index</w:t>
      </w:r>
      <w:r>
        <w:rPr>
          <w:rFonts w:ascii="Arial" w:hAnsi="Arial"/>
          <w:b w:val="0"/>
          <w:i w:val="0"/>
          <w:sz w:val="19"/>
        </w:rPr>
        <w:t xml:space="preserve"> als laufendem Beobachtungsformat.</w:t>
      </w:r>
    </w:p>
    <w:p>
      <w:pPr>
        <w:jc w:val="both"/>
      </w:pPr>
      <w:r>
        <w:rPr>
          <w:rFonts w:ascii="Arial" w:hAnsi="Arial"/>
          <w:b w:val="0"/>
          <w:i w:val="0"/>
          <w:sz w:val="19"/>
        </w:rPr>
        <w:t>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Stanford Digital Economy Lab (Juli 2026):</w:t>
      </w:r>
      <w:r>
        <w:rPr>
          <w:rFonts w:ascii="Arial" w:hAnsi="Arial"/>
          <w:b w:val="0"/>
          <w:i w:val="0"/>
          <w:sz w:val="19"/>
        </w:rPr>
        <w:t xml:space="preserve"> Am 13. Juli 2026 veröffentlichte das </w:t>
      </w:r>
      <w:r>
        <w:rPr>
          <w:rFonts w:ascii="Arial" w:hAnsi="Arial"/>
          <w:b w:val="0"/>
          <w:i/>
          <w:sz w:val="19"/>
        </w:rPr>
        <w:t>Stanford Digital Economy Lab</w:t>
      </w:r>
      <w:r>
        <w:rPr>
          <w:rFonts w:ascii="Arial" w:hAnsi="Arial"/>
          <w:b w:val="0"/>
          <w:i w:val="0"/>
          <w:sz w:val="19"/>
        </w:rPr>
        <w:t xml:space="preserve"> die Erklärung </w:t>
      </w:r>
      <w:r>
        <w:rPr>
          <w:rFonts w:ascii="Arial" w:hAnsi="Arial"/>
          <w:b w:val="0"/>
          <w:i/>
          <w:sz w:val="19"/>
        </w:rPr>
        <w:t>„We Must Act Now: A Statement on AI's Transformation of the Economy"</w:t>
      </w:r>
      <w:r>
        <w:rPr>
          <w:rFonts w:ascii="Arial" w:hAnsi="Arial"/>
          <w:b w:val="0"/>
          <w:i w:val="0"/>
          <w:sz w:val="19"/>
        </w:rPr>
        <w:t>, organisiert von Erik Brynjolfsson (Stanford), Ajay Agrawal (University of Toronto), Anton Korinek (University of Virginia / Anthropic) und Tom Cunningham (METR); zum Startzeitpunkt haben nach Angaben der Organisatoren mehr als 200 Ökonominnen, Ökonomen und KI-Forschende — darunter sechzehn Nobelpreisträger (u. a. Daron Acemoglu, Simon Johnson, Joseph Stiglitz, Paul Krugman, Michael Spence, Ben Bernanke) sowie leitende Vertreter aus KI-Unternehmen (Jack Clark / Anthropic, Sarah Friar / OpenAI, Jeff Dean / Google, Yoshua Bengio, Yann LeCun, Eric Schmidt) — unterzeichnet; das begleitende Zeichnungsportal wemustactnow.ai weist zum Referenzzeitpunkt bereits über 350 Unterschriften aus. Die drei Kernaussagen lauten sinngemäß: KI könne in den kommenden zehn Jahren erheblich leistungsfähiger werden; die daraus folgende ökonomische Transformation könne größer ausfallen als die Industrielle Revolution, sich aber in Jahren statt Jahrzehnten vollziehen — Dampfmaschine, Elektrizität und Computer hätten Gesellschaften jeweils Jahrzehnte Anpassungszeit gelassen, KI möglicherweise nur wenige Jahre; es bedürfe unverzüglich der „Anreize, Leitplanken und Institutionen", um KI in eine gesellschaftlich nützliche Richtung zu lenken, statt Verteilungsfolgen erst nach eingetretener Transformation zu adressieren. Für die hier geführte Debatte ist die Erklärung in zweifacher Hinsicht bemerkenswert: Erstens dokumentiert sie eine sichtbare Positionsbewegung von Daron Acemoglu und Simon Johnson (2024 gemeinsam mit James A. Robinson für Institutionenforschung mit dem Nobelpreis ausgezeichnet), die frühere Warnungen vor großflächiger KI-bedingter Arbeitsplatz­verdrängung skeptisch eingeordnet hatten und nun ausdrücklich zu institutioneller Vorsorge aufrufen — eine Bewegung, die mit dem in § 3.5 referierten Nebeneinander von moderaten aggregierten Beschäftigungseffekten und wachsenden Verteilungssorgen konsistent ist. Zweitens verankert der Kreis der Organisatoren (Brynjolfsson, Agrawal, Korinek, Cunningham) den in § 3.3 aufgenommenen Korinek-Lockwood-Rahmen politisch: Die dort empfohlene Verbreiterung der Konsumbesteuerung und die Output-Besteuerung automatisierter Dienstleistungen finden in der Erklärung eine breitere, akademisch-institutionelle Trägerbasis. Referenzen im Konjunktiv nach § 4.2 Claude.md, weil die Erklärung eine kollektive Handlungsaufforderung und keine empirisch belastbare Modellprognose enthält. Der Schulterschluss ändert nichts an der in § 3 dokumentierten Bandbreite konkreter Instrumentenvorschläge; er stärkt die institutionelle Legitimation, ohne den in § 8 entwickelten deutschen Pfad zu präjudizieren, und verengt zugleich den Argumentations­spielraum für zögerliches Nichtstun, weil die Kernwarnung — Transformationsgeschwindigkeit vor institutioneller Anpassungsfähigkeit — nun auch von zuvor skeptischen Autoritäten ausgesprochen wird.</w:t>
      </w:r>
    </w:p>
    <w:p>
      <w:pPr>
        <w:jc w:val="both"/>
      </w:pPr>
      <w:r>
        <w:rPr>
          <w:rFonts w:ascii="Arial" w:hAnsi="Arial"/>
          <w:b/>
          <w:i w:val="0"/>
          <w:sz w:val="19"/>
        </w:rPr>
        <w:t>Dynan, Elmendorf &amp; Sheiner (Juli 2026):</w:t>
      </w:r>
      <w:r>
        <w:rPr>
          <w:rFonts w:ascii="Arial" w:hAnsi="Arial"/>
          <w:b w:val="0"/>
          <w:i w:val="0"/>
          <w:sz w:val="19"/>
        </w:rPr>
        <w:t xml:space="preserve"> Karen Dynan (Harvard), Douglas Elmendorf (Harvard; früherer CBO-Direktor) und Louise Sheiner (Brookings, Hutchins Center) legen mit „How Might Fiscal Policy Respond to the Rise of Artificial Intelligence?" (NBER Working Paper 35437, Juli 2026; vorbereitet für die Brookings-Konferenz „The Forces Shaping America's Fiscal Future" im Juni 2026) eine szenariogestützte Analyse der US-Bundeshaushalts­wirkung KI-induzierter Struktur­verschiebungen vor. Ausgehend von einem aktuellen US-Schuldenstand von rund 101 % des Bruttoinlandsprodukts und der CBO-Baseline-Projektion von rund 175 % bis 2056 kombinieren die Autoren vier Langfristszenarien — schnelleres Produktivitätswachstum, größere Einkommensungleichheit, dauerhafte Beschäftigungs­verdrängung und ein höherer Kapitalanteil am Einkommen — in unterschiedlichen Ausprägungen. In dem als „schlimmster Fall" (permanente Arbeitsplatz­verluste, Einkommensverschiebung zu Kapitalbesitzern) markierten Szenario läge die Bundes­verschuldung im Jahr 2056 nach ihrer Modellrechnung bei nur noch rund 126 % des Bruttoinlandsprodukts — eine Reduktion um rund 49 Prozentpunkte gegenüber der Baseline, allerdings zum Preis einer erheblichen Neuordnung von Beschäftigung und Einkommensverteilung. Die Autoren würden gemäß begleitender Berichterstattung die gegenwärtige CBO-Standardannahme von lediglich +0,1 Prozentpunkten zusätzlichem jährlichen KI-Produktivitäts­wachstum (zusätzlich zu 1,1 % über 30 Jahre) im Konjunktiv als zu konservativ bezeichnen, ohne eine eigene Punktschätzung vorzulegen — Elmendorf äußerte laut Berichterstattung sinngemäß, „einen größeren Schub" einzukalkulieren, betont aber, „ich glaube nicht, dass jemand die wahre Zahl kennen kann". Die Autoren empfehlen als politikrobuste Antwort einen Instrumentenmix aus wirtschafts­wachstums­fördernden Maßnahmen, Umverteilungs­instrumenten, Arbeitnehmer-Übergangs­hilfen sowie Kapital­besteuerung und Eigentums­fragen; besonders bemerkenswert ist ihre Präferenz für breit angelegte Arbeitsvermittlungs- und Qualifizierungs­instrumente statt KI-spezifischer Programme, weil diese über verschiedene KI-Trajektorien hinweg belastbar seien. Für die hier geführte Debatte ergänzt die Studie den Korinek-Lockwood-Rahmen (siehe voranstehender Absatz) um eine quantitative Szenariomatrix und untermauert die in § 3.5 formulierte Empfehlung einer </w:t>
      </w:r>
      <w:r>
        <w:rPr>
          <w:rFonts w:ascii="Arial" w:hAnsi="Arial"/>
          <w:b w:val="0"/>
          <w:i/>
          <w:sz w:val="19"/>
        </w:rPr>
        <w:t>szenariorobusten</w:t>
      </w:r>
      <w:r>
        <w:rPr>
          <w:rFonts w:ascii="Arial" w:hAnsi="Arial"/>
          <w:b w:val="0"/>
          <w:i w:val="0"/>
          <w:sz w:val="19"/>
        </w:rPr>
        <w:t xml:space="preserve"> steuerpolitischen Auslegung: Konkrete Punktschätzungen scheitern an der KI-bedingten Prognose­unsicherheit; Instrumente, die über mehrere Szenarien stabil bleiben, sind aus Sicht der Autoren fiskalisch überlegen. Referenzen im Konjunktiv nach § 4.2 Claude.md, weil der Bericht Modellprognosen und keine empirisch beobachteten Aggregate liefert.</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 Der am 26. Juni 2026 publizierte sechste </w:t>
      </w:r>
      <w:r>
        <w:rPr>
          <w:rFonts w:ascii="Arial" w:hAnsi="Arial"/>
          <w:b w:val="0"/>
          <w:i/>
          <w:sz w:val="19"/>
        </w:rPr>
        <w:t>Anthropic-Economic-Index</w:t>
      </w:r>
      <w:r>
        <w:rPr>
          <w:rFonts w:ascii="Arial" w:hAnsi="Arial"/>
          <w:b w:val="0"/>
          <w:i w:val="0"/>
          <w:sz w:val="19"/>
        </w:rPr>
        <w:t xml:space="preserve">-Bericht </w:t>
      </w:r>
      <w:r>
        <w:rPr>
          <w:rFonts w:ascii="Arial" w:hAnsi="Arial"/>
          <w:b w:val="0"/>
          <w:i/>
          <w:sz w:val="19"/>
        </w:rPr>
        <w:t>„Cadences"</w:t>
      </w:r>
      <w:r>
        <w:rPr>
          <w:rFonts w:ascii="Arial" w:hAnsi="Arial"/>
          <w:b w:val="0"/>
          <w:i w:val="0"/>
          <w:sz w:val="19"/>
        </w:rPr>
        <w:t xml:space="preserve"> verknüpft erstmals systematisch die nutzungsdatenbasierte Index-Reihe mit dem im April 2026 gestarteten Survey-Format: In einer verlinkten Stichprobe von rund 9.700 Claude-Nutzerinnen und -Nutzern (Erhebung Mitte Mai bis Anfang Juni 2026) gibt rund die Hälfte an, dass KI mindestens 50 % der eigenen Aufgaben bereits erledigen könne, während nur rund 10 % einen eigenen Arbeitsplatzverlust als wahrscheinlich einschätzen; über sämtliche sechs abgefragten Wirkungsdimensionen — Bezahlung, Beschäftigungssicherheit, Wiederbeschäftigungsfähigkeit, Sinnhaftigkeit, Autonomie und zwischenmenschliche Interaktion — berichten Beschäftigte mit höherem Delegationsanteil systematisch positivere Erwartungen; 4 % der Befragten geben an, Claude könne ihre Tätigkeit heute vollständig übernehmen. Die persönliche Nutzung steigt am Wochenende von rund 35 auf knapp 50 %, die arbeitsbezogene Nutzung sinkt weniger stark bei höheren Einkommensgruppen; Claude Code weist gegenüber Chat-Konversationen eine um 0,26 Punkte höhere Autonomie-Metrik auf, was auf die Produktrahmung — nicht das Modell — als Treiber der Übertragungsintensität verweist. Für die hier geführte Steuerdebatte bestätigt der Cadences-Bericht die in der Massenkoff/McCrory-Studie und dem </w:t>
      </w:r>
      <w:r>
        <w:rPr>
          <w:rFonts w:ascii="Arial" w:hAnsi="Arial"/>
          <w:b w:val="0"/>
          <w:i/>
          <w:sz w:val="19"/>
        </w:rPr>
        <w:t>Yale-Budget-Lab</w:t>
      </w:r>
      <w:r>
        <w:rPr>
          <w:rFonts w:ascii="Arial" w:hAnsi="Arial"/>
          <w:b w:val="0"/>
          <w:i w:val="0"/>
          <w:sz w:val="19"/>
        </w:rPr>
        <w:t xml:space="preserve">-Tracking sichtbare Grundlinie einer starken subjektiven Reorganisationserwartung bei zugleich moderater aggregierter Substitutionswahrnehmung — und stützt die in § 8.4 entwickelte Auslegung, dass die Verteilungsfrage (wer profitiert von der Produktivitätsverschiebung) </w:t>
      </w:r>
      <w:r>
        <w:rPr>
          <w:rFonts w:ascii="Arial" w:hAnsi="Arial"/>
          <w:b w:val="0"/>
          <w:i/>
          <w:sz w:val="19"/>
        </w:rPr>
        <w:t>vor</w:t>
      </w:r>
      <w:r>
        <w:rPr>
          <w:rFonts w:ascii="Arial" w:hAnsi="Arial"/>
          <w:b w:val="0"/>
          <w:i w:val="0"/>
          <w:sz w:val="19"/>
        </w:rPr>
        <w:t xml:space="preserve"> der Ersatzfrage (wer verliert seinen Arbeitsplatz) politisch aktuell werden könnte. Der am 7. Juli 2026 durch OECD-Generalsekretär Mathias Cormann und Acting Director Mark Pearson vorgelegte </w:t>
      </w:r>
      <w:r>
        <w:rPr>
          <w:rFonts w:ascii="Arial" w:hAnsi="Arial"/>
          <w:b w:val="0"/>
          <w:i/>
          <w:sz w:val="19"/>
        </w:rPr>
        <w:t>Employment Outlook 2026 — Geographic Disparities in Jobs and Incomes</w:t>
      </w:r>
      <w:r>
        <w:rPr>
          <w:rFonts w:ascii="Arial" w:hAnsi="Arial"/>
          <w:b w:val="0"/>
          <w:i w:val="0"/>
          <w:sz w:val="19"/>
        </w:rPr>
        <w:t xml:space="preserve"> fügt der Debatte eine regionalökonomische Perspektive hinzu: Nach OECD-Ausweis dokumentiert der 392-seitige Bericht große und beharrliche Beschäftigungs-, Arbeitslosigkeits- und Einkommensunterschiede innerhalb einzelner Mitgliedsländer und führt aus, dass lokale Arbeitsmärkte durch Handels- und Technologieschocks — einschließlich Künstlicher Intelligenz — asymmetrisch umgebaut würden, wobei manche Regionen Industrie-Arbeitsplätze verlören, während andere im nicht-routinisierten Dienstleistungssegment aufbauten; die Anpassung erfolge dabei überwiegend nicht über sektorale Wechsel bestehender Beschäftigter, sondern über den Weg in vorübergehende Arbeitslosigkeit und über neue Einstiegskohorten, sodass verdrängte Beschäftigte dauerhafte Einkommensnachteile („lasting scars") tragen könnten. Für den Sozialstaat sei nach den Kernbotschaften des Berichts eine ortsbezogene, integrierte Politik erforderlich, die Regionalpolitik, Industriepolitik und aktive Arbeitsmarktpolitik verknüpft. Cormann verweist ergänzend darauf, dass die OECD-weite erwerbsfähige Bevölkerung bis 2060 um rund 8 % schrumpfe und Qualifikationspolitik dringend erforderlich sei, damit Beschäftigte von KI-Werkzeugen profitieren könnten. Der Bericht behandelt darüber hinaus die Ausbreitung nicht-Konkurrenz-Klauseln (Non-Compete Clauses) — nach OECD-Beobachtung inzwischen bis zu ein Viertel der Beschäftigten in einigen Mitgliedsländern und zunehmend auch in niedrig vergüteten Tätigkeiten — und ordnet sie als hemmend für Arbeitsmobilität, Innovation, Löhne und Produktivität ein. Die am selben Tag (7. Juli 2026) publizierte OECD-Länderdatei zu Non-Compete-Klauseln quantifiziert diese Ausbreitung präziser: In 15 OECD-Ländern seien im Mittel rund 30 % der Beschäftigten durch entsprechende Klauseln oder verwandte Nach-Vertragsbindungen (Kundenschutzabreden, Non-Solicitation-Vereinbarungen) gebunden, was die Verhandlungsposition der Beschäftigten schwäche und Lohnwachstum bremse. Ergänzend liegt der 6-seitige OECD-Länderbericht </w:t>
      </w:r>
      <w:r>
        <w:rPr>
          <w:rFonts w:ascii="Arial" w:hAnsi="Arial"/>
          <w:b w:val="0"/>
          <w:i/>
          <w:sz w:val="19"/>
        </w:rPr>
        <w:t>Employment Outlook 2026 — Deutschland</w:t>
      </w:r>
      <w:r>
        <w:rPr>
          <w:rFonts w:ascii="Arial" w:hAnsi="Arial"/>
          <w:b w:val="0"/>
          <w:i w:val="0"/>
          <w:sz w:val="19"/>
        </w:rPr>
        <w:t xml:space="preserve"> (7. Juli 2026) vor, der die aggregierte OECD-Diagnose auf die deutsche Arbeitsmarktstruktur bezieht (regional asymmetrische Anpassungslasten bei ausgeprägter Süd-Nord-Beschäftigungsspreizung; demografische Kontraktion des Erwerbspersonenpotenzials — vgl. IAB-Frühjahrsprognose in § 1.1 — als zusätzlicher struktureller Faktor). Für die hier geführte Steuerdebatte ist der Bericht in dreifacher Hinsicht relevant: Erstens untermauert er die szenariorobuste Auslegung des steuerpolitischen Instrumentariums, weil regionalspezifische Verwerfungen bei aggregiert moderater Arbeitsmarktdynamik empirisch dokumentiert sind (§ 8.4). Zweitens verweist er auf die Grenzen einer rein arbeitsmarktbezogenen Steuerung, wenn Anpassung faktisch über Ausscheiden und Neueintritt statt über innerbetriebliche Umschichtung stattfindet — ein Muster, das die Kausalattribution einer zielgerichteten Ersatzabgabe (Typ 5 nach § 2.1, § 9.1) weiter erschwert. Drittens verstärkt die dokumentierte Verbreitung von Non-Compete-Klauseln — insbesondere im niedrig vergüteten Segment — das ordnungspolitische Argument für eine Verbreiterung der Sozialstaats-Finanzierungsbasis (§ 5.1), weil die klassische Lohn-Bemessungsgrundlage in einer Ökonomie, in der Beschäftigte Nachvertragsbindungen unterliegen und Anpassung überwiegend über Neueinstellungen erfolgt, tendenziell schmaler wird.</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 Der Trilog-Prozess ist im Mai/Juni 2026 zum Abschluss gekommen: In der dritten Trilogrunde am 7. Mai 2026 einigten sich Parlament, Rat und Kommission auf ein Kompromisspaket („Digital Omnibus on AI" / </w:t>
      </w:r>
      <w:r>
        <w:rPr>
          <w:rFonts w:ascii="Arial" w:hAnsi="Arial"/>
          <w:b w:val="0"/>
          <w:i/>
          <w:sz w:val="19"/>
        </w:rPr>
        <w:t>Omnibus VII</w:t>
      </w:r>
      <w:r>
        <w:rPr>
          <w:rFonts w:ascii="Arial" w:hAnsi="Arial"/>
          <w:b w:val="0"/>
          <w:i w:val="0"/>
          <w:sz w:val="19"/>
        </w:rPr>
        <w:t xml:space="preserve">), das Parlament hat es am 16. Juni 2026 im Plenum bestätigt, der Rat hat es am 29. Juni 2026 in seiner letzten Ratssitzung vor der irischen Präsidentschaft final gebilligt. Die Anwendungsdaten für Hochrisiko-Systeme werden verbindlich auf den 2. Dezember 2027 (Anhang III — Stand-alone) und den 2. August 2028 (Anhang I — eingebettet in regulierte Produkte) verschoben; die Frist für die Einrichtung nationaler </w:t>
      </w:r>
      <w:r>
        <w:rPr>
          <w:rFonts w:ascii="Arial" w:hAnsi="Arial"/>
          <w:b w:val="0"/>
          <w:i/>
          <w:sz w:val="19"/>
        </w:rPr>
        <w:t>AI-Regulatory-Sandboxes</w:t>
      </w:r>
      <w:r>
        <w:rPr>
          <w:rFonts w:ascii="Arial" w:hAnsi="Arial"/>
          <w:b w:val="0"/>
          <w:i w:val="0"/>
          <w:sz w:val="19"/>
        </w:rPr>
        <w:t xml:space="preserve"> wird auf den 2. August 2027 gesetzt, und die Übergangsfrist für Anbieter zur Umsetzung der Transparenzkennzeichnung KI-generierter Inhalte (Art. 50) wird verkürzt. Neu aufgenommen ist eine Erweiterung von Art. 5, die die Erzeugung nicht-einvernehmlicher intimer KI-Inhalte und von KI-generiertem Material sexualisierter Gewalt gegen Minderjährige (CSAM) unionsweit als „prohibited practice" verbietet — die Regelung greift dritten Tages nach Veröffentlichung im Amtsblatt und markiert die erste materielle Erweiterung des Verbotskatalogs seit der Verabschiedung des AI Act 2024. Die Kommissionsdurchsetzungsbefugnisse für Anbieter von Allzweck-KI-Modellen (GPAI) treten wie ursprünglich vorgesehen zum 2. August 2026 in Kraft. Für die Steuerdebatte bedeutet der Abschluss, dass die AI-Act-Kategorienlandschaft nun für mindestens einen weiteren Beobachtungszyklus stabil ist und mittelfristige Anknüpfungen (etwa für Bemessungsgrundlagen einer inländischen KI-Nutzungsabgabe) auf einer rechtssicheren Definitionsbasis geplant werden können.</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Deutsches Umsetzungsgesetz zur KI-Verordnung (KI-MIG, Juli 2026):</w:t>
      </w:r>
      <w:r>
        <w:rPr>
          <w:rFonts w:ascii="Arial" w:hAnsi="Arial"/>
          <w:b w:val="0"/>
          <w:i w:val="0"/>
          <w:sz w:val="19"/>
        </w:rPr>
        <w:t xml:space="preserve"> Parallel zur europäischen Digital-Omnibus-Vereinfachung hat der Bundestag am 11. Juni 2026 das </w:t>
      </w:r>
      <w:r>
        <w:rPr>
          <w:rFonts w:ascii="Arial" w:hAnsi="Arial"/>
          <w:b w:val="0"/>
          <w:i/>
          <w:sz w:val="19"/>
        </w:rPr>
        <w:t>Gesetz zur Durchführung der KI-Verordnung</w:t>
      </w:r>
      <w:r>
        <w:rPr>
          <w:rFonts w:ascii="Arial" w:hAnsi="Arial"/>
          <w:b w:val="0"/>
          <w:i w:val="0"/>
          <w:sz w:val="19"/>
        </w:rPr>
        <w:t xml:space="preserve"> (KI-MIG) beschlossen, das die Bundesnetzagentur zur zentralen Marktüberwachungsbehörde für den Bund benennt und der Datenschutzaufsicht die Zuständigkeit für die grundrechtssensiblen Bereiche zuweist. In seiner 1067. Sitzung am 10. Juli 2026 hat der Bundesrat das KI-MIG passieren lassen; der Antrag, den </w:t>
      </w:r>
      <w:r>
        <w:rPr>
          <w:rFonts w:ascii="Arial" w:hAnsi="Arial"/>
          <w:b w:val="0"/>
          <w:i/>
          <w:sz w:val="19"/>
        </w:rPr>
        <w:t>Vermittlungsausschuss</w:t>
      </w:r>
      <w:r>
        <w:rPr>
          <w:rFonts w:ascii="Arial" w:hAnsi="Arial"/>
          <w:b w:val="0"/>
          <w:i w:val="0"/>
          <w:sz w:val="19"/>
        </w:rPr>
        <w:t xml:space="preserve"> anzurufen, den der </w:t>
      </w:r>
      <w:r>
        <w:rPr>
          <w:rFonts w:ascii="Arial" w:hAnsi="Arial"/>
          <w:b w:val="0"/>
          <w:i/>
          <w:sz w:val="19"/>
        </w:rPr>
        <w:t>Ausschuss für Digitalisierung und Staatsmodernisierung</w:t>
      </w:r>
      <w:r>
        <w:rPr>
          <w:rFonts w:ascii="Arial" w:hAnsi="Arial"/>
          <w:b w:val="0"/>
          <w:i w:val="0"/>
          <w:sz w:val="19"/>
        </w:rPr>
        <w:t xml:space="preserve"> am 30. Juni 2026 empfohlen hatte („grundlegende Überarbeitung" zur Beseitigung einer aus Ausschusssicht drohenden </w:t>
      </w:r>
      <w:r>
        <w:rPr>
          <w:rFonts w:ascii="Arial" w:hAnsi="Arial"/>
          <w:b w:val="0"/>
          <w:i/>
          <w:sz w:val="19"/>
        </w:rPr>
        <w:t>Zersplitterung der Marktüberwachung</w:t>
      </w:r>
      <w:r>
        <w:rPr>
          <w:rFonts w:ascii="Arial" w:hAnsi="Arial"/>
          <w:b w:val="0"/>
          <w:i w:val="0"/>
          <w:sz w:val="19"/>
        </w:rPr>
        <w:t xml:space="preserve"> zwischen Bundesnetzagentur und Ländern), fand im Plenum keine Mehrheit. Das Gesetz kann damit ohne weiteres parlamentarisches Verfahren in Kraft treten. Nach der beschlossenen Fassung übernimmt die Bundesnetzagentur die Rolle einer zentralen Marktüberwachungs- und Anlaufstelle mit Koordinierungs- und Kompetenzzentrum, gebündelter KI-Expertise gegenüber anderen Behörden, zentraler Beschwerdestelle für Bürgerinnen und Bürger und dem Auftrag, mindestens ein KI-</w:t>
      </w:r>
      <w:r>
        <w:rPr>
          <w:rFonts w:ascii="Arial" w:hAnsi="Arial"/>
          <w:b w:val="0"/>
          <w:i/>
          <w:sz w:val="19"/>
        </w:rPr>
        <w:t>Reallabor</w:t>
      </w:r>
      <w:r>
        <w:rPr>
          <w:rFonts w:ascii="Arial" w:hAnsi="Arial"/>
          <w:b w:val="0"/>
          <w:i w:val="0"/>
          <w:sz w:val="19"/>
        </w:rPr>
        <w:t xml:space="preserve"> für die beaufsichtigte Erprobung neuer Anwendungen (insbesondere für kleine und mittlere Unternehmen) einzurichten; ausdrücklich ausgenommen von ihrer Marktüberwachungsbefugnis bleibt der KI-Einsatz in öffentlichen Institutionen der Länder und Kommunen. Für die Steuerdebatte ist der Vorgang mittelbar relevant, weil die AI-Act-Kategorien (Anhang I/III, Hochrisiko-Systeme, GPAI) über die Marktüberwachungsstellen operationalisiert werden — eine mögliche spätere Anknüpfung steuerlicher Tatbestände an diese Kategorien (etwa im Rahmen einer inländischen KI-Nutzungsabgabe, § 8.3) hängt davon ab, dass Definitionen, Meldedatenflüsse und Prüfmaßstäbe verlässlich harmonisiert vorliegen; die im Ausschussvotum kritisierte Zersplitterung zwischen Bundes- und Länderebene bleibt damit ein für spätere steuerliche Anknüpfungen offener Reibungspunkt.</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jc w:val="both"/>
      </w:pPr>
      <w:r>
        <w:rPr>
          <w:rFonts w:ascii="Arial" w:hAnsi="Arial"/>
          <w:b/>
          <w:i w:val="0"/>
          <w:sz w:val="19"/>
        </w:rPr>
        <w:t>OECD-weite Bestandsaufnahme der KI-Arbeitsmarkt-Politik (24. Juli 2026):</w:t>
      </w:r>
      <w:r>
        <w:rPr>
          <w:rFonts w:ascii="Arial" w:hAnsi="Arial"/>
          <w:b w:val="0"/>
          <w:i w:val="0"/>
          <w:sz w:val="19"/>
        </w:rPr>
        <w:t xml:space="preserve"> Die am 24. Juli 2026 veröffentlichte 64-seitige OECD-Working-Paper-Studie </w:t>
      </w:r>
      <w:r>
        <w:rPr>
          <w:rFonts w:ascii="Arial" w:hAnsi="Arial"/>
          <w:b w:val="0"/>
          <w:i/>
          <w:sz w:val="19"/>
        </w:rPr>
        <w:t>„Recent policy developments on AI in the labour market"</w:t>
      </w:r>
      <w:r>
        <w:rPr>
          <w:rFonts w:ascii="Arial" w:hAnsi="Arial"/>
          <w:b w:val="0"/>
          <w:i w:val="0"/>
          <w:sz w:val="19"/>
        </w:rPr>
        <w:t xml:space="preserve"> aus der Reihe </w:t>
      </w:r>
      <w:r>
        <w:rPr>
          <w:rFonts w:ascii="Arial" w:hAnsi="Arial"/>
          <w:b w:val="0"/>
          <w:i/>
          <w:sz w:val="19"/>
        </w:rPr>
        <w:t>OECD Artificial Intelligence Papers</w:t>
      </w:r>
      <w:r>
        <w:rPr>
          <w:rFonts w:ascii="Arial" w:hAnsi="Arial"/>
          <w:b w:val="0"/>
          <w:i w:val="0"/>
          <w:sz w:val="19"/>
        </w:rPr>
        <w:t xml:space="preserve"> systematisiert die in den G7-Staaten, der Europäischen Union und ausgewählten lateinamerikanischen Volkswirtschaften ergriffenen Maßnahmen zum Umgang mit KI im Arbeitsmarkt entlang von sechs Politikfeldern: Automatisierung, Produktivität, Qualifikation und Inklusion; Datenschutz und Privatsphäre; Nicht-Diskriminierung; Arbeitsschutz und Gesundheit am Arbeitsplatz; Transparenz, Erklärbarkeit und Rechenschaftspflicht; sowie sozialer Dialog. Nach dem Kernbefund der Autorinnen und Autoren seien Politikmaßnahmen mit explizitem KI-Bezug bislang am weitesten in den Bereichen KI-Qualifikation und KI-Adoption entwickelt, während konkrete Regelungen in den Feldern Datenschutz, Transparenz und Rechenschaftspflicht noch überwiegend erst aufkämen; die Studie ordnet damit den in § 4.2 bis § 4.4 dokumentierten deutschen und europäischen Regulierungsrahmen (AI Act, KI-MIG, Digital Omnibus on AI) in einen breiteren internationalen Vergleichshorizont ein. Für die hier geführte Steuerdebatte ist der Bericht in dreifacher Hinsicht relevant: Erstens dokumentiert er, dass die international vorherrschende politische Antwort auf KI-Verdrängung derzeit qualifikatorisch-adaptiver Natur ist (Weiterbildung, Umschulung, adoption support) und die fiskalische Anknüpfung (Steuerverlagerung, Souveränitätsfonds, Wertschöpfungsabgabe) international nur ausnahmsweise formuliert wird — ein empirischer Beleg dafür, dass die in Kapitel 8 entwickelte Deutschland-These und die in § 4.5 dokumentierten US-Initiativen (Sanders/OpenAI) im internationalen Vergleich weiterhin die avanciertere Debattenposition markieren. Zweitens verweist die schwache Entwicklung im Bereich Transparenz und Rechenschaftspflicht auf die in § 9.1 diskutierten Kausalattributionsprobleme einer zielgerichteten Ersatzabgabe (Typ 5 nach § 2.1): Solange auf OECD-Ebene keine standardisierten Disclosure- und Attribuierungspflichten etabliert sind, bleibt die Anknüpfung an „nachgewiesene KI-Verdrängung" administrativ fragil — ein Argument für die Vorziehung von Wertschöpfungs- vor Ertrags-anknüpfenden Instrumenten (§ 5.1, § 8.3). Drittens stützt die dokumentierte Fokussierung auf sozialen Dialog als politisches Feld die in § 5.2 und in der Koalitionsausschuss-Verabredung vom 1./2. Juli 2026 (Sozialpartnergespräch bis Mitte Oktober 2026) angelegte deutsche Verankerung von Sozialpartner-Konsultationen bei arbeitsrechtlichen KI-Vereinfachungen und ordnet sie als international anschlussfähig ein.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Am 18. Juni 2026 hat Sanders den </w:t>
      </w:r>
      <w:r>
        <w:rPr>
          <w:rFonts w:ascii="Arial" w:hAnsi="Arial"/>
          <w:b w:val="0"/>
          <w:i/>
          <w:sz w:val="19"/>
        </w:rPr>
        <w:t>American A.I. Sovereign Wealth Fund Act</w:t>
      </w:r>
      <w:r>
        <w:rPr>
          <w:rFonts w:ascii="Arial" w:hAnsi="Arial"/>
          <w:b w:val="0"/>
          <w:i w:val="0"/>
          <w:sz w:val="19"/>
        </w:rPr>
        <w:t xml:space="preserve"> (S. 4825, 119. Kongress) eingebracht, den bislang konkretesten fiskalischen Baustein seiner AI-Agenda. Der Gesetzentwurf sieht eine einmalige Abgabe in Höhe von 50 % des ausstehenden Stammkapitals aller AI-Unternehmen mit einem Jahresumsatz aus KI-Aktivitäten von mindestens 200 Millionen US-Dollar vor; die abgegebenen Aktien fließen in einen bundesstaatlichen Souveränen KI-Beteiligungsfonds, dessen Marktwert von Sanders' Büro und Nachrichtenagenturen auf rund 7 Billionen US-Dollar geschätzt wird. Eine an den Fonds gekoppelte </w:t>
      </w:r>
      <w:r>
        <w:rPr>
          <w:rFonts w:ascii="Arial" w:hAnsi="Arial"/>
          <w:b w:val="0"/>
          <w:i/>
          <w:sz w:val="19"/>
        </w:rPr>
        <w:t>Independent Commission for Democratic AI</w:t>
      </w:r>
      <w:r>
        <w:rPr>
          <w:rFonts w:ascii="Arial" w:hAnsi="Arial"/>
          <w:b w:val="0"/>
          <w:i w:val="0"/>
          <w:sz w:val="19"/>
        </w:rPr>
        <w:t xml:space="preserve"> soll die Stimmrechte und Aufsichtsratsmandate ausüben — sowohl zur Blockade schädlicher Unternehmensentscheidungen als auch zur aktiven Ausrichtung an Gemeinwohlzielen — und eine jährliche Dividende in Höhe von rund 5 % des Fondswerts an alle US-Bürgerinnen und -Bürger ausschütten (Sanders' Kalkulation: rund 1.000 US-Dollar pro Person und Jahr). Die Aussicht auf Verabschiedung in einem republikanisch geführten Kongress gilt weiterhin als gering; als konzeptioneller Beitrag verschiebt der Entwurf jedoch die US-Debatte von einer flussorientierten (Robotersteuer, Rechenzentren-Moratorium) auf eine bestandsorientierte Umverteilungslogik: Nicht die laufenden KI-Erträge, sondern das Eigentum an den KI-Produktionsmitteln selbst wird zur fiskalischen Anknüpfung. Für die in Kapitel 8 entwickelte Deutschland-These ist der Vorschlag ein direkt vergleichbarer Referenzpunkt, weil er im norwegischen Staatsfonds- und im in § 5.4 diskutierten Beteiligungsfonds-Modell einen gemeinsamen strukturellen Kern hat — allerdings mit einer aggressiveren Eingangsdotierung als in den europäischen Debatten üblich. Der bereits im März 2026 mit Alexandria Ocasio-Cortez eingebrachte </w:t>
      </w:r>
      <w:r>
        <w:rPr>
          <w:rFonts w:ascii="Arial" w:hAnsi="Arial"/>
          <w:b w:val="0"/>
          <w:i/>
          <w:sz w:val="19"/>
        </w:rPr>
        <w:t>Artificial Intelligence Data Center Moratorium Act</w:t>
      </w:r>
      <w:r>
        <w:rPr>
          <w:rFonts w:ascii="Arial" w:hAnsi="Arial"/>
          <w:b w:val="0"/>
          <w:i w:val="0"/>
          <w:sz w:val="19"/>
        </w:rPr>
        <w:t xml:space="preserve"> (S. 4214) bleibt komplementär; er adressiert die Angebotsseite der KI-Infrastruktur, während der neue Fondsentwurf die Eigentumsseite adressiert.</w:t>
      </w:r>
    </w:p>
    <w:p>
      <w:pPr>
        <w:jc w:val="both"/>
      </w:pPr>
      <w:r>
        <w:rPr>
          <w:rFonts w:ascii="Arial" w:hAnsi="Arial"/>
          <w:b/>
          <w:i w:val="0"/>
          <w:sz w:val="19"/>
        </w:rPr>
        <w:t>OpenAI-Gegenvorschlag — freiwillige 5-%-Equity-Dotierung an einen US-Souveränen KI-Fonds (Anfang Juli 2026):</w:t>
      </w:r>
      <w:r>
        <w:rPr>
          <w:rFonts w:ascii="Arial" w:hAnsi="Arial"/>
          <w:b w:val="0"/>
          <w:i w:val="0"/>
          <w:sz w:val="19"/>
        </w:rPr>
        <w:t xml:space="preserve"> Als direkte Reaktion auf den Sanders-Entwurf hat OpenAI-CEO Sam Altman Anfang Juli 2026 einen eigenen Vorschlag in die Debatte gebracht: OpenAI würde freiwillig 5 % der eigenen Unternehmensanteile an einen zu errichtenden US-Souveränen KI-Beteiligungsfonds abtreten und andere führende US-Anbieter (Anthropic, Alphabet/Google, Meta, xAI) einladen, jeweils spiegelbildliche 5-%-Anteile beizusteuern. Bezogen auf die im März 2026 in der letzten OpenAI-Finanzierungsrunde ermittelte Bewertung von rund 852 Milliarden US-Dollar entspräche der eigene Beitrag rechnerisch etwa 42,6 Milliarden US-Dollar; das Fondsdesign folgt nach OpenAI-Angaben dem </w:t>
      </w:r>
      <w:r>
        <w:rPr>
          <w:rFonts w:ascii="Arial" w:hAnsi="Arial"/>
          <w:b w:val="0"/>
          <w:i/>
          <w:sz w:val="19"/>
        </w:rPr>
        <w:t>Alaska Permanent Fund</w:t>
      </w:r>
      <w:r>
        <w:rPr>
          <w:rFonts w:ascii="Arial" w:hAnsi="Arial"/>
          <w:b w:val="0"/>
          <w:i w:val="0"/>
          <w:sz w:val="19"/>
        </w:rPr>
        <w:t xml:space="preserve"> — einem Modell, in dem Rohstoffrenten (dort: Öleinnahmen) zu jährlichen Dividenden an alle Einwohnerinnen und Einwohner ausgeschüttet werden. Berichterstattet wurde der Vorschlag zunächst von der </w:t>
      </w:r>
      <w:r>
        <w:rPr>
          <w:rFonts w:ascii="Arial" w:hAnsi="Arial"/>
          <w:b w:val="0"/>
          <w:i/>
          <w:sz w:val="19"/>
        </w:rPr>
        <w:t>Financial Times</w:t>
      </w:r>
      <w:r>
        <w:rPr>
          <w:rFonts w:ascii="Arial" w:hAnsi="Arial"/>
          <w:b w:val="0"/>
          <w:i w:val="0"/>
          <w:sz w:val="19"/>
        </w:rPr>
        <w:t xml:space="preserve"> am 2. Juli 2026 unter Berufung auf zwei mit der Sache vertraute Personen und tags darauf von CNBC, Fortune, Forbes, TechCrunch und Reuters; nach diesen Berichten habe Altman den Entwurf informell gegenüber Präsident Trump, Handelsminister Howard Lutnick und Finanzminister Scott Bessent skizziert. Konzeptionell ist der OpenAI-Vorschlag ein spiegelbildliches Pendant zum Sanders-Entwurf: Beide adressieren die Eigentumsseite der KI-Wertschöpfung über einen US-Souveränen Fonds und dokumentieren damit einen ordnungspolitischen Konsens, dass die KI-Renten institutionell breiter verteilt werden sollen; die Differenz liegt in Dotierung (5 % freiwillig gegenüber 50 % gesetzlich verpflichtend), Trägerlogik (Selbstverpflichtung mit Erwartung an </w:t>
      </w:r>
      <w:r>
        <w:rPr>
          <w:rFonts w:ascii="Arial" w:hAnsi="Arial"/>
          <w:b w:val="0"/>
          <w:i/>
          <w:sz w:val="19"/>
        </w:rPr>
        <w:t>Matching Contributions</w:t>
      </w:r>
      <w:r>
        <w:rPr>
          <w:rFonts w:ascii="Arial" w:hAnsi="Arial"/>
          <w:b w:val="0"/>
          <w:i w:val="0"/>
          <w:sz w:val="19"/>
        </w:rPr>
        <w:t xml:space="preserve"> der Wettbewerber gegenüber einer schwellenbasierten </w:t>
      </w:r>
      <w:r>
        <w:rPr>
          <w:rFonts w:ascii="Arial" w:hAnsi="Arial"/>
          <w:b w:val="0"/>
          <w:i/>
          <w:sz w:val="19"/>
        </w:rPr>
        <w:t>Excise-Abgabe</w:t>
      </w:r>
      <w:r>
        <w:rPr>
          <w:rFonts w:ascii="Arial" w:hAnsi="Arial"/>
          <w:b w:val="0"/>
          <w:i w:val="0"/>
          <w:sz w:val="19"/>
        </w:rPr>
        <w:t xml:space="preserve">), Anwendungsbereich (fünf führende US-Anbieter statt aller Unternehmen mit ≥ 200 Millionen US-Dollar KI-Umsatz) und institutioneller Kontrolle (offen im OpenAI-Entwurf gegenüber der bei Sanders vorgesehenen </w:t>
      </w:r>
      <w:r>
        <w:rPr>
          <w:rFonts w:ascii="Arial" w:hAnsi="Arial"/>
          <w:b w:val="0"/>
          <w:i/>
          <w:sz w:val="19"/>
        </w:rPr>
        <w:t>Independent Commission for Democratic AI</w:t>
      </w:r>
      <w:r>
        <w:rPr>
          <w:rFonts w:ascii="Arial" w:hAnsi="Arial"/>
          <w:b w:val="0"/>
          <w:i w:val="0"/>
          <w:sz w:val="19"/>
        </w:rPr>
        <w:t>). Für die in § 4.5 dokumentierte Auseinandersetzung um die Verteilung KI-basierter Erträge markiert der Vorschlag den Übergang von einer rein exekutiv-lobbyistischen zu einer offen policy-formativen Rolle der Frontier-Anbieter; er fügt sich zugleich in die im OpenAI-Strategiepapier vom April 2026 formulierte Empfehlung eines öffentlichen Wohlstandsfonds nach norwegischem Vorbild ein und konkretisiert diese um eine erstmalige numerische Selbstverpflichtung. Für die Deutschland-These in Kapitel 8 ist der Vorstoß ein weiterer Referenzpunkt: Er zeigt, dass eine bestandsorientierte Fondslogik (§ 8.3) mit einer freiwilligen Eingangsdotierung in Höhe der von OpenAI angebotenen Größenordnung — ohne Zwangsabgabe — bereits in der US-Debatte diskutierbar ist. Ob und in welcher Form der Vorschlag politische Beschlussfähigkeit erreicht, ist offen; eine formelle Umsetzung setzte nach übereinstimmender Einschätzung der Berichterstattung eine Zustimmung des Kongresses voraus, die auch für einen freiwilligen SWF-Beitritt notwendig wäre.</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Frontier-Modell-Exportkontrollen — Fable-5-Episode (Juni/Juli 2026):</w:t>
      </w:r>
      <w:r>
        <w:rPr>
          <w:rFonts w:ascii="Arial" w:hAnsi="Arial"/>
          <w:b w:val="0"/>
          <w:i w:val="0"/>
          <w:sz w:val="19"/>
        </w:rPr>
        <w:t xml:space="preserve"> Eine erste operative Anwendung des im Juni 2026 durch Executive Order etablierten US-Vor-Freigabe-Regimes betrifft Anthropic. Am 12. Juni 2026 hat die US-Regierung Ausfuhrkontrollen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verhängt, nachdem Amazon-Sicherheitsforschende ein Umgehungsverfahren dokumentiert hatten, mit dem sich Fable 5 zur Identifikation und in einem Einzelfall zur exemplarischen Ausnutzung einer Software-Schwachstelle bewegen ließ. Weil die Kontrollen ausländischen Staatsangehörigen den Zugriff untersagten und eine Nationalitätsprüfung in Echtzeit nicht praktikabel war, hat Anthropic beide Modelle zunächst weltweit ausgesetzt. Nach Aufhebung der Kontrollen am 30. Juni 2026 wurde </w:t>
      </w:r>
      <w:r>
        <w:rPr>
          <w:rFonts w:ascii="Arial" w:hAnsi="Arial"/>
          <w:b w:val="0"/>
          <w:i/>
          <w:sz w:val="19"/>
        </w:rPr>
        <w:t>Fable 5</w:t>
      </w:r>
      <w:r>
        <w:rPr>
          <w:rFonts w:ascii="Arial" w:hAnsi="Arial"/>
          <w:b w:val="0"/>
          <w:i w:val="0"/>
          <w:sz w:val="19"/>
        </w:rPr>
        <w:t xml:space="preserve"> zum 1. Juli 2026 weltweit erneut ausgerollt — nunmehr mit gemeinsam mit dem US Center for AI Safety Institute (CAISI) trainierten Klassifikatoren, die nach Anbieterangaben die dokumentierte Umgehungsroutine in über 99 % der Fälle blockieren, dabei aber eine erhöhte Fehlalarmquote bei regulären Debugging- und Programmierarbeiten aufweisen; auf den kostenpflichtigen Tarifen (</w:t>
      </w:r>
      <w:r>
        <w:rPr>
          <w:rFonts w:ascii="Arial" w:hAnsi="Arial"/>
          <w:b w:val="0"/>
          <w:i/>
          <w:sz w:val="19"/>
        </w:rPr>
        <w:t>Pro</w:t>
      </w:r>
      <w:r>
        <w:rPr>
          <w:rFonts w:ascii="Arial" w:hAnsi="Arial"/>
          <w:b w:val="0"/>
          <w:i w:val="0"/>
          <w:sz w:val="19"/>
        </w:rPr>
        <w:t xml:space="preserve">, </w:t>
      </w:r>
      <w:r>
        <w:rPr>
          <w:rFonts w:ascii="Arial" w:hAnsi="Arial"/>
          <w:b w:val="0"/>
          <w:i/>
          <w:sz w:val="19"/>
        </w:rPr>
        <w:t>Max</w:t>
      </w:r>
      <w:r>
        <w:rPr>
          <w:rFonts w:ascii="Arial" w:hAnsi="Arial"/>
          <w:b w:val="0"/>
          <w:i w:val="0"/>
          <w:sz w:val="19"/>
        </w:rPr>
        <w:t xml:space="preserve">, </w:t>
      </w:r>
      <w:r>
        <w:rPr>
          <w:rFonts w:ascii="Arial" w:hAnsi="Arial"/>
          <w:b w:val="0"/>
          <w:i/>
          <w:sz w:val="19"/>
        </w:rPr>
        <w:t>Team</w:t>
      </w:r>
      <w:r>
        <w:rPr>
          <w:rFonts w:ascii="Arial" w:hAnsi="Arial"/>
          <w:b w:val="0"/>
          <w:i w:val="0"/>
          <w:sz w:val="19"/>
        </w:rPr>
        <w:t xml:space="preserve">, ausgewählte </w:t>
      </w:r>
      <w:r>
        <w:rPr>
          <w:rFonts w:ascii="Arial" w:hAnsi="Arial"/>
          <w:b w:val="0"/>
          <w:i/>
          <w:sz w:val="19"/>
        </w:rPr>
        <w:t>Enterprise</w:t>
      </w:r>
      <w:r>
        <w:rPr>
          <w:rFonts w:ascii="Arial" w:hAnsi="Arial"/>
          <w:b w:val="0"/>
          <w:i w:val="0"/>
          <w:sz w:val="19"/>
        </w:rPr>
        <w:t xml:space="preserve">) blieb </w:t>
      </w:r>
      <w:r>
        <w:rPr>
          <w:rFonts w:ascii="Arial" w:hAnsi="Arial"/>
          <w:b w:val="0"/>
          <w:i/>
          <w:sz w:val="19"/>
        </w:rPr>
        <w:t>Fable 5</w:t>
      </w:r>
      <w:r>
        <w:rPr>
          <w:rFonts w:ascii="Arial" w:hAnsi="Arial"/>
          <w:b w:val="0"/>
          <w:i w:val="0"/>
          <w:sz w:val="19"/>
        </w:rPr>
        <w:t xml:space="preserve"> zunächst bis zum 7., später bis zum 12. Juli 2026 im vollen Kontingent enthalten und wurde danach über Nutzungsguthaben abgerechnet. Mit Ablauf der verlängerten Kontingent-Frist zum 12. Juli 2026 (23:59:59 Pacific Time) hat Anthropic die Umstellung wie angekündigt vollzogen: </w:t>
      </w:r>
      <w:r>
        <w:rPr>
          <w:rFonts w:ascii="Arial" w:hAnsi="Arial"/>
          <w:b w:val="0"/>
          <w:i/>
          <w:sz w:val="19"/>
        </w:rPr>
        <w:t>Fable 5</w:t>
      </w:r>
      <w:r>
        <w:rPr>
          <w:rFonts w:ascii="Arial" w:hAnsi="Arial"/>
          <w:b w:val="0"/>
          <w:i w:val="0"/>
          <w:sz w:val="19"/>
        </w:rPr>
        <w:t xml:space="preserve"> wird seit dem 13. Juli 2026 in den Abonnementplänen nicht mehr auf das wöchentliche Nutzungskontingent angerechnet, sondern über ein gesondert aufgeladenes Nutzungsguthaben zu einem Standardpreis von 10 US-Dollar pro Million Input- und 50 US-Dollar pro Million Output-Token abgerechnet (Prompt-Caching senkt die Input-Kosten weiterhin um bis zu 90 %). Die Rate liegt damit rund doppelt so hoch wie der Standardpreis von </w:t>
      </w:r>
      <w:r>
        <w:rPr>
          <w:rFonts w:ascii="Arial" w:hAnsi="Arial"/>
          <w:b w:val="0"/>
          <w:i/>
          <w:sz w:val="19"/>
        </w:rPr>
        <w:t>Claude Opus 4.8</w:t>
      </w:r>
      <w:r>
        <w:rPr>
          <w:rFonts w:ascii="Arial" w:hAnsi="Arial"/>
          <w:b w:val="0"/>
          <w:i w:val="0"/>
          <w:sz w:val="19"/>
        </w:rPr>
        <w:t xml:space="preserve"> (5 / 25 US-Dollar) und markiert die höchste je durch Anthropic öffentlich gelistete Kategorie; der Anbieter positioniert die Umstellung als </w:t>
      </w:r>
      <w:r>
        <w:rPr>
          <w:rFonts w:ascii="Arial" w:hAnsi="Arial"/>
          <w:b w:val="0"/>
          <w:i/>
          <w:sz w:val="19"/>
        </w:rPr>
        <w:t>temporäre Kapazitätsrationierung</w:t>
      </w:r>
      <w:r>
        <w:rPr>
          <w:rFonts w:ascii="Arial" w:hAnsi="Arial"/>
          <w:b w:val="0"/>
          <w:i w:val="0"/>
          <w:sz w:val="19"/>
        </w:rPr>
        <w:t xml:space="preserve"> für ein weiterhin nur begrenzt verfügbares Frontier-Modell. Für die in § 8.2 aufgenommene deflationäre Preisdynamik ergibt sich damit ein präziseres Bild als bislang: Der Preisrückgang der letzten Monate betrifft primär die </w:t>
      </w:r>
      <w:r>
        <w:rPr>
          <w:rFonts w:ascii="Arial" w:hAnsi="Arial"/>
          <w:b w:val="0"/>
          <w:i/>
          <w:sz w:val="19"/>
        </w:rPr>
        <w:t>Workhorse</w:t>
      </w:r>
      <w:r>
        <w:rPr>
          <w:rFonts w:ascii="Arial" w:hAnsi="Arial"/>
          <w:b w:val="0"/>
          <w:i w:val="0"/>
          <w:sz w:val="19"/>
        </w:rPr>
        <w:t xml:space="preserve">-Klasse (Anthropic </w:t>
      </w:r>
      <w:r>
        <w:rPr>
          <w:rFonts w:ascii="Arial" w:hAnsi="Arial"/>
          <w:b w:val="0"/>
          <w:i/>
          <w:sz w:val="19"/>
        </w:rPr>
        <w:t>Claude Sonnet 5</w:t>
      </w:r>
      <w:r>
        <w:rPr>
          <w:rFonts w:ascii="Arial" w:hAnsi="Arial"/>
          <w:b w:val="0"/>
          <w:i w:val="0"/>
          <w:sz w:val="19"/>
        </w:rPr>
        <w:t xml:space="preserve"> 2 / 10 US-Dollar bis 31. August 2026, Meta </w:t>
      </w:r>
      <w:r>
        <w:rPr>
          <w:rFonts w:ascii="Arial" w:hAnsi="Arial"/>
          <w:b w:val="0"/>
          <w:i/>
          <w:sz w:val="19"/>
        </w:rPr>
        <w:t>Muse Spark 1.1</w:t>
      </w:r>
      <w:r>
        <w:rPr>
          <w:rFonts w:ascii="Arial" w:hAnsi="Arial"/>
          <w:b w:val="0"/>
          <w:i w:val="0"/>
          <w:sz w:val="19"/>
        </w:rPr>
        <w:t xml:space="preserve"> 1,25 / 4,25 US-Dollar), während supply-constrained Spitzenmodelle wie </w:t>
      </w:r>
      <w:r>
        <w:rPr>
          <w:rFonts w:ascii="Arial" w:hAnsi="Arial"/>
          <w:b w:val="0"/>
          <w:i/>
          <w:sz w:val="19"/>
        </w:rPr>
        <w:t>Fable 5</w:t>
      </w:r>
      <w:r>
        <w:rPr>
          <w:rFonts w:ascii="Arial" w:hAnsi="Arial"/>
          <w:b w:val="0"/>
          <w:i w:val="0"/>
          <w:sz w:val="19"/>
        </w:rPr>
        <w:t xml:space="preserve"> gegen die Deflation preisen. Die Frontier-Ökonomik teilt sich damit sichtbar in eine Angebots-getriebene Preiskurve für standardisierbare Inferenzen und eine knappheits-getriebene Preiskurve für die jeweils aktuellste Modellklasse — ein Muster, das für Anknüpfungspunkte einer inländischen KI-Nutzungsabgabe (§ 8.3) bedeutet, dass Bemessungsgrundlage und Tarifstruktur modellklassenspezifisch differenziert werden müssten. Für die hier geführte Steuer- und Governance-Debatte ist die Episode relevant, weil sie zeigt, dass die frontier-nahen KI-Anbieter inzwischen in einem Regulierungskontext operieren, in dem US-exekutive Sicherheitsauflagen (Cybersecurity Executive Order, koordinierte Klassifikatoren) den Zugriff auf importierte Modelle unmittelbar einschränken können — mit denselben Rückwirkungen auf europäische Nutzerinnen und Nutzer, wie sie die AI-Act-Konformitätsschritte auf der Angebotsseite auslösen. Der administrative Zugriff auf einen KI-Wertschöpfungsstrang wird damit vorerst stärker exekutiv-sicherheitspolitisch als steuer- oder wettbewerbsrechtlich vermittelt; für die in § 8.3 skizzierten Zugriffspfade heißt das, dass Wertschöpfungsabgabe und Fondslogik zusätzlich robust gegenüber Verfügbarkeitsstörungen der Basismodelle konstruiert werden müssen.</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findet am 12. Juni 2026 statt, die 2./3. Lesung folgt am 10. Juli 2026 in namentlicher Abstimmung mit 318 zu 284 Stimmen (Bundestag, Kalenderwoche 28); der zweite Bundesratsdurchgang findet am selben 10. Juli 2026 statt und billigt das Gesetz — ein von den Ländern Saarland, Bremen, Hamburg, Mecklenburg-Vorpommern, Niedersachsen und Sachsen-Anhalt gestellter Antrag auf Anrufung des Vermittlungsausschusses scheitert an der Zweidrittelmehrheit, nachdem die Bundesregierung in einer Protokollerklärung Zugeständnisse zusichert (rund 550 Millionen Euro zusätzliche Krankenhausmittel, davon 100 Millionen für Universitätskliniken ab 2027 und 450 Millionen über einen erhöhten Rechnungszuschlag, Angleichung der Kostenaufwuchsgrenze 2027–2029, Abbau von Bürokratie einschließlich PPR 2.0 und Pflegepersonaluntergrenzen sowie erweiterte Ausnahmen vom 15,5-%-Herstellerabschlag im Pharmabereich bis Januar 2027 und ein interministerielles Fachgremium bis Ende September 2026) — das Gesetz kann damit ohne weitere parlamentarische Behandlung in Kraft treten.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jc w:val="both"/>
      </w:pPr>
      <w:r>
        <w:rPr>
          <w:rFonts w:ascii="Arial" w:hAnsi="Arial"/>
          <w:b/>
          <w:i w:val="0"/>
          <w:sz w:val="19"/>
        </w:rPr>
        <w:t>Regierungserklärung Bundeskanzler Merz zur Zwischenbilanz und Reformpaket (9. Juli 2026):</w:t>
      </w:r>
      <w:r>
        <w:rPr>
          <w:rFonts w:ascii="Arial" w:hAnsi="Arial"/>
          <w:b w:val="0"/>
          <w:i w:val="0"/>
          <w:sz w:val="19"/>
        </w:rPr>
        <w:t xml:space="preserve"> Am 9. Juli 2026 hat Bundeskanzler Friedrich Merz in der 89. Sitzung des 21. Deutschen Bundestages eine Regierungserklärung „zur aktuellen politischen Lage" abgegeben und dabei eine positive Zwischenbilanz der Union-SPD-Koalition nach 14 Monaten Amtszeit gezogen. Für die in § 5.1 und § 5.2 diskutierte Reformschiene ist der Auftritt in zweifacher Hinsicht relevant. Erstens hat Merz das im Koalitionsausschuss am 1./2. Juli 2026 beschlossene 34-Punkte-Programm „für Aufschwung und Beschäftigung" als „substanzielles Paket, das in seiner Größenordnung in den vergangenen Jahren von keiner Bundesregierung so angepackt wurde" charakterisiert; das Programm verklammert die Reformen der Steuer, der gesetzlichen Rentenversicherung, der gesetzlichen Krankenversicherung und des Arbeitsmarkts und bezieht ausdrücklich die vollständige Umsetzung der 33 Empfehlungen der Alterssicherungskommission (Bericht vom 23. Juni 2026) mit ein — die legislative Umsetzung soll dem Kanzler zufolge bis Ende 2026 abgeschlossen sein. Zweitens hat Merz für die deutsche KI-Wirtschaft Zahlen vom </w:t>
      </w:r>
      <w:r>
        <w:rPr>
          <w:rFonts w:ascii="Arial" w:hAnsi="Arial"/>
          <w:b w:val="0"/>
          <w:i/>
          <w:sz w:val="19"/>
        </w:rPr>
        <w:t>Startup-Verband</w:t>
      </w:r>
      <w:r>
        <w:rPr>
          <w:rFonts w:ascii="Arial" w:hAnsi="Arial"/>
          <w:b w:val="0"/>
          <w:i w:val="0"/>
          <w:sz w:val="19"/>
        </w:rPr>
        <w:t xml:space="preserve"> zitiert, wonach im ersten Halbjahr 2026 in Deutschland über 3.000 neue Unternehmen gegründet wurden — nahezu so viele wie im gesamten Jahr 2025 — und „mehr als ein Drittel" davon einen direkten KI-Bezug aufweise; er hat den Vorgang mit der Inbetriebnahme des in Dresden entstehenden Halbleiterwerks („nach eigener Charakterisierung weltweit größte Halbleiterproduktion") als Beleg dafür verknüpft, dass Deutschland „an den Wertschöpfungsketten der Zukunft nicht nur teilnehmen, sondern auch profitieren und gewinnen" könne und wolle. Für die in § 5.1 vorgeschlagene wertschöpfungsseitige Verbreiterung der Sozialstaatsfinanzierung und für die in Kapitel 8 entwickelte Deutschland-These (Veredelungsstrategie, § 8.2) liefert die Regierungserklärung damit eine aktuelle Standort­einordnung, die den in § 5.2 dokumentierten Reformzeitplan flankiert; eine spezifische fiskalische Robotersteuer oder KI-Abgabe ist im Regierungsprogramm dagegen weiterhin nicht vorgesehen.</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pPr>
        <w:jc w:val="both"/>
      </w:pPr>
      <w:r>
        <w:rPr>
          <w:rFonts w:ascii="Arial" w:hAnsi="Arial"/>
          <w:b/>
          <w:i w:val="0"/>
          <w:sz w:val="19"/>
        </w:rPr>
        <w:t>Anthropic-IPO-Vorbereitung (Bloomberg, 15. Juli 2026):</w:t>
      </w:r>
      <w:r>
        <w:rPr>
          <w:rFonts w:ascii="Arial" w:hAnsi="Arial"/>
          <w:b w:val="0"/>
          <w:i w:val="0"/>
          <w:sz w:val="19"/>
        </w:rPr>
        <w:t xml:space="preserve"> Nach Bloomberg-Bericht­erstattung vom 15. Juli 2026 bereite </w:t>
      </w:r>
      <w:r>
        <w:rPr>
          <w:rFonts w:ascii="Arial" w:hAnsi="Arial"/>
          <w:b w:val="0"/>
          <w:i/>
          <w:sz w:val="19"/>
        </w:rPr>
        <w:t>Anthropic</w:t>
      </w:r>
      <w:r>
        <w:rPr>
          <w:rFonts w:ascii="Arial" w:hAnsi="Arial"/>
          <w:b w:val="0"/>
          <w:i w:val="0"/>
          <w:sz w:val="19"/>
        </w:rPr>
        <w:t xml:space="preserve"> eine Serie von IPO-Investoren­meetings vor („Anthropic Is Said to Plan IPO Investor Meetings as Listing Nears"). Die Sekundärmarkt-Bewertung des Unternehmens habe zum 14. Juli 2026 rund 1,11 bis 1,14 Billionen US-Dollar erreicht (nach 965 Milliarden US-Dollar in der letzten primären Runde und einer im Mai 2026 gemeldeten Bewertung von rund 96,5 Milliarden US-Dollar noch vor der jüngsten Aufwertung); auf Prognose­plattformen (Polymarket) läge die höchste Wahrscheinlichkeit für einen IPO-Ticker bei $ANTH (46 bis 48 %), auf ein Emissions­zieldatum im vierten Quartal 2026 (Median­schätzung November 2026) entfalle rund 78 % Wahrscheinlichkeit; als Konsortial­banken würden Goldman Sachs (52–55 % Prognose als Lead-Underwriter), JPMorgan und Morgan Stanley geführt, das Emissions­volumen zeichne sich auf über 60 Milliarden US-Dollar ab. Für die in § 5.4 skizzierte Fondslogik und für die in Kapitel 8 entwickelte Teilhabefrage ist der Vorgang in doppelter Hinsicht relevant. Erstens würde eine Börsen­notierung von Anthropic — spiegelbildlich zum am 8. Juni 2026 vertraulich eingereichten OpenAI-</w:t>
      </w:r>
      <w:r>
        <w:rPr>
          <w:rFonts w:ascii="Arial" w:hAnsi="Arial"/>
          <w:b w:val="0"/>
          <w:i/>
          <w:sz w:val="19"/>
        </w:rPr>
        <w:t>S-1</w:t>
      </w:r>
      <w:r>
        <w:rPr>
          <w:rFonts w:ascii="Arial" w:hAnsi="Arial"/>
          <w:b w:val="0"/>
          <w:i w:val="0"/>
          <w:sz w:val="19"/>
        </w:rPr>
        <w:t xml:space="preserve"> — die Marktkapitalisierung eines zweiten US-Frontier-Anbieters öffentlich handelbar machen und damit die von Sanders-</w:t>
      </w:r>
      <w:r>
        <w:rPr>
          <w:rFonts w:ascii="Arial" w:hAnsi="Arial"/>
          <w:b w:val="0"/>
          <w:i/>
          <w:sz w:val="19"/>
        </w:rPr>
        <w:t>American A.I. Sovereign Wealth Fund Act</w:t>
      </w:r>
      <w:r>
        <w:rPr>
          <w:rFonts w:ascii="Arial" w:hAnsi="Arial"/>
          <w:b w:val="0"/>
          <w:i w:val="0"/>
          <w:sz w:val="19"/>
        </w:rPr>
        <w:t xml:space="preserve"> (§ 4.5) unterstellte 50-%-Zwangs­abgabe und den OpenAI-Gegenvorschlag von Sam Altman (freiwillige 5-%-Equity-Dotierung, § 4.5) auf eine breitere Aktionärs­basis ausweiten; die dokumentierte Bewertungs­spreizung binnen weniger Wochen (Mai 96,5 Mrd. USD → Juli 1,11–1,14 Bio. USD) unterstreicht dabei erneut die in § 8.2 aufgenommene </w:t>
      </w:r>
      <w:r>
        <w:rPr>
          <w:rFonts w:ascii="Arial" w:hAnsi="Arial"/>
          <w:b w:val="0"/>
          <w:i/>
          <w:sz w:val="19"/>
        </w:rPr>
        <w:t>fiskalische Volatilität einer bestands­orientierten Umverteilungs­logik</w:t>
      </w:r>
      <w:r>
        <w:rPr>
          <w:rFonts w:ascii="Arial" w:hAnsi="Arial"/>
          <w:b w:val="0"/>
          <w:i w:val="0"/>
          <w:sz w:val="19"/>
        </w:rPr>
        <w:t>, die an aktuellen Marktkapitalisierungen einzelner Frontier-Anbieter anknüpft. Zweitens verstärkt der Vorgang das Argument für den in § 8.3 vorgeschlagenen Zugriff auf inländische KI-</w:t>
      </w:r>
      <w:r>
        <w:rPr>
          <w:rFonts w:ascii="Arial" w:hAnsi="Arial"/>
          <w:b w:val="0"/>
          <w:i/>
          <w:sz w:val="19"/>
        </w:rPr>
        <w:t>Wertschöpfung</w:t>
      </w:r>
      <w:r>
        <w:rPr>
          <w:rFonts w:ascii="Arial" w:hAnsi="Arial"/>
          <w:b w:val="0"/>
          <w:i w:val="0"/>
          <w:sz w:val="19"/>
        </w:rPr>
        <w:t xml:space="preserve"> statt auf Anbieter-Marktkapitalisierungen: Die Fondslogik bleibt auch dann tragfähig, wenn einzelne Anbieter — durch Börsengang, Sekundär­markt-Bewegung oder Trade-Secret-Verfahren (§ 8.2) — massive Bewertungs­verschiebungen erfahren. Die Anthropic-IPO-Vorbereitung ist damit für die Deutschland-These kein Anlass zur Nachahmung, sondern eine weitere Bestätigung der Robustheits­überlegenheit einer wertschöpfungs­bezogenen gegenüber einer bewertungs­bezogenen Zugriffsarchitektur.</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pPr>
        <w:jc w:val="both"/>
      </w:pPr>
      <w:r>
        <w:rPr>
          <w:rFonts w:ascii="Arial" w:hAnsi="Arial"/>
          <w:b/>
          <w:i w:val="0"/>
          <w:sz w:val="19"/>
        </w:rPr>
        <w:t>GeDIG-Kabinettsbeschluss vom 15. Juli 2026:</w:t>
      </w:r>
      <w:r>
        <w:rPr>
          <w:rFonts w:ascii="Arial" w:hAnsi="Arial"/>
          <w:b w:val="0"/>
          <w:i w:val="0"/>
          <w:sz w:val="19"/>
        </w:rPr>
        <w:t xml:space="preserve"> Am 15. Juli 2026 hat das Bundeskabinett den Entwurf des </w:t>
      </w:r>
      <w:r>
        <w:rPr>
          <w:rFonts w:ascii="Arial" w:hAnsi="Arial"/>
          <w:b w:val="0"/>
          <w:i/>
          <w:sz w:val="19"/>
        </w:rPr>
        <w:t>Gesetzes für Daten und digitale Innovation im Gesundheitswesen</w:t>
      </w:r>
      <w:r>
        <w:rPr>
          <w:rFonts w:ascii="Arial" w:hAnsi="Arial"/>
          <w:b w:val="0"/>
          <w:i w:val="0"/>
          <w:sz w:val="19"/>
        </w:rPr>
        <w:t xml:space="preserve"> (GeDIG) beschlossen — nach dem Digitalgesetz (DigiG) und dem Gesundheitsdatennutzungsgesetz (GDNG) der dritte Baustein der Digitalisierungsstrategie des Bundesministeriums für Gesundheit (BMG). Der Kabinettsbeschluss unterbricht die im Vorlauf über achtzehn Läufe hinweg dokumentierte Serie ohne belastbaren KI-spezifischen G-BA-/gematik-/BfArM-Beschluss und verankert erstmals konkrete KI-Anwendungspfade im gesetzlichen Rahmen der elektronischen Patientenakte (ePA). Nach Auskunft des BMG (Pressemitteilung vom 15. Juli 2026) erhalten Krankenkassen die Möglichkeit, ihren Versicherten „KI-gestützte Angebote" innerhalb der ePA anzubieten, darunter eine „versichertenverständliche Aufbereitung von Befunden aus der ePA" und individualisierte Beipackzettel; parallel dürfen Krankenkassen zeitlich befristete Reallabore für innovative Datenverarbeitungsansätze in Prävention und Versorgungssteuerung betreiben. Die gematik erhält erweiterte Zuständigkeiten und kann Anwendungen und Dienste künftig direkt am Markt beschaffen, um die im Digitalisierungsprozess dokumentierte Vielfalt an Anbietervarianten (nach BMG rund „25 Störungen pro Monat" 2025) zu bündeln; für Leistungserbringer wird der Anschluss an die Telematikinfrastruktur bis 1. September 2029 ausgeweitet, digitale Impfnachweise starten Mitte 2027, eine Volltextsuche in der ePA Anfang 2027. Das Gesamtpaket ist mit einer jährlichen Entlastungswirkung von rund 445 Millionen Euro ausgewiesen (Gesamtpaket 600 Millionen Euro einschließlich flankierender Maßnahmen). Für die hier geführte sektorspezifische Perspektive ist der Vorgang in doppelter Hinsicht relevant. Erstens öffnet der Gesetzgeber die Erstattungs- und Trägerlogik der gesetzlichen Krankenversicherung für KI-gestützte Anwendungen — bislang jenseits selektivvertraglicher Modelle und einzelner DiGA-Zulassungen ohne breiten Regelversorgungspfad. Zweitens verankert er die </w:t>
      </w:r>
      <w:r>
        <w:rPr>
          <w:rFonts w:ascii="Arial" w:hAnsi="Arial"/>
          <w:b w:val="0"/>
          <w:i/>
          <w:sz w:val="19"/>
        </w:rPr>
        <w:t>Reallabor</w:t>
      </w:r>
      <w:r>
        <w:rPr>
          <w:rFonts w:ascii="Arial" w:hAnsi="Arial"/>
          <w:b w:val="0"/>
          <w:i w:val="0"/>
          <w:sz w:val="19"/>
        </w:rPr>
        <w:t>-Logik in der GKV-Datenverarbeitung und schafft damit einen abgegrenzten Rahmen für die Entwicklung KI-gestützter Versorgungsanwendungen unter Aufsicht — inhaltlich parallel zu dem in § 4.4 dokumentierten KI-Reallabor-Auftrag der Bundesnetzagentur nach dem KI-MIG. Der Beschluss ist noch nicht Gesetz: Die parlamentarische Behandlung im Deutschen Bundestag und der Bundesrats-Durchgang stehen aus; die Bundesregierung hätte einen Inkrafttretens­termin nicht explizit benannt (Konjunktiv nach § 4.2 Claude.md). Für die Steuer- und Wertschöpfungsdebatte des Gesundheitswesens folgt aus dem Kabinettsbeschluss, dass eine wachsende KI-Anwendungsbasis innerhalb der GKV-Regelversorgung entsteht, ohne dass die in § 7.2 dokumentierte Frage nach der Verlagerung von KI-Wertschöpfung in ausländische Cloud-Wertschöpfungsketten (Hyperscaler-SaaS) zunächst adressiert wird — ein Punkt, der für Folgeläufe zur Beobachtung markiert bleibt.</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 xml:space="preserve">Anders als bei klassischen Rohstoffen wirkt in der Inferenzphase zugleich eine ausgeprägt </w:t>
      </w:r>
      <w:r>
        <w:rPr>
          <w:rFonts w:ascii="Arial" w:hAnsi="Arial"/>
          <w:b w:val="0"/>
          <w:i/>
          <w:sz w:val="19"/>
        </w:rPr>
        <w:t>deflationäre Preisdynamik</w:t>
      </w:r>
      <w:r>
        <w:rPr>
          <w:rFonts w:ascii="Arial" w:hAnsi="Arial"/>
          <w:b w:val="0"/>
          <w:i w:val="0"/>
          <w:sz w:val="19"/>
        </w:rPr>
        <w:t xml:space="preserve">: Die Anbieter setzen jüngere Modellgenerationen zu niedrigeren Token-Preisen als die jeweiligen Vorgänger an. So kündigte Anthropic am 30. Juni 2026 </w:t>
      </w:r>
      <w:r>
        <w:rPr>
          <w:rFonts w:ascii="Arial" w:hAnsi="Arial"/>
          <w:b w:val="0"/>
          <w:i/>
          <w:sz w:val="19"/>
        </w:rPr>
        <w:t>Claude Sonnet 5</w:t>
      </w:r>
      <w:r>
        <w:rPr>
          <w:rFonts w:ascii="Arial" w:hAnsi="Arial"/>
          <w:b w:val="0"/>
          <w:i w:val="0"/>
          <w:sz w:val="19"/>
        </w:rPr>
        <w:t xml:space="preserve"> zu einem Einführungspreis von 2 US-Dollar pro Million Input-Token und 10 US-Dollar pro Million Output-Token an (Standardpreis ab 1. September 2026: 3 beziehungsweise 15 US-Dollar), womit die neue Modellstufe unter den bisherigen Sonnet- und Opus-Sätzen liegt — ergänzt um bis zu 90 % Rabatt via Prompt-Caching und 50 % via Batch-Processing. Für die Steuerdebatte hat diese Deflation eine Doppelwirkung: Sie verbreitert die inländische Anwendungsbasis (mehr KI-getriebene Wertschöpfung ist ökonomisch tragfähig), erschwert aber zugleich eine reine Umsatzsteuer-artige Anknüpfung an Inferenzflüsse — was die in § 8.3 skizzierten Zugriffspfade in Richtung Wertschöpfungs- statt Umsatzabgabe zusätzlich verstärkt.</w:t>
      </w:r>
    </w:p>
    <w:p>
      <w:pPr>
        <w:jc w:val="both"/>
      </w:pPr>
      <w:r>
        <w:rPr>
          <w:rFonts w:ascii="Arial" w:hAnsi="Arial"/>
          <w:b w:val="0"/>
          <w:i w:val="0"/>
          <w:sz w:val="19"/>
        </w:rPr>
        <w:t xml:space="preserve">Parallel dazu setzt sich auf der Hardware-Seite die geografische Konzentration der Compute-Erzeugung weiter fort. NVIDIA hat den GTC Taipei am 1. Juni 2026 zur Vollproduktionsfreigabe der </w:t>
      </w:r>
      <w:r>
        <w:rPr>
          <w:rFonts w:ascii="Arial" w:hAnsi="Arial"/>
          <w:b w:val="0"/>
          <w:i/>
          <w:sz w:val="19"/>
        </w:rPr>
        <w:t>Vera-Rubin</w:t>
      </w:r>
      <w:r>
        <w:rPr>
          <w:rFonts w:ascii="Arial" w:hAnsi="Arial"/>
          <w:b w:val="0"/>
          <w:i w:val="0"/>
          <w:sz w:val="19"/>
        </w:rPr>
        <w:t xml:space="preserve">-Architektur (Nachfolgegeneration der Blackwell-Plattform, Trainingsleistung nach Herstellerangaben rund 3,5-fach) genutzt; nach übereinstimmender Fachberichterstattung (Wccftech, TradingKey, TechPowerUp, Introl) beginnen die ersten Auslieferungen im Juli 2026, zunächst an fünf nordamerikanische Hyperscaler — Microsoft, Google, Amazon, Meta und Oracle —, während die Volumen-Auslieferungen für das dritte und vierte Quartal 2026 vorgesehen sind (Rack-Fertigung durch Foxconn, Quanta und Wistron; ein erster Vera-Rubin-Rack läuft nach Angaben von Jensen Huang bereits produktiv bei Microsoft Azure). Am 6. Juli 2026 hat allerdings die Analystenfirma </w:t>
      </w:r>
      <w:r>
        <w:rPr>
          <w:rFonts w:ascii="Arial" w:hAnsi="Arial"/>
          <w:b w:val="0"/>
          <w:i/>
          <w:sz w:val="19"/>
        </w:rPr>
        <w:t>SemiAnalysis</w:t>
      </w:r>
      <w:r>
        <w:rPr>
          <w:rFonts w:ascii="Arial" w:hAnsi="Arial"/>
          <w:b w:val="0"/>
          <w:i w:val="0"/>
          <w:sz w:val="19"/>
        </w:rPr>
        <w:t xml:space="preserve">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Tom's Hardware</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eine deutliche Verzögerung der nächsten NVIDIA-Systemgeneration bekanntgegeben: Das für die 2027 vorgesehenen </w:t>
      </w:r>
      <w:r>
        <w:rPr>
          <w:rFonts w:ascii="Arial" w:hAnsi="Arial"/>
          <w:b w:val="0"/>
          <w:i/>
          <w:sz w:val="19"/>
        </w:rPr>
        <w:t>Rubin-Ultra</w:t>
      </w:r>
      <w:r>
        <w:rPr>
          <w:rFonts w:ascii="Arial" w:hAnsi="Arial"/>
          <w:b w:val="0"/>
          <w:i w:val="0"/>
          <w:sz w:val="19"/>
        </w:rPr>
        <w:t xml:space="preserve">-Chips geplante Rack-System </w:t>
      </w:r>
      <w:r>
        <w:rPr>
          <w:rFonts w:ascii="Arial" w:hAnsi="Arial"/>
          <w:b w:val="0"/>
          <w:i/>
          <w:sz w:val="19"/>
        </w:rPr>
        <w:t>Kyber</w:t>
      </w:r>
      <w:r>
        <w:rPr>
          <w:rFonts w:ascii="Arial" w:hAnsi="Arial"/>
          <w:b w:val="0"/>
          <w:i w:val="0"/>
          <w:sz w:val="19"/>
        </w:rPr>
        <w:t xml:space="preserve"> (NVL144, für 144 GPUs pro Rack als Scale-Up-Baustein konzipiert) verschiebe sich nach Fertigungsproblemen an der PCB-Midplane um mehr als zwölf Monate auf 2028; ein Notfallplan, zwei Racks der aktuellen Generation zusammenzuschalten, sei nach ablehnender Rückmeldung der Cloud-Kunden ebenfalls gestrichen worden. NVIDIA habe damit vorerst „no proven solution" für die Skalierung von Rubin Ultra über den Rack-Verbund hinaus, wodurch AMD (MI455X mit CDNA-5-Architektur, 2 nm, 432 GB Speicher, 40 PFLOPS NVFP4 im späteren Verlauf von 2026) und Google (TPU-Reihe) am oberen Ende des Marktes eine Öffnung erhielten; die aktuellen </w:t>
      </w:r>
      <w:r>
        <w:rPr>
          <w:rFonts w:ascii="Arial" w:hAnsi="Arial"/>
          <w:b w:val="0"/>
          <w:i/>
          <w:sz w:val="19"/>
        </w:rPr>
        <w:t>Oberon</w:t>
      </w:r>
      <w:r>
        <w:rPr>
          <w:rFonts w:ascii="Arial" w:hAnsi="Arial"/>
          <w:b w:val="0"/>
          <w:i w:val="0"/>
          <w:sz w:val="19"/>
        </w:rPr>
        <w:t xml:space="preserve">- und </w:t>
      </w:r>
      <w:r>
        <w:rPr>
          <w:rFonts w:ascii="Arial" w:hAnsi="Arial"/>
          <w:b w:val="0"/>
          <w:i/>
          <w:sz w:val="19"/>
        </w:rPr>
        <w:t>Rubin</w:t>
      </w:r>
      <w:r>
        <w:rPr>
          <w:rFonts w:ascii="Arial" w:hAnsi="Arial"/>
          <w:b w:val="0"/>
          <w:i w:val="0"/>
          <w:sz w:val="19"/>
        </w:rPr>
        <w:t>-Racks der laufenden Generation blieben davon unberührt und würden ab Herbst 2026 planmäßig an die Cloud-Partner ausgeliefert. Für die hier geführte Steuerdebatte ist die Verzögerung in zweifacher Hinsicht relevant: Sie untermauert einerseits die These der Rohstoff-Konzentration, weil der Engpass in einer einzigen Lieferkette (78-lagige PCB-Midplane mit Toleranzen unter 25 μm) einen ganzen technologischen Sprung um über ein Jahr verschieben kann; andererseits deutet sich mit dem Aufholpotenzial von AMD und Google eine graduelle Diversifizierung der Anbieterseite an, die die Extremposition einer reinen NVIDIA-Rohstoff-Analogie relativiert. Für die in § 1.1 beschriebene Asymmetrie zwischen Personalreduktion und Capex-Ausbau verdichtet sich das Bild weiter: Die Hardware-Konzentration schreibt die Rohstoff-Analogie fort und stützt die Anknüpfung der Steuerdebatte an Maschinenkapital und Wertschöpfung (§ 5.1, § 8.3) auf einer weiteren technologischen Generation. Deutschland und die Europäische Union verbleiben in der Rolle der Bezieher — mit den daraus folgenden geopolitischen und fiskalischen Implikationen für die Veredelungsstrategie unten und für die Teilhabefrage in § 8.3.</w:t>
      </w:r>
    </w:p>
    <w:p>
      <w:pPr>
        <w:jc w:val="both"/>
      </w:pPr>
      <w:r>
        <w:rPr>
          <w:rFonts w:ascii="Arial" w:hAnsi="Arial"/>
          <w:b w:val="0"/>
          <w:i w:val="0"/>
          <w:sz w:val="19"/>
        </w:rPr>
        <w:t xml:space="preserve">Parallel zeigt sich auf der Modell- und Talent-Ebene eine spiegelbildliche Bewegung, die die Marktstruktur der Frontier-Modelle zusätzlich beleuchtet: Nach einer Anfang Juli 2026 aufgegriffenen Berichterstattung (Fortune, BigGo Finance, Bind AI, HackerNoon, The Agent Report) hat Google DeepMind die für Juni 2026 zugesagte Veröffentlichung von </w:t>
      </w:r>
      <w:r>
        <w:rPr>
          <w:rFonts w:ascii="Arial" w:hAnsi="Arial"/>
          <w:b w:val="0"/>
          <w:i/>
          <w:sz w:val="19"/>
        </w:rPr>
        <w:t>Gemini 3.5 Pro</w:t>
      </w:r>
      <w:r>
        <w:rPr>
          <w:rFonts w:ascii="Arial" w:hAnsi="Arial"/>
          <w:b w:val="0"/>
          <w:i w:val="0"/>
          <w:sz w:val="19"/>
        </w:rPr>
        <w:t xml:space="preserve"> auf den 17. Juli 2026 verschoben und die bisherige 2.5-Pro-Basisarchitektur zugunsten eines Vollumbaus verworfen; Alphabet verzeichnete unmittelbar nach Bekanntgabe einen Rückgang der Marktkapitalisierung in Größenordnung von 225 bis 270 Milliarden US-Dollar. Zeitgleich wechselten binnen einer Woche vier zentrale DeepMind-Forscher zu direkten Wettbewerbern — Noam Shazeer, der 2024 mit der Character.ai-Übernahme für rund 2,7 Milliarden US-Dollar zu Google zurückgeholt worden war, zu OpenAI, der Nobelpreisträger John Jumper (AlphaFold) sowie Jonas Adler und Alexander Pritzel zu Anthropic. Für die hier geführte Steuerdebatte ergänzt dieser Vorgang die Rohstoff-Analogie um eine wichtige Nuance: Anders als klassische Rohstoffe hängen die Renten der Frontier-Modelle nicht nur an Compute-, sondern in erheblichem Maße an </w:t>
      </w:r>
      <w:r>
        <w:rPr>
          <w:rFonts w:ascii="Arial" w:hAnsi="Arial"/>
          <w:b w:val="0"/>
          <w:i/>
          <w:sz w:val="19"/>
        </w:rPr>
        <w:t>humanen Talent-Beständen</w:t>
      </w:r>
      <w:r>
        <w:rPr>
          <w:rFonts w:ascii="Arial" w:hAnsi="Arial"/>
          <w:b w:val="0"/>
          <w:i w:val="0"/>
          <w:sz w:val="19"/>
        </w:rPr>
        <w:t xml:space="preserve">, deren Mobilität die geografische Konzentration innerhalb der USA und die Marktbewertung einzelner Anbieter binnen Tagen deutlich verschieben kann; für eine bestandsorientierte Umverteilungslogik nach § 8.3 folgt daraus, dass eine Anknüpfung an aktuelle Marktkapitalisierungen einzelner Frontier-Anbieter (wie sie die Sanders-Vorschläge zum </w:t>
      </w:r>
      <w:r>
        <w:rPr>
          <w:rFonts w:ascii="Arial" w:hAnsi="Arial"/>
          <w:b w:val="0"/>
          <w:i/>
          <w:sz w:val="19"/>
        </w:rPr>
        <w:t>American A.I. Sovereign Wealth Fund Act</w:t>
      </w:r>
      <w:r>
        <w:rPr>
          <w:rFonts w:ascii="Arial" w:hAnsi="Arial"/>
          <w:b w:val="0"/>
          <w:i w:val="0"/>
          <w:sz w:val="19"/>
        </w:rPr>
        <w:t xml:space="preserve"> nahelegen) eine hohe fiskalische Volatilität in Kauf nimmt — ein Argument, das die stabileren wertschöpfungsbezogenen Zugriffe der Deutschland-These (§ 8.3) zusätzlich stützt. Für Deutschland und die Europäische Union unterstreicht der Vorgang zugleich, dass die Talent-Basis der Frontier-Modelle weiterhin nahezu ausschließlich transatlantisch zirkuliert; das Aufholpotenzial europäischer Anbieter (Mistral, Aleph Alpha) bleibt in dieser Metrik strukturell unter dem Niveau der US-amerikanischen Kernanbieter. Am 17. Juli 2026 wird die zum 9. Juli 2026 avisierte Freigabe des vollständig neu aufgesetzten </w:t>
      </w:r>
      <w:r>
        <w:rPr>
          <w:rFonts w:ascii="Arial" w:hAnsi="Arial"/>
          <w:b w:val="0"/>
          <w:i/>
          <w:sz w:val="19"/>
        </w:rPr>
        <w:t>Gemini 3.5 Pro</w:t>
      </w:r>
      <w:r>
        <w:rPr>
          <w:rFonts w:ascii="Arial" w:hAnsi="Arial"/>
          <w:b w:val="0"/>
          <w:i w:val="0"/>
          <w:sz w:val="19"/>
        </w:rPr>
        <w:t xml:space="preserve"> nach übereinstimmender Berichterstattung (TechTimes 13. Juli 2026, BigGo Finance 13. Juli 2026, HackerNoon 13. Juli 2026, Enterprise DNA, ZoomBangla, Memeburn) vollzogen; Google DeepMind hätte das Modell auf ein Kontextfenster von zwei Millionen Token, einen </w:t>
      </w:r>
      <w:r>
        <w:rPr>
          <w:rFonts w:ascii="Arial" w:hAnsi="Arial"/>
          <w:b w:val="0"/>
          <w:i/>
          <w:sz w:val="19"/>
        </w:rPr>
        <w:t>Deep-Think-Reasoning-Layer</w:t>
      </w:r>
      <w:r>
        <w:rPr>
          <w:rFonts w:ascii="Arial" w:hAnsi="Arial"/>
          <w:b w:val="0"/>
          <w:i w:val="0"/>
          <w:sz w:val="19"/>
        </w:rPr>
        <w:t xml:space="preserve"> für komplexe Mehrschritt-Aufgaben und ein autonomes Werkzeug- und Coding-Verhalten aufgesetzt, wobei sowohl Zeitpunkt als auch technische Spezifikationen nach Angaben der berichtenden Medien noch nicht durch eine offizielle Google-Mitteilung bestätigt seien (Konjunktiv nach § 4.2 Claude.md). Zugriff auf den </w:t>
      </w:r>
      <w:r>
        <w:rPr>
          <w:rFonts w:ascii="Arial" w:hAnsi="Arial"/>
          <w:b w:val="0"/>
          <w:i/>
          <w:sz w:val="19"/>
        </w:rPr>
        <w:t>Deep-Think</w:t>
      </w:r>
      <w:r>
        <w:rPr>
          <w:rFonts w:ascii="Arial" w:hAnsi="Arial"/>
          <w:b w:val="0"/>
          <w:i w:val="0"/>
          <w:sz w:val="19"/>
        </w:rPr>
        <w:t xml:space="preserve">-Modus bliebe zunächst dem </w:t>
      </w:r>
      <w:r>
        <w:rPr>
          <w:rFonts w:ascii="Arial" w:hAnsi="Arial"/>
          <w:b w:val="0"/>
          <w:i/>
          <w:sz w:val="19"/>
        </w:rPr>
        <w:t>Gemini-Ultra</w:t>
      </w:r>
      <w:r>
        <w:rPr>
          <w:rFonts w:ascii="Arial" w:hAnsi="Arial"/>
          <w:b w:val="0"/>
          <w:i w:val="0"/>
          <w:sz w:val="19"/>
        </w:rPr>
        <w:t xml:space="preserve">-Tarif zum monatlichen Preis von 250 US-Dollar vorbehalten, während die reguläre Modellstufe über die </w:t>
      </w:r>
      <w:r>
        <w:rPr>
          <w:rFonts w:ascii="Arial" w:hAnsi="Arial"/>
          <w:b w:val="0"/>
          <w:i/>
          <w:sz w:val="19"/>
        </w:rPr>
        <w:t>Gemini</w:t>
      </w:r>
      <w:r>
        <w:rPr>
          <w:rFonts w:ascii="Arial" w:hAnsi="Arial"/>
          <w:b w:val="0"/>
          <w:i w:val="0"/>
          <w:sz w:val="19"/>
        </w:rPr>
        <w:t xml:space="preserve">-API zugänglich sein soll; im Aggregator </w:t>
      </w:r>
      <w:r>
        <w:rPr>
          <w:rFonts w:ascii="Arial" w:hAnsi="Arial"/>
          <w:b w:val="0"/>
          <w:i/>
          <w:sz w:val="19"/>
        </w:rPr>
        <w:t>OpenRouter</w:t>
      </w:r>
      <w:r>
        <w:rPr>
          <w:rFonts w:ascii="Arial" w:hAnsi="Arial"/>
          <w:b w:val="0"/>
          <w:i w:val="0"/>
          <w:sz w:val="19"/>
        </w:rPr>
        <w:t xml:space="preserve"> seien für die Vorlauf-Wochen keine offiziellen </w:t>
      </w:r>
      <w:r>
        <w:rPr>
          <w:rFonts w:ascii="Arial" w:hAnsi="Arial"/>
          <w:b w:val="0"/>
          <w:i/>
          <w:sz w:val="19"/>
        </w:rPr>
        <w:t>gemini-3.5-pro</w:t>
      </w:r>
      <w:r>
        <w:rPr>
          <w:rFonts w:ascii="Arial" w:hAnsi="Arial"/>
          <w:b w:val="0"/>
          <w:i w:val="0"/>
          <w:sz w:val="19"/>
        </w:rPr>
        <w:t xml:space="preserve">-Endpunkte gelistet gewesen. Für die in diesem Kapitel entwickelte Rohstoff-Analogie ergänzt der Vorgang die Angebotsseite der US-Frontier um eine weitere Modellstufe und verdichtet zeitlich mit der GPT-5.6-Freigabe (9. Juli 2026), dem </w:t>
      </w:r>
      <w:r>
        <w:rPr>
          <w:rFonts w:ascii="Arial" w:hAnsi="Arial"/>
          <w:b w:val="0"/>
          <w:i/>
          <w:sz w:val="19"/>
        </w:rPr>
        <w:t>Muse-Spark-1.1</w:t>
      </w:r>
      <w:r>
        <w:rPr>
          <w:rFonts w:ascii="Arial" w:hAnsi="Arial"/>
          <w:b w:val="0"/>
          <w:i w:val="0"/>
          <w:sz w:val="19"/>
        </w:rPr>
        <w:t xml:space="preserve">-Launch (9. Juli 2026) und der Grok-4.5-Freigabe (8. Juli 2026) eine über einen Zeitraum von rund zehn Tagen konzentrierte Serie von Frontier-Freigaben — ein weiterer Beleg der geografisch konzentrierten Basismodellproduktion und ihrer beschleunigten Iterationsfrequenz. Für die in § 8.3 skizzierten Zugriffspfade auf inländische KI-Wertschöpfung folgt daraus keine unmittelbare Änderung; die europäische Anwenderseite bleibt in dieser Modellstufe nachgelagert, und die im Preisniveau (250-US-Dollar-Tier für </w:t>
      </w:r>
      <w:r>
        <w:rPr>
          <w:rFonts w:ascii="Arial" w:hAnsi="Arial"/>
          <w:b w:val="0"/>
          <w:i/>
          <w:sz w:val="19"/>
        </w:rPr>
        <w:t>Deep Think</w:t>
      </w:r>
      <w:r>
        <w:rPr>
          <w:rFonts w:ascii="Arial" w:hAnsi="Arial"/>
          <w:b w:val="0"/>
          <w:i w:val="0"/>
          <w:sz w:val="19"/>
        </w:rPr>
        <w:t xml:space="preserve">) beobachtbare Rückkehr einer </w:t>
      </w:r>
      <w:r>
        <w:rPr>
          <w:rFonts w:ascii="Arial" w:hAnsi="Arial"/>
          <w:b w:val="0"/>
          <w:i/>
          <w:sz w:val="19"/>
        </w:rPr>
        <w:t>aufwärts</w:t>
      </w:r>
      <w:r>
        <w:rPr>
          <w:rFonts w:ascii="Arial" w:hAnsi="Arial"/>
          <w:b w:val="0"/>
          <w:i w:val="0"/>
          <w:sz w:val="19"/>
        </w:rPr>
        <w:t xml:space="preserve"> gerichteten Preisspreizung am oberen Ende bestätigt die in § 8.2 dokumentierte Differenzierung zwischen supply-constrained Frontier-Klasse und deflationärer Workhorse-Klasse.</w:t>
      </w:r>
    </w:p>
    <w:p>
      <w:pPr>
        <w:jc w:val="both"/>
      </w:pPr>
      <w:r>
        <w:rPr>
          <w:rFonts w:ascii="Arial" w:hAnsi="Arial"/>
          <w:b w:val="0"/>
          <w:i w:val="0"/>
          <w:sz w:val="19"/>
        </w:rPr>
        <w:t xml:space="preserve">Am 10. Juli 2026 tritt neben die intra-Frontier-Bewegung erstmals ein prominenter Rechtskonflikt zwischen einem US-Konsumelektronik-Konzern und einem US-Frontier-Anbieter über die Talent-Basis: </w:t>
      </w:r>
      <w:r>
        <w:rPr>
          <w:rFonts w:ascii="Arial" w:hAnsi="Arial"/>
          <w:b w:val="0"/>
          <w:i/>
          <w:sz w:val="19"/>
        </w:rPr>
        <w:t>Apple</w:t>
      </w:r>
      <w:r>
        <w:rPr>
          <w:rFonts w:ascii="Arial" w:hAnsi="Arial"/>
          <w:b w:val="0"/>
          <w:i w:val="0"/>
          <w:sz w:val="19"/>
        </w:rPr>
        <w:t xml:space="preserve"> reichte beim United States District Court for the Northern District of California eine 41 Seiten umfassende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ein (Bloomberg, CNBC, Axios, Engadget, TechCrunch, Cybersecurity News; Aktenzeichen zum 10. Juli 2026 in Auszügen wiedergegeben). Apple stützt die Klage auf den Vorwurf systematischer Trade-Secret-Aneignung „auf jeder Ebene, von </w:t>
      </w:r>
      <w:r>
        <w:rPr>
          <w:rFonts w:ascii="Arial" w:hAnsi="Arial"/>
          <w:b w:val="0"/>
          <w:i/>
          <w:sz w:val="19"/>
        </w:rPr>
        <w:t>members of technical staff</w:t>
      </w:r>
      <w:r>
        <w:rPr>
          <w:rFonts w:ascii="Arial" w:hAnsi="Arial"/>
          <w:b w:val="0"/>
          <w:i w:val="0"/>
          <w:sz w:val="19"/>
        </w:rPr>
        <w:t xml:space="preserve"> bis zum </w:t>
      </w:r>
      <w:r>
        <w:rPr>
          <w:rFonts w:ascii="Arial" w:hAnsi="Arial"/>
          <w:b w:val="0"/>
          <w:i/>
          <w:sz w:val="19"/>
        </w:rPr>
        <w:t>Chief Hardware Officer</w:t>
      </w:r>
      <w:r>
        <w:rPr>
          <w:rFonts w:ascii="Arial" w:hAnsi="Arial"/>
          <w:b w:val="0"/>
          <w:i w:val="0"/>
          <w:sz w:val="19"/>
        </w:rPr>
        <w:t xml:space="preserve">, und in Abstimmung mit </w:t>
      </w:r>
      <w:r>
        <w:rPr>
          <w:rFonts w:ascii="Arial" w:hAnsi="Arial"/>
          <w:b w:val="0"/>
          <w:i/>
          <w:sz w:val="19"/>
        </w:rPr>
        <w:t>business partners</w:t>
      </w:r>
      <w:r>
        <w:rPr>
          <w:rFonts w:ascii="Arial" w:hAnsi="Arial"/>
          <w:b w:val="0"/>
          <w:i w:val="0"/>
          <w:sz w:val="19"/>
        </w:rPr>
        <w:t xml:space="preserve">", und flankiert sie mit der Angabe, dass inzwischen über 400 ehemalige Apple-Beschäftigte bei OpenAI arbeiteten. Zu den in der Klageschrift genannten Einzelvorwürfen zählen die Aufforderung an Bewerberinnen und Bewerber, „actual parts" aus Apple-Beständen zu </w:t>
      </w:r>
      <w:r>
        <w:rPr>
          <w:rFonts w:ascii="Arial" w:hAnsi="Arial"/>
          <w:b w:val="0"/>
          <w:i/>
          <w:sz w:val="19"/>
        </w:rPr>
        <w:t>Show-and-Tell</w:t>
      </w:r>
      <w:r>
        <w:rPr>
          <w:rFonts w:ascii="Arial" w:hAnsi="Arial"/>
          <w:b w:val="0"/>
          <w:i w:val="0"/>
          <w:sz w:val="19"/>
        </w:rPr>
        <w:t xml:space="preserve">-Interviews mitzubringen, das Fortbestehen eines dienstlich ausgegebenen Apple-Notebooks nach Beschäftigungsende und ein Zugriff auf über </w:t>
      </w:r>
      <w:r>
        <w:rPr>
          <w:rFonts w:ascii="Arial" w:hAnsi="Arial"/>
          <w:b w:val="0"/>
          <w:i/>
          <w:sz w:val="19"/>
        </w:rPr>
        <w:t>Dutzend</w:t>
      </w:r>
      <w:r>
        <w:rPr>
          <w:rFonts w:ascii="Arial" w:hAnsi="Arial"/>
          <w:b w:val="0"/>
          <w:i w:val="0"/>
          <w:sz w:val="19"/>
        </w:rPr>
        <w:t xml:space="preserve"> interne Apple-Dateien nach Wechsel zu OpenAI sowie die interne Weitergabe eines Apple-Offboarding-Dokuments mit Umgehungsanleitungen für Apple-Exit-Sicherheitskontrollen. Für die in diesem Kapitel entwickelte Rohstoff-Analogie ergänzt der Vorgang die Talent-Bestandsdimension aus dem DeepMind-Fall um eine explizit </w:t>
      </w:r>
      <w:r>
        <w:rPr>
          <w:rFonts w:ascii="Arial" w:hAnsi="Arial"/>
          <w:b w:val="0"/>
          <w:i/>
          <w:sz w:val="19"/>
        </w:rPr>
        <w:t>rechtsförmige</w:t>
      </w:r>
      <w:r>
        <w:rPr>
          <w:rFonts w:ascii="Arial" w:hAnsi="Arial"/>
          <w:b w:val="0"/>
          <w:i w:val="0"/>
          <w:sz w:val="19"/>
        </w:rPr>
        <w:t xml:space="preserve"> Ebene: Die humanen Talent-Bestände der Frontier-Modelle bewegen sich nicht nur ökonomisch, sondern zunehmend auch in Auseinandersetzungen um </w:t>
      </w:r>
      <w:r>
        <w:rPr>
          <w:rFonts w:ascii="Arial" w:hAnsi="Arial"/>
          <w:b w:val="0"/>
          <w:i/>
          <w:sz w:val="19"/>
        </w:rPr>
        <w:t>Trade Secrets</w:t>
      </w:r>
      <w:r>
        <w:rPr>
          <w:rFonts w:ascii="Arial" w:hAnsi="Arial"/>
          <w:b w:val="0"/>
          <w:i w:val="0"/>
          <w:sz w:val="19"/>
        </w:rPr>
        <w:t>, deren Ausgang die Marktstruktur — insbesondere im Übergang Frontier-Modell / KI-Hardware — mitprägen kann. Für die Deutschland-These (§ 8.3) unterstützt der Vorgang die These der fiskalischen Volatilität einer bestands­orientierten Umverteilung: Sobald Marktkapitalisierungen einzelner Frontier-Anbieter zusätzlich durch Trade-Secret-Verfahren adressierbar werden, verstärkt sich das Argument für wertschöpfungsbezogene statt marktkapitalisierungs­bezogene Zugriffe.</w:t>
      </w:r>
    </w:p>
    <w:p>
      <w:pPr>
        <w:jc w:val="both"/>
      </w:pPr>
      <w:r>
        <w:rPr>
          <w:rFonts w:ascii="Arial" w:hAnsi="Arial"/>
          <w:b w:val="0"/>
          <w:i w:val="0"/>
          <w:sz w:val="19"/>
        </w:rPr>
        <w:t xml:space="preserve">Zeitgleich zum DeepMind-Vorgang verdichtet sich ein weiteres Signal an der Modell- und Deployment-Front: Am 9. Juli 2026 hat OpenAI seine im Juni angekündigte </w:t>
      </w:r>
      <w:r>
        <w:rPr>
          <w:rFonts w:ascii="Arial" w:hAnsi="Arial"/>
          <w:b w:val="0"/>
          <w:i/>
          <w:sz w:val="19"/>
        </w:rPr>
        <w:t>GPT-5.6</w:t>
      </w:r>
      <w:r>
        <w:rPr>
          <w:rFonts w:ascii="Arial" w:hAnsi="Arial"/>
          <w:b w:val="0"/>
          <w:i w:val="0"/>
          <w:sz w:val="19"/>
        </w:rPr>
        <w:t xml:space="preserve">-Reihe mit den drei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und </w:t>
      </w:r>
      <w:r>
        <w:rPr>
          <w:rFonts w:ascii="Arial" w:hAnsi="Arial"/>
          <w:b w:val="0"/>
          <w:i/>
          <w:sz w:val="19"/>
        </w:rPr>
        <w:t>Luna</w:t>
      </w:r>
      <w:r>
        <w:rPr>
          <w:rFonts w:ascii="Arial" w:hAnsi="Arial"/>
          <w:b w:val="0"/>
          <w:i w:val="0"/>
          <w:sz w:val="19"/>
        </w:rPr>
        <w:t xml:space="preserve"> für die Öffentlichkeit freigegeben, nachdem eine erste Preview-Kohorte am 26. Juni 2026 angelaufen war. Die Spitzenstufe </w:t>
      </w:r>
      <w:r>
        <w:rPr>
          <w:rFonts w:ascii="Arial" w:hAnsi="Arial"/>
          <w:b w:val="0"/>
          <w:i/>
          <w:sz w:val="19"/>
        </w:rPr>
        <w:t>Sol</w:t>
      </w:r>
      <w:r>
        <w:rPr>
          <w:rFonts w:ascii="Arial" w:hAnsi="Arial"/>
          <w:b w:val="0"/>
          <w:i w:val="0"/>
          <w:sz w:val="19"/>
        </w:rPr>
        <w:t xml:space="preserve"> wird nach Herstellerangaben und übereinstimmender Fachberichterstattung (Nextgov, Engadget, BigGo Finance, Value Add Pulse, techjacksolutions) im Juli 2026 zusätzlich auf Cerebras-Wafer-Scale-Hardware ausgerollt und erreicht dort Inferenzgeschwindigkeiten von bis zu 750 Token pro Sekunde — etwa das Zehnfache typischer NVIDIA-GPU-Deployments produktiver Frontier-Modelle. Die Standard-API-Preise (Sol 5 US-Dollar pro Million Input-Token, 30 US-Dollar pro Million Output-Token; Cache-Reads 0,50 US-Dollar; </w:t>
      </w:r>
      <w:r>
        <w:rPr>
          <w:rFonts w:ascii="Arial" w:hAnsi="Arial"/>
          <w:b w:val="0"/>
          <w:i/>
          <w:sz w:val="19"/>
        </w:rPr>
        <w:t>Terra</w:t>
      </w:r>
      <w:r>
        <w:rPr>
          <w:rFonts w:ascii="Arial" w:hAnsi="Arial"/>
          <w:b w:val="0"/>
          <w:i w:val="0"/>
          <w:sz w:val="19"/>
        </w:rPr>
        <w:t xml:space="preserve"> mit annähernder GPT-5.5-Leistung zum halben Sol-Satz; </w:t>
      </w:r>
      <w:r>
        <w:rPr>
          <w:rFonts w:ascii="Arial" w:hAnsi="Arial"/>
          <w:b w:val="0"/>
          <w:i/>
          <w:sz w:val="19"/>
        </w:rPr>
        <w:t>Luna</w:t>
      </w:r>
      <w:r>
        <w:rPr>
          <w:rFonts w:ascii="Arial" w:hAnsi="Arial"/>
          <w:b w:val="0"/>
          <w:i w:val="0"/>
          <w:sz w:val="19"/>
        </w:rPr>
        <w:t xml:space="preserve"> als preisgünstigste Stufe) untermauern die in diesem Kapitel referierte Preis­deflation an der Inferenzfront, ohne die geografische Konzentration der Modellproduktion aufzuheben. Institutionell ist der Vorgang bemerkenswert, weil OpenAI die Modelle Ende Juni 2026 zunächst einem „kleinen Kreis vertrauenswürdiger Partner" zugänglich gemacht und die öffentliche Freigabe von einer Zustimmung der US-Bundesregierung abhängig gemacht hätte: Eine im Juni 2026 unterzeichnete AI-Cybersecurity-Executive-Order fordert die Anbieter der leistungsfähigsten Modelle auf, diese der Bundesregierung mindestens dreißig Tage vor der öffentlichen Freigabe zur sicherheitsbezogenen Überprüfung vorzulegen. Für die in § 4.5 verortete Governance-Debatte folgt daraus, dass sich neben der europäischen AI-Act-Regulierung eine informelle </w:t>
      </w:r>
      <w:r>
        <w:rPr>
          <w:rFonts w:ascii="Arial" w:hAnsi="Arial"/>
          <w:b w:val="0"/>
          <w:i/>
          <w:sz w:val="19"/>
        </w:rPr>
        <w:t>US-Vor-Freigabe-Praxis</w:t>
      </w:r>
      <w:r>
        <w:rPr>
          <w:rFonts w:ascii="Arial" w:hAnsi="Arial"/>
          <w:b w:val="0"/>
          <w:i w:val="0"/>
          <w:sz w:val="19"/>
        </w:rPr>
        <w:t xml:space="preserve"> etabliert, in der Frontier-Anbieter und US-Regierung einen sicherheitsbezogenen Vorlauf koordinieren — mit unmittelbarer Rückwirkung auf die Verfügbarkeit importierter KI-Modelle in europäischen Anwendungen und damit auf die von der Deutschland-These (§ 8.3) unterstellten stabilen Zugriffspfade auf inländische KI-Wertschöpfung.</w:t>
      </w:r>
    </w:p>
    <w:p>
      <w:pPr>
        <w:jc w:val="both"/>
      </w:pPr>
      <w:r>
        <w:rPr>
          <w:rFonts w:ascii="Arial" w:hAnsi="Arial"/>
          <w:b w:val="0"/>
          <w:i w:val="0"/>
          <w:sz w:val="19"/>
        </w:rPr>
        <w:t xml:space="preserve">Einen Tag vorher (8. Juli 2026) hatte </w:t>
      </w:r>
      <w:r>
        <w:rPr>
          <w:rFonts w:ascii="Arial" w:hAnsi="Arial"/>
          <w:b w:val="0"/>
          <w:i/>
          <w:sz w:val="19"/>
        </w:rPr>
        <w:t>SpaceXAI</w:t>
      </w:r>
      <w:r>
        <w:rPr>
          <w:rFonts w:ascii="Arial" w:hAnsi="Arial"/>
          <w:b w:val="0"/>
          <w:i w:val="0"/>
          <w:sz w:val="19"/>
        </w:rPr>
        <w:t xml:space="preserve"> — die aus dem Rebrand von xAI im Februar 2026 hervorgegangene AI-Tochter von SpaceX — </w:t>
      </w:r>
      <w:r>
        <w:rPr>
          <w:rFonts w:ascii="Arial" w:hAnsi="Arial"/>
          <w:b w:val="0"/>
          <w:i/>
          <w:sz w:val="19"/>
        </w:rPr>
        <w:t>Grok 4.5</w:t>
      </w:r>
      <w:r>
        <w:rPr>
          <w:rFonts w:ascii="Arial" w:hAnsi="Arial"/>
          <w:b w:val="0"/>
          <w:i w:val="0"/>
          <w:sz w:val="19"/>
        </w:rPr>
        <w:t xml:space="preserve"> als „Opus-Klasse"-Modell öffentlich freigegeben (Bloomberg, TechCrunch, Axios, MarkTechPost, Memeburn, FourWeekMBA): gemeinsam mit </w:t>
      </w:r>
      <w:r>
        <w:rPr>
          <w:rFonts w:ascii="Arial" w:hAnsi="Arial"/>
          <w:b w:val="0"/>
          <w:i/>
          <w:sz w:val="19"/>
        </w:rPr>
        <w:t>Cursor</w:t>
      </w:r>
      <w:r>
        <w:rPr>
          <w:rFonts w:ascii="Arial" w:hAnsi="Arial"/>
          <w:b w:val="0"/>
          <w:i w:val="0"/>
          <w:sz w:val="19"/>
        </w:rPr>
        <w:t xml:space="preserve"> trainiertes Mixture-of-Experts-Modell für Programmier-, Agent- und Wissensarbeit, verfügbar über Grok Build, Cursor und die SpaceXAI-API. Der Einstiegspreis liegt bei 2 US-Dollar pro Million Input-Token und 6 US-Dollar pro Million Output-Token; für die schnellere Variante bei 4 beziehungsweise 18 US-Dollar; Cache-Read 0,50 US-Dollar. Am 14. Juli 2026 verweist Elon Musk auf einen Platz eins von Grok 4.5 im </w:t>
      </w:r>
      <w:r>
        <w:rPr>
          <w:rFonts w:ascii="Arial" w:hAnsi="Arial"/>
          <w:b w:val="0"/>
          <w:i/>
          <w:sz w:val="19"/>
        </w:rPr>
        <w:t>Long-Horizon Terminal-Bench</w:t>
      </w:r>
      <w:r>
        <w:rPr>
          <w:rFonts w:ascii="Arial" w:hAnsi="Arial"/>
          <w:b w:val="0"/>
          <w:i w:val="0"/>
          <w:sz w:val="19"/>
        </w:rPr>
        <w:t xml:space="preserve"> für ausgedehnte Agent-Aufgaben (Reuters, The Register); am selben Tag dokumentiert ein Sicherheitsforscher, dass Grok Build ganze Nutzer-Codebasen unautorisiert in die SpaceXAI-Cloud übertragen hatte, was zu einer serverseitigen Abschaltung und einer öffentlichen Zusage der vollständigen Löschung führte (The Register 14. Juli 2026, TechTimes 14. Juli 2026). Für die in diesem Kapitel geführte Diskussion ergänzt der Vorgang die Rohstoff-Analogie um eine strukturelle Nuance: Die Angebotsseite an der US-Frontier verdichtet sich um einen weiteren, dem SpaceX-Konzernverbund unterstellten Anbieter — mit Preispunkten, die spürbar unter denen von </w:t>
      </w:r>
      <w:r>
        <w:rPr>
          <w:rFonts w:ascii="Arial" w:hAnsi="Arial"/>
          <w:b w:val="0"/>
          <w:i/>
          <w:sz w:val="19"/>
        </w:rPr>
        <w:t>OpenAI GPT-5.6 Sol</w:t>
      </w:r>
      <w:r>
        <w:rPr>
          <w:rFonts w:ascii="Arial" w:hAnsi="Arial"/>
          <w:b w:val="0"/>
          <w:i w:val="0"/>
          <w:sz w:val="19"/>
        </w:rPr>
        <w:t xml:space="preserve"> (5/30 US-Dollar) und </w:t>
      </w:r>
      <w:r>
        <w:rPr>
          <w:rFonts w:ascii="Arial" w:hAnsi="Arial"/>
          <w:b w:val="0"/>
          <w:i/>
          <w:sz w:val="19"/>
        </w:rPr>
        <w:t>Anthropic Claude Opus 4.8</w:t>
      </w:r>
      <w:r>
        <w:rPr>
          <w:rFonts w:ascii="Arial" w:hAnsi="Arial"/>
          <w:b w:val="0"/>
          <w:i w:val="0"/>
          <w:sz w:val="19"/>
        </w:rPr>
        <w:t xml:space="preserve"> (5/25 US-Dollar) liegen, aber über den </w:t>
      </w:r>
      <w:r>
        <w:rPr>
          <w:rFonts w:ascii="Arial" w:hAnsi="Arial"/>
          <w:b w:val="0"/>
          <w:i/>
          <w:sz w:val="19"/>
        </w:rPr>
        <w:t>Meta-Muse-Spark-1.1</w:t>
      </w:r>
      <w:r>
        <w:rPr>
          <w:rFonts w:ascii="Arial" w:hAnsi="Arial"/>
          <w:b w:val="0"/>
          <w:i w:val="0"/>
          <w:sz w:val="19"/>
        </w:rPr>
        <w:t xml:space="preserve">- und </w:t>
      </w:r>
      <w:r>
        <w:rPr>
          <w:rFonts w:ascii="Arial" w:hAnsi="Arial"/>
          <w:b w:val="0"/>
          <w:i/>
          <w:sz w:val="19"/>
        </w:rPr>
        <w:t>Claude-Sonnet-5</w:t>
      </w:r>
      <w:r>
        <w:rPr>
          <w:rFonts w:ascii="Arial" w:hAnsi="Arial"/>
          <w:b w:val="0"/>
          <w:i w:val="0"/>
          <w:sz w:val="19"/>
        </w:rPr>
        <w:t xml:space="preserve">-Sätzen (1,25/4,25 bzw. 2/10 US-Dollar) und damit die in § 8.2 dokumentierte Preisspreizung zwischen supply-constrained Frontier-Klasse (aufwärts, </w:t>
      </w:r>
      <w:r>
        <w:rPr>
          <w:rFonts w:ascii="Arial" w:hAnsi="Arial"/>
          <w:b w:val="0"/>
          <w:i/>
          <w:sz w:val="19"/>
        </w:rPr>
        <w:t>Fable 5</w:t>
      </w:r>
      <w:r>
        <w:rPr>
          <w:rFonts w:ascii="Arial" w:hAnsi="Arial"/>
          <w:b w:val="0"/>
          <w:i w:val="0"/>
          <w:sz w:val="19"/>
        </w:rPr>
        <w:t xml:space="preserve">) und Workhorse-Klasse (abwärts) auf einer weiteren Modellstufe ausdifferenzieren. Gleichzeitig unterstreicht der </w:t>
      </w:r>
      <w:r>
        <w:rPr>
          <w:rFonts w:ascii="Arial" w:hAnsi="Arial"/>
          <w:b w:val="0"/>
          <w:i/>
          <w:sz w:val="19"/>
        </w:rPr>
        <w:t>Grok-Build</w:t>
      </w:r>
      <w:r>
        <w:rPr>
          <w:rFonts w:ascii="Arial" w:hAnsi="Arial"/>
          <w:b w:val="0"/>
          <w:i w:val="0"/>
          <w:sz w:val="19"/>
        </w:rPr>
        <w:t>-Zwischenfall vom 14. Juli 2026 die Robustheits­anforderungen, die die Deutschland-These (§ 8.3) an eine wertschöpfungsbezogene Anknüpfung importierter Frontier-Modelle stellt: Ohne belastbare Absicherung der Datenflüsse bleibt die inländische KI-Wertschöpfung an Verfügbarkeits- und Vertrauens­risiken einzelner externer Anbieter gekoppelt.</w:t>
      </w:r>
    </w:p>
    <w:p>
      <w:pPr>
        <w:jc w:val="both"/>
      </w:pPr>
      <w:r>
        <w:rPr>
          <w:rFonts w:ascii="Arial" w:hAnsi="Arial"/>
          <w:b w:val="0"/>
          <w:i w:val="0"/>
          <w:sz w:val="19"/>
        </w:rPr>
        <w:t xml:space="preserve">Am selben Tag (14. Juli 2026) verdichtet sich in einem TechCrunch-Beitrag von Rebecca Bellan („The real AI race may no longer be at the frontier") eine strukturell wichtige Beobachtung zur Marktstruktur, die die Rohstoff-Analogie um eine weitere Nuance ergänzt. Danach entfielen im Frühjahr 2026 bereits rund 41 % der Modell-Downloads auf </w:t>
      </w:r>
      <w:r>
        <w:rPr>
          <w:rFonts w:ascii="Arial" w:hAnsi="Arial"/>
          <w:b w:val="0"/>
          <w:i/>
          <w:sz w:val="19"/>
        </w:rPr>
        <w:t>Hugging Face</w:t>
      </w:r>
      <w:r>
        <w:rPr>
          <w:rFonts w:ascii="Arial" w:hAnsi="Arial"/>
          <w:b w:val="0"/>
          <w:i w:val="0"/>
          <w:sz w:val="19"/>
        </w:rPr>
        <w:t xml:space="preserve"> auf chinesische </w:t>
      </w:r>
      <w:r>
        <w:rPr>
          <w:rFonts w:ascii="Arial" w:hAnsi="Arial"/>
          <w:b w:val="0"/>
          <w:i/>
          <w:sz w:val="19"/>
        </w:rPr>
        <w:t>Open-Weight</w:t>
      </w:r>
      <w:r>
        <w:rPr>
          <w:rFonts w:ascii="Arial" w:hAnsi="Arial"/>
          <w:b w:val="0"/>
          <w:i w:val="0"/>
          <w:sz w:val="19"/>
        </w:rPr>
        <w:t xml:space="preserve">-Modelle; nach Angaben von </w:t>
      </w:r>
      <w:r>
        <w:rPr>
          <w:rFonts w:ascii="Arial" w:hAnsi="Arial"/>
          <w:b w:val="0"/>
          <w:i/>
          <w:sz w:val="19"/>
        </w:rPr>
        <w:t>Vercel</w:t>
      </w:r>
      <w:r>
        <w:rPr>
          <w:rFonts w:ascii="Arial" w:hAnsi="Arial"/>
          <w:b w:val="0"/>
          <w:i w:val="0"/>
          <w:sz w:val="19"/>
        </w:rPr>
        <w:t xml:space="preserve"> liefen im Juni 2026 rund 33 % der KI-Anfragen der Plattform über Open-Weight-Modelle; auf der Aggregator-Plattform </w:t>
      </w:r>
      <w:r>
        <w:rPr>
          <w:rFonts w:ascii="Arial" w:hAnsi="Arial"/>
          <w:b w:val="0"/>
          <w:i/>
          <w:sz w:val="19"/>
        </w:rPr>
        <w:t>OpenRouter</w:t>
      </w:r>
      <w:r>
        <w:rPr>
          <w:rFonts w:ascii="Arial" w:hAnsi="Arial"/>
          <w:b w:val="0"/>
          <w:i w:val="0"/>
          <w:sz w:val="19"/>
        </w:rPr>
        <w:t xml:space="preserve"> belegten alle sechs am häufigsten genutzten Modelle den Top-Rängen Angebote von </w:t>
      </w:r>
      <w:r>
        <w:rPr>
          <w:rFonts w:ascii="Arial" w:hAnsi="Arial"/>
          <w:b w:val="0"/>
          <w:i/>
          <w:sz w:val="19"/>
        </w:rPr>
        <w:t>Tencent</w:t>
      </w:r>
      <w:r>
        <w:rPr>
          <w:rFonts w:ascii="Arial" w:hAnsi="Arial"/>
          <w:b w:val="0"/>
          <w:i w:val="0"/>
          <w:sz w:val="19"/>
        </w:rPr>
        <w:t xml:space="preserve">, </w:t>
      </w:r>
      <w:r>
        <w:rPr>
          <w:rFonts w:ascii="Arial" w:hAnsi="Arial"/>
          <w:b w:val="0"/>
          <w:i/>
          <w:sz w:val="19"/>
        </w:rPr>
        <w:t>Xiaomi</w:t>
      </w:r>
      <w:r>
        <w:rPr>
          <w:rFonts w:ascii="Arial" w:hAnsi="Arial"/>
          <w:b w:val="0"/>
          <w:i w:val="0"/>
          <w:sz w:val="19"/>
        </w:rPr>
        <w:t xml:space="preserve">, </w:t>
      </w:r>
      <w:r>
        <w:rPr>
          <w:rFonts w:ascii="Arial" w:hAnsi="Arial"/>
          <w:b w:val="0"/>
          <w:i/>
          <w:sz w:val="19"/>
        </w:rPr>
        <w:t>DeepSeek</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und </w:t>
      </w:r>
      <w:r>
        <w:rPr>
          <w:rFonts w:ascii="Arial" w:hAnsi="Arial"/>
          <w:b w:val="0"/>
          <w:i/>
          <w:sz w:val="19"/>
        </w:rPr>
        <w:t>Z.ai</w:t>
      </w:r>
      <w:r>
        <w:rPr>
          <w:rFonts w:ascii="Arial" w:hAnsi="Arial"/>
          <w:b w:val="0"/>
          <w:i w:val="0"/>
          <w:sz w:val="19"/>
        </w:rPr>
        <w:t xml:space="preserve">, während </w:t>
      </w:r>
      <w:r>
        <w:rPr>
          <w:rFonts w:ascii="Arial" w:hAnsi="Arial"/>
          <w:b w:val="0"/>
          <w:i/>
          <w:sz w:val="19"/>
        </w:rPr>
        <w:t>Anthropic Claude Opus 4.7</w:t>
      </w:r>
      <w:r>
        <w:rPr>
          <w:rFonts w:ascii="Arial" w:hAnsi="Arial"/>
          <w:b w:val="0"/>
          <w:i w:val="0"/>
          <w:sz w:val="19"/>
        </w:rPr>
        <w:t xml:space="preserve"> nur auf Platz 7 lag; die Gesamtzahl öffentlich gelisteter Modelle auf </w:t>
      </w:r>
      <w:r>
        <w:rPr>
          <w:rFonts w:ascii="Arial" w:hAnsi="Arial"/>
          <w:b w:val="0"/>
          <w:i/>
          <w:sz w:val="19"/>
        </w:rPr>
        <w:t>Hugging Face</w:t>
      </w:r>
      <w:r>
        <w:rPr>
          <w:rFonts w:ascii="Arial" w:hAnsi="Arial"/>
          <w:b w:val="0"/>
          <w:i w:val="0"/>
          <w:sz w:val="19"/>
        </w:rPr>
        <w:t xml:space="preserve"> erreichte drei Millionen. </w:t>
      </w:r>
      <w:r>
        <w:rPr>
          <w:rFonts w:ascii="Arial" w:hAnsi="Arial"/>
          <w:b w:val="0"/>
          <w:i/>
          <w:sz w:val="19"/>
        </w:rPr>
        <w:t>Hugging-Face</w:t>
      </w:r>
      <w:r>
        <w:rPr>
          <w:rFonts w:ascii="Arial" w:hAnsi="Arial"/>
          <w:b w:val="0"/>
          <w:i w:val="0"/>
          <w:sz w:val="19"/>
        </w:rPr>
        <w:t>-CEO Clem Delangue prognostiziert, dass Frontier-Modelle mittelfristig auf hochwertige Aufgaben beschränkt bleiben und der überwiegende Teil der Produktions-Workloads von Open-Weight-Modellen bedient werde; Microsoft-CEO Satya Nadella warnt vor Single-Provider-Abhängigkeit und fordert Datenhoheit für Unternehmen. Für die Rohstoff-Analogie folgt daraus eine spezifisch europäische Implikation: Die Verlagerung der produktiven Nutzung in Richtung Open-Weight-Modelle verringert die strukturelle Import-Abhängigkeit Deutschlands und der EU von den US-Frontier-Anbietern, ohne die Rohstoff-Konzentration bei Compute-Hardware, Trainings-Kapazitäten und Talent-Basis aufzuheben; für die in § 8.3 skizzierten Zugriffspfade (Wertschöpfungsabgabe, Digitalabgabe, Datenrenten) bedeutet die Verschiebung, dass ein wachsender Teil der inländischen KI-Wertschöpfung an frei verfügbaren Modell-Substraten ansetzt — mit entsprechend robusterer Verfügbarkeit gegenüber US-Export­kontrollen (vgl. Fable-5-Episode, § 4.5), aber zugleich verminderter direkter Abschöpfungs­fläche über Anbieter-Umsätze. Die Veredelungs­strategie (unten) gewinnt damit zusätzlich an Plausibilität: Nicht der Zugriff auf die Frontier, sondern die branchen- und daten­spezifische Anreicherung offener Basismodelle wird zum operativen Kern einer deutschen KI-Wertschöpfung.</w:t>
      </w:r>
    </w:p>
    <w:p>
      <w:pPr>
        <w:jc w:val="both"/>
      </w:pPr>
      <w:r>
        <w:rPr>
          <w:rFonts w:ascii="Arial" w:hAnsi="Arial"/>
          <w:b w:val="0"/>
          <w:i w:val="0"/>
          <w:sz w:val="19"/>
        </w:rPr>
        <w:t xml:space="preserve">Diese Marktverlagerungs-These wird durch die am 16. Juli 2026 vollzogene Freigabe von </w:t>
      </w:r>
      <w:r>
        <w:rPr>
          <w:rFonts w:ascii="Arial" w:hAnsi="Arial"/>
          <w:b w:val="0"/>
          <w:i/>
          <w:sz w:val="19"/>
        </w:rPr>
        <w:t>Kimi K3</w:t>
      </w:r>
      <w:r>
        <w:rPr>
          <w:rFonts w:ascii="Arial" w:hAnsi="Arial"/>
          <w:b w:val="0"/>
          <w:i w:val="0"/>
          <w:sz w:val="19"/>
        </w:rPr>
        <w:t xml:space="preserve"> durch das chinesische Unternehmen </w:t>
      </w:r>
      <w:r>
        <w:rPr>
          <w:rFonts w:ascii="Arial" w:hAnsi="Arial"/>
          <w:b w:val="0"/>
          <w:i/>
          <w:sz w:val="19"/>
        </w:rPr>
        <w:t>Moonshot AI</w:t>
      </w:r>
      <w:r>
        <w:rPr>
          <w:rFonts w:ascii="Arial" w:hAnsi="Arial"/>
          <w:b w:val="0"/>
          <w:i w:val="0"/>
          <w:sz w:val="19"/>
        </w:rPr>
        <w:t xml:space="preserve"> (Peking) auf einer weiteren Ebene bestätigt und zugleich präzisiert (VentureBeat, Fortune, TechCrunch, People's Daily, Warp2Search, MLQ News, The Decoder, Simon Willison): </w:t>
      </w:r>
      <w:r>
        <w:rPr>
          <w:rFonts w:ascii="Arial" w:hAnsi="Arial"/>
          <w:b w:val="0"/>
          <w:i/>
          <w:sz w:val="19"/>
        </w:rPr>
        <w:t>Kimi K3</w:t>
      </w:r>
      <w:r>
        <w:rPr>
          <w:rFonts w:ascii="Arial" w:hAnsi="Arial"/>
          <w:b w:val="0"/>
          <w:i w:val="0"/>
          <w:sz w:val="19"/>
        </w:rPr>
        <w:t xml:space="preserve"> wird als „first open 3-trillion-parameter-class AI model" mit rund 2,8 Billionen Gesamtparametern in einer Mixture-of-Experts-Architektur vorgestellt und ist damit nach Angaben der Berichterstattung das bisher größte offen zugängliche Modell überhaupt; ein Kontextfenster von einer Million Token, native Bildverarbeitung und zwei Modellvarianten (</w:t>
      </w:r>
      <w:r>
        <w:rPr>
          <w:rFonts w:ascii="Arial" w:hAnsi="Arial"/>
          <w:b w:val="0"/>
          <w:i/>
          <w:sz w:val="19"/>
        </w:rPr>
        <w:t>K3 Max</w:t>
      </w:r>
      <w:r>
        <w:rPr>
          <w:rFonts w:ascii="Arial" w:hAnsi="Arial"/>
          <w:b w:val="0"/>
          <w:i w:val="0"/>
          <w:sz w:val="19"/>
        </w:rPr>
        <w:t xml:space="preserve"> für Chat- und Agent-Aufgaben; </w:t>
      </w:r>
      <w:r>
        <w:rPr>
          <w:rFonts w:ascii="Arial" w:hAnsi="Arial"/>
          <w:b w:val="0"/>
          <w:i/>
          <w:sz w:val="19"/>
        </w:rPr>
        <w:t>K3 Swarm Max</w:t>
      </w:r>
      <w:r>
        <w:rPr>
          <w:rFonts w:ascii="Arial" w:hAnsi="Arial"/>
          <w:b w:val="0"/>
          <w:i w:val="0"/>
          <w:sz w:val="19"/>
        </w:rPr>
        <w:t xml:space="preserve"> für hoch-parallele Verarbeitung) begleiten den Launch, wobei die vollständige </w:t>
      </w:r>
      <w:r>
        <w:rPr>
          <w:rFonts w:ascii="Arial" w:hAnsi="Arial"/>
          <w:b w:val="0"/>
          <w:i/>
          <w:sz w:val="19"/>
        </w:rPr>
        <w:t>Open-Weight</w:t>
      </w:r>
      <w:r>
        <w:rPr>
          <w:rFonts w:ascii="Arial" w:hAnsi="Arial"/>
          <w:b w:val="0"/>
          <w:i w:val="0"/>
          <w:sz w:val="19"/>
        </w:rPr>
        <w:t xml:space="preserve">-Veröffentlichung für den 27. Juli 2026 angekündigt ist. Im </w:t>
      </w:r>
      <w:r>
        <w:rPr>
          <w:rFonts w:ascii="Arial" w:hAnsi="Arial"/>
          <w:b w:val="0"/>
          <w:i/>
          <w:sz w:val="19"/>
        </w:rPr>
        <w:t>Artificial-Analysis-Intelligence-Index</w:t>
      </w:r>
      <w:r>
        <w:rPr>
          <w:rFonts w:ascii="Arial" w:hAnsi="Arial"/>
          <w:b w:val="0"/>
          <w:i w:val="0"/>
          <w:sz w:val="19"/>
        </w:rPr>
        <w:t xml:space="preserve"> erreicht </w:t>
      </w:r>
      <w:r>
        <w:rPr>
          <w:rFonts w:ascii="Arial" w:hAnsi="Arial"/>
          <w:b w:val="0"/>
          <w:i/>
          <w:sz w:val="19"/>
        </w:rPr>
        <w:t>Kimi K3</w:t>
      </w:r>
      <w:r>
        <w:rPr>
          <w:rFonts w:ascii="Arial" w:hAnsi="Arial"/>
          <w:b w:val="0"/>
          <w:i w:val="0"/>
          <w:sz w:val="19"/>
        </w:rPr>
        <w:t xml:space="preserve"> nach unabhängiger Messung 57 Punkte und rangiert damit auf Platz 4 knapp über </w:t>
      </w:r>
      <w:r>
        <w:rPr>
          <w:rFonts w:ascii="Arial" w:hAnsi="Arial"/>
          <w:b w:val="0"/>
          <w:i/>
          <w:sz w:val="19"/>
        </w:rPr>
        <w:t>Claude Opus 4.8</w:t>
      </w:r>
      <w:r>
        <w:rPr>
          <w:rFonts w:ascii="Arial" w:hAnsi="Arial"/>
          <w:b w:val="0"/>
          <w:i w:val="0"/>
          <w:sz w:val="19"/>
        </w:rPr>
        <w:t xml:space="preserve"> (56), aber weiterhin unter </w:t>
      </w:r>
      <w:r>
        <w:rPr>
          <w:rFonts w:ascii="Arial" w:hAnsi="Arial"/>
          <w:b w:val="0"/>
          <w:i/>
          <w:sz w:val="19"/>
        </w:rPr>
        <w:t>OpenAI GPT-5.6 Sol</w:t>
      </w:r>
      <w:r>
        <w:rPr>
          <w:rFonts w:ascii="Arial" w:hAnsi="Arial"/>
          <w:b w:val="0"/>
          <w:i w:val="0"/>
          <w:sz w:val="19"/>
        </w:rPr>
        <w:t xml:space="preserve"> (58,9) und </w:t>
      </w:r>
      <w:r>
        <w:rPr>
          <w:rFonts w:ascii="Arial" w:hAnsi="Arial"/>
          <w:b w:val="0"/>
          <w:i/>
          <w:sz w:val="19"/>
        </w:rPr>
        <w:t>Claude Fable 5</w:t>
      </w:r>
      <w:r>
        <w:rPr>
          <w:rFonts w:ascii="Arial" w:hAnsi="Arial"/>
          <w:b w:val="0"/>
          <w:i w:val="0"/>
          <w:sz w:val="19"/>
        </w:rPr>
        <w:t xml:space="preserve"> (59,9). Ökonomisch bemerkenswert ist die Preissetzung: </w:t>
      </w:r>
      <w:r>
        <w:rPr>
          <w:rFonts w:ascii="Arial" w:hAnsi="Arial"/>
          <w:b w:val="0"/>
          <w:i/>
          <w:sz w:val="19"/>
        </w:rPr>
        <w:t>Moonshot AI</w:t>
      </w:r>
      <w:r>
        <w:rPr>
          <w:rFonts w:ascii="Arial" w:hAnsi="Arial"/>
          <w:b w:val="0"/>
          <w:i w:val="0"/>
          <w:sz w:val="19"/>
        </w:rPr>
        <w:t xml:space="preserve"> verlangt für die API-Nutzung 3 US-Dollar pro Million Input- und 15 US-Dollar pro Million Output-Token (Cache-Read 0,30 US-Dollar), womit die Sätze dem Standardpreis von </w:t>
      </w:r>
      <w:r>
        <w:rPr>
          <w:rFonts w:ascii="Arial" w:hAnsi="Arial"/>
          <w:b w:val="0"/>
          <w:i/>
          <w:sz w:val="19"/>
        </w:rPr>
        <w:t>Claude Sonnet 5</w:t>
      </w:r>
      <w:r>
        <w:rPr>
          <w:rFonts w:ascii="Arial" w:hAnsi="Arial"/>
          <w:b w:val="0"/>
          <w:i w:val="0"/>
          <w:sz w:val="19"/>
        </w:rPr>
        <w:t xml:space="preserve"> entsprechen und deutlich über den Preispunkten früherer chinesischer Open-Weight-Anbieter (</w:t>
      </w:r>
      <w:r>
        <w:rPr>
          <w:rFonts w:ascii="Arial" w:hAnsi="Arial"/>
          <w:b w:val="0"/>
          <w:i/>
          <w:sz w:val="19"/>
        </w:rPr>
        <w:t>DeepSeek</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liegen; </w:t>
      </w:r>
      <w:r>
        <w:rPr>
          <w:rFonts w:ascii="Arial" w:hAnsi="Arial"/>
          <w:b w:val="0"/>
          <w:i/>
          <w:sz w:val="19"/>
        </w:rPr>
        <w:t>The Decoder</w:t>
      </w:r>
      <w:r>
        <w:rPr>
          <w:rFonts w:ascii="Arial" w:hAnsi="Arial"/>
          <w:b w:val="0"/>
          <w:i w:val="0"/>
          <w:sz w:val="19"/>
        </w:rPr>
        <w:t xml:space="preserve"> fasst die Preispunkte in der Formulierung „signaling the end of super cheap Chinese AI" zusammen. Für die in diesem Kapitel geführte Rohstoff-Analogie sind zwei Implikationen hervorzuheben: Erstens bestätigt der Vorgang, dass die Open-Weight-Verlagerung nicht mehr allein durch Preisunterbietung, sondern zunehmend auch durch Kapazitätsführerschaft auf einer Ebene erfolgt, die bislang den US-Frontier-Anbietern vorbehalten war — was die europäische Veredelungs­logik (unten) auf einer breiteren Modellbasis abstützt. Zweitens setzt die Preis-Konvergenz chinesischer Anbieter Richtung US-Workhorse-Niveau die in § 8.2 dokumentierte deflationäre Dynamik einer Grenze aus: Solange die Trainings- und Compute-Kosten weiter steigen, ist die scheinbar unbegrenzte Preisdeflation an der Inferenzfront eine Funktion der Wettbewerbsintensität, nicht der Produktionskosten — ein weiterer Grund, warum § 8.3 die stabilere Anknüpfung an inländische Wertschöpfung anstelle importbezogener Umsatz-Erfassung präferiert. Für die Deutschland-These (§ 8.3) folgt daraus, dass die Open-Weight-Zugriffspfade auf inländische KI-Wertschöpfung zwar an Substanz gewinnen, sich aber nicht länger auf eine dauerhaft günstige Import-Ökonomie chinesischer Modelle verlassen können.</w:t>
      </w:r>
    </w:p>
    <w:p>
      <w:pPr>
        <w:jc w:val="both"/>
      </w:pPr>
      <w:r>
        <w:rPr>
          <w:rFonts w:ascii="Arial" w:hAnsi="Arial"/>
          <w:b w:val="0"/>
          <w:i w:val="0"/>
          <w:sz w:val="19"/>
        </w:rPr>
        <w:t xml:space="preserve">Zeitlich parallel zur GPT-5.6-Freigabe (9. Juli 2026) hat Meta über </w:t>
      </w:r>
      <w:r>
        <w:rPr>
          <w:rFonts w:ascii="Arial" w:hAnsi="Arial"/>
          <w:b w:val="0"/>
          <w:i/>
          <w:sz w:val="19"/>
        </w:rPr>
        <w:t>Meta Superintelligence Labs</w:t>
      </w:r>
      <w:r>
        <w:rPr>
          <w:rFonts w:ascii="Arial" w:hAnsi="Arial"/>
          <w:b w:val="0"/>
          <w:i w:val="0"/>
          <w:sz w:val="19"/>
        </w:rPr>
        <w:t xml:space="preserve"> das agentische Multimodalmodell </w:t>
      </w:r>
      <w:r>
        <w:rPr>
          <w:rFonts w:ascii="Arial" w:hAnsi="Arial"/>
          <w:b w:val="0"/>
          <w:i/>
          <w:sz w:val="19"/>
        </w:rPr>
        <w:t>Muse Spark 1.1</w:t>
      </w:r>
      <w:r>
        <w:rPr>
          <w:rFonts w:ascii="Arial" w:hAnsi="Arial"/>
          <w:b w:val="0"/>
          <w:i w:val="0"/>
          <w:sz w:val="19"/>
        </w:rPr>
        <w:t xml:space="preserve"> über eine kostenpflichtige </w:t>
      </w:r>
      <w:r>
        <w:rPr>
          <w:rFonts w:ascii="Arial" w:hAnsi="Arial"/>
          <w:b w:val="0"/>
          <w:i/>
          <w:sz w:val="19"/>
        </w:rPr>
        <w:t>Meta Model API</w:t>
      </w:r>
      <w:r>
        <w:rPr>
          <w:rFonts w:ascii="Arial" w:hAnsi="Arial"/>
          <w:b w:val="0"/>
          <w:i w:val="0"/>
          <w:sz w:val="19"/>
        </w:rPr>
        <w:t xml:space="preserve"> freigegeben (Fortune, CNBC, TechCrunch, Datacamp, AI Weekly, Storyboard18): Kontextfenster 1 Million Token, aktives Kontextmanagement, spezifische Fortschritte in Werkzeug- und Rechnerbedienung, Programmieren und multimodalem Verständnis. Der Einstiegspreis liegt bei 1,25 US-Dollar pro Million Input-Token und 4,25 US-Dollar pro Million Output-Token — nach Berichterstattung von TechTimes und Quartz rund ein Viertel bis ein Drittel des vergleichbaren Anthropic-/OpenAI-Preisniveaus (Anthropic </w:t>
      </w:r>
      <w:r>
        <w:rPr>
          <w:rFonts w:ascii="Arial" w:hAnsi="Arial"/>
          <w:b w:val="0"/>
          <w:i/>
          <w:sz w:val="19"/>
        </w:rPr>
        <w:t>Claude Sonnet 5</w:t>
      </w:r>
      <w:r>
        <w:rPr>
          <w:rFonts w:ascii="Arial" w:hAnsi="Arial"/>
          <w:b w:val="0"/>
          <w:i w:val="0"/>
          <w:sz w:val="19"/>
        </w:rPr>
        <w:t xml:space="preserve"> 2/10 US-Dollar Einführungspreis, OpenAI </w:t>
      </w:r>
      <w:r>
        <w:rPr>
          <w:rFonts w:ascii="Arial" w:hAnsi="Arial"/>
          <w:b w:val="0"/>
          <w:i/>
          <w:sz w:val="19"/>
        </w:rPr>
        <w:t>GPT-5.6 Sol</w:t>
      </w:r>
      <w:r>
        <w:rPr>
          <w:rFonts w:ascii="Arial" w:hAnsi="Arial"/>
          <w:b w:val="0"/>
          <w:i w:val="0"/>
          <w:sz w:val="19"/>
        </w:rPr>
        <w:t xml:space="preserve"> 5/30 US-Dollar). Fortune ordnet den Vorstoß in eine breitere KI-Beschleunigung unter Alexandr Wang ein, TechCrunch verweist auf die Positionierung als Herausforderer im agentischen Programmier-Segment. Für die in diesem Kapitel geführte Diskussion ist der Vorgang in doppelter Hinsicht relevant: Er bestätigt die Preis­deflation an der Inferenzfront auf einer weiteren Modellstufe und verdichtet die Angebotsseite an der US-Frontier — mit zusätzlicher struktureller Symmetrie zwischen Personalabbau (Meta-Streichungen 20. Mai 2026, § 1.1) und paralleler Modell- und Compute-Offensive (Chip-Produktion September 2026, § 8.2) —, ohne die geografische Konzentration der Basismodellproduktion aufzuheben. Für die in § 8.3 skizzierten Zugriffspfade auf inländische KI-Wertschöpfung schreibt sich damit das Muster fort, dass die im Inland realisierte Wertschöpfung an die Verfügbarkeit dieser Modelle gekoppelt bleibt und dieselben Robustheits­anforderungen (Fable-5-Episode, § 4.5) auch für die neu hinzutretenden Anbieter greifen.</w:t>
      </w:r>
    </w:p>
    <w:p>
      <w:pPr>
        <w:jc w:val="both"/>
      </w:pPr>
      <w:r>
        <w:rPr>
          <w:rFonts w:ascii="Arial" w:hAnsi="Arial"/>
          <w:b w:val="0"/>
          <w:i w:val="0"/>
          <w:sz w:val="19"/>
        </w:rPr>
        <w:t xml:space="preserve">Zugleich verdichtet sich die Custom-Silicon-Achse der Frontier-Anbieter zu einer eigenständigen Rohstoff­konzentrations­ebene, die nach der Berichterstattung von </w:t>
      </w:r>
      <w:r>
        <w:rPr>
          <w:rFonts w:ascii="Arial" w:hAnsi="Arial"/>
          <w:b w:val="0"/>
          <w:i/>
          <w:sz w:val="19"/>
        </w:rPr>
        <w:t>TechTimes</w:t>
      </w:r>
      <w:r>
        <w:rPr>
          <w:rFonts w:ascii="Arial" w:hAnsi="Arial"/>
          <w:b w:val="0"/>
          <w:i w:val="0"/>
          <w:sz w:val="19"/>
        </w:rPr>
        <w:t xml:space="preserve"> (17. Juli 2026, aufgenommen von </w:t>
      </w:r>
      <w:r>
        <w:rPr>
          <w:rFonts w:ascii="Arial" w:hAnsi="Arial"/>
          <w:b w:val="0"/>
          <w:i/>
          <w:sz w:val="19"/>
        </w:rPr>
        <w:t>Yahoo Finance</w:t>
      </w:r>
      <w:r>
        <w:rPr>
          <w:rFonts w:ascii="Arial" w:hAnsi="Arial"/>
          <w:b w:val="0"/>
          <w:i w:val="0"/>
          <w:sz w:val="19"/>
        </w:rPr>
        <w:t xml:space="preserve"> und </w:t>
      </w:r>
      <w:r>
        <w:rPr>
          <w:rFonts w:ascii="Arial" w:hAnsi="Arial"/>
          <w:b w:val="0"/>
          <w:i/>
          <w:sz w:val="19"/>
        </w:rPr>
        <w:t>The Motley Fool</w:t>
      </w:r>
      <w:r>
        <w:rPr>
          <w:rFonts w:ascii="Arial" w:hAnsi="Arial"/>
          <w:b w:val="0"/>
          <w:i w:val="0"/>
          <w:sz w:val="19"/>
        </w:rPr>
        <w:t xml:space="preserve">) und ergänzenden Angaben aus </w:t>
      </w:r>
      <w:r>
        <w:rPr>
          <w:rFonts w:ascii="Arial" w:hAnsi="Arial"/>
          <w:b w:val="0"/>
          <w:i/>
          <w:sz w:val="19"/>
        </w:rPr>
        <w:t>Reuters</w:t>
      </w:r>
      <w:r>
        <w:rPr>
          <w:rFonts w:ascii="Arial" w:hAnsi="Arial"/>
          <w:b w:val="0"/>
          <w:i w:val="0"/>
          <w:sz w:val="19"/>
        </w:rPr>
        <w:t xml:space="preserve"> eine bemerkenswerte Design­partner-Konzentration aufweist: Das im März 2026 als </w:t>
      </w:r>
      <w:r>
        <w:rPr>
          <w:rFonts w:ascii="Arial" w:hAnsi="Arial"/>
          <w:b w:val="0"/>
          <w:i/>
          <w:sz w:val="19"/>
        </w:rPr>
        <w:t>V3 Iris</w:t>
      </w:r>
      <w:r>
        <w:rPr>
          <w:rFonts w:ascii="Arial" w:hAnsi="Arial"/>
          <w:b w:val="0"/>
          <w:i w:val="0"/>
          <w:sz w:val="19"/>
        </w:rPr>
        <w:t xml:space="preserve"> öffentlich vorgestellte </w:t>
      </w:r>
      <w:r>
        <w:rPr>
          <w:rFonts w:ascii="Arial" w:hAnsi="Arial"/>
          <w:b w:val="0"/>
          <w:i/>
          <w:sz w:val="19"/>
        </w:rPr>
        <w:t>MTIA-Meta-Training-and-Inference-Accelerator</w:t>
      </w:r>
      <w:r>
        <w:rPr>
          <w:rFonts w:ascii="Arial" w:hAnsi="Arial"/>
          <w:b w:val="0"/>
          <w:i w:val="0"/>
          <w:sz w:val="19"/>
        </w:rPr>
        <w:t xml:space="preserve">-Modell hat nach dem intern reviewten Reuters-Memo (aufgegriffen unter anderem durch CNBC am 9. Juli 2026, DataCenterDynamics und Yahoo Finance) die Bug-Testphase innerhalb von rund sechs Wochen ohne wesentliche Auffälligkeiten abgeschlossen; die Serienfertigung soll im September 2026 bei </w:t>
      </w:r>
      <w:r>
        <w:rPr>
          <w:rFonts w:ascii="Arial" w:hAnsi="Arial"/>
          <w:b w:val="0"/>
          <w:i/>
          <w:sz w:val="19"/>
        </w:rPr>
        <w:t>Taiwan Semiconductor Manufacturing Company</w:t>
      </w:r>
      <w:r>
        <w:rPr>
          <w:rFonts w:ascii="Arial" w:hAnsi="Arial"/>
          <w:b w:val="0"/>
          <w:i w:val="0"/>
          <w:sz w:val="19"/>
        </w:rPr>
        <w:t xml:space="preserve"> (TSMC) anlaufen. Design­partner ist </w:t>
      </w:r>
      <w:r>
        <w:rPr>
          <w:rFonts w:ascii="Arial" w:hAnsi="Arial"/>
          <w:b w:val="0"/>
          <w:i/>
          <w:sz w:val="19"/>
        </w:rPr>
        <w:t>Broadcom</w:t>
      </w:r>
      <w:r>
        <w:rPr>
          <w:rFonts w:ascii="Arial" w:hAnsi="Arial"/>
          <w:b w:val="0"/>
          <w:i w:val="0"/>
          <w:sz w:val="19"/>
        </w:rPr>
        <w:t>, das damit nach der TechTimes-Berichterstattung parallel Custom-ASICs für drei US-Frontier-Kunden entwirft —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 während </w:t>
      </w:r>
      <w:r>
        <w:rPr>
          <w:rFonts w:ascii="Arial" w:hAnsi="Arial"/>
          <w:b w:val="0"/>
          <w:i/>
          <w:sz w:val="19"/>
        </w:rPr>
        <w:t>Anthropic</w:t>
      </w:r>
      <w:r>
        <w:rPr>
          <w:rFonts w:ascii="Arial" w:hAnsi="Arial"/>
          <w:b w:val="0"/>
          <w:i w:val="0"/>
          <w:sz w:val="19"/>
        </w:rPr>
        <w:t xml:space="preserve"> nach der Bloomberg-/Information-Berichterstattung Anfang Juli 2026 mit </w:t>
      </w:r>
      <w:r>
        <w:rPr>
          <w:rFonts w:ascii="Arial" w:hAnsi="Arial"/>
          <w:b w:val="0"/>
          <w:i/>
          <w:sz w:val="19"/>
        </w:rPr>
        <w:t>Samsung Foundry</w:t>
      </w:r>
      <w:r>
        <w:rPr>
          <w:rFonts w:ascii="Arial" w:hAnsi="Arial"/>
          <w:b w:val="0"/>
          <w:i w:val="0"/>
          <w:sz w:val="19"/>
        </w:rPr>
        <w:t xml:space="preserve"> über einen 2-nm-Custom-Chip verhandelt und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sowie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Nach den in derselben Berichterstattung wiedergegebenen Aggregat­angaben kontrollieren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zusammen rund 95 % des Custom-AI-ASIC-Co-Design-Markts; </w:t>
      </w:r>
      <w:r>
        <w:rPr>
          <w:rFonts w:ascii="Arial" w:hAnsi="Arial"/>
          <w:b w:val="0"/>
          <w:i/>
          <w:sz w:val="19"/>
        </w:rPr>
        <w:t>Broadcom</w:t>
      </w:r>
      <w:r>
        <w:rPr>
          <w:rFonts w:ascii="Arial" w:hAnsi="Arial"/>
          <w:b w:val="0"/>
          <w:i w:val="0"/>
          <w:sz w:val="19"/>
        </w:rPr>
        <w:t xml:space="preserve"> meldet für das FY-2026-Q2 rund 10,8 Milliarden US-Dollar AI-Halbleiter-Umsatz (+143 % gegenüber dem Vorjahresquartal). Für die in diesem Kapitel geführte Rohstoff-Analogie ergänzt der Vorgang die geografische Compute-Konzentration um eine Design­partner-Konzentration: Ein einzelner US-Halbleiter­dienstleister entwirft die Custom-Inferenz-Silicon der drei wichtigsten Hyperscaler bei zugleich einer einzigen ausländischen Fertigung (TSMC), was die </w:t>
      </w:r>
      <w:r>
        <w:rPr>
          <w:rFonts w:ascii="Arial" w:hAnsi="Arial"/>
          <w:b w:val="0"/>
          <w:i/>
          <w:sz w:val="19"/>
        </w:rPr>
        <w:t>Kyber</w:t>
      </w:r>
      <w:r>
        <w:rPr>
          <w:rFonts w:ascii="Arial" w:hAnsi="Arial"/>
          <w:b w:val="0"/>
          <w:i w:val="0"/>
          <w:sz w:val="19"/>
        </w:rPr>
        <w:t>-Engpass-Beobachtung (§ 8.2, PCB-Midplane-Verzögerung) um einen strukturell gleichartigen Konzentrations­befund auf der Custom-ASIC-Ebene ergänzt. Für die Deutschland-These (§ 8.3) folgt daraus, dass die stabileren wertschöpfungs­bezogenen Zugriffe an inländischer Substanz gewinnen, während die Anknüpfung an Marktkapitalisierungen einzelner Frontier-Anbieter (Sanders-</w:t>
      </w:r>
      <w:r>
        <w:rPr>
          <w:rFonts w:ascii="Arial" w:hAnsi="Arial"/>
          <w:b w:val="0"/>
          <w:i/>
          <w:sz w:val="19"/>
        </w:rPr>
        <w:t>American A.I. Sovereign Wealth Fund Act</w:t>
      </w:r>
      <w:r>
        <w:rPr>
          <w:rFonts w:ascii="Arial" w:hAnsi="Arial"/>
          <w:b w:val="0"/>
          <w:i w:val="0"/>
          <w:sz w:val="19"/>
        </w:rPr>
        <w:t xml:space="preserve">) durch die Design-Konzentration bei </w:t>
      </w:r>
      <w:r>
        <w:rPr>
          <w:rFonts w:ascii="Arial" w:hAnsi="Arial"/>
          <w:b w:val="0"/>
          <w:i/>
          <w:sz w:val="19"/>
        </w:rPr>
        <w:t>Broadcom</w:t>
      </w:r>
      <w:r>
        <w:rPr>
          <w:rFonts w:ascii="Arial" w:hAnsi="Arial"/>
          <w:b w:val="0"/>
          <w:i w:val="0"/>
          <w:sz w:val="19"/>
        </w:rPr>
        <w:t xml:space="preserve"> eine zusätzliche Volatilitätsschicht erhält: Ein Kausalitätsschock in einer einzigen Design-Lieferkette kann die Frontier-Umsätze mehrerer Anbieter simultan berühren, was den bestandsbezogenen Zugriff zusätzlich fragilisiert.</w:t>
      </w:r>
    </w:p>
    <w:p>
      <w:pPr>
        <w:jc w:val="both"/>
      </w:pPr>
      <w:r>
        <w:rPr>
          <w:rFonts w:ascii="Arial" w:hAnsi="Arial"/>
          <w:b w:val="0"/>
          <w:i w:val="0"/>
          <w:sz w:val="19"/>
        </w:rPr>
        <w:t xml:space="preserve">Auf der Trainingsdaten-Ebene der KI-Wertschöpfungskette hat am 20. Juli 2026 US-Bezirksrichterin Araceli Martinez-Olguin am United States District Court for the Northern District of California nach dem altersbedingten Rückzug von Richter William Alsup den zwischen </w:t>
      </w:r>
      <w:r>
        <w:rPr>
          <w:rFonts w:ascii="Arial" w:hAnsi="Arial"/>
          <w:b w:val="0"/>
          <w:i/>
          <w:sz w:val="19"/>
        </w:rPr>
        <w:t>Anthropic</w:t>
      </w:r>
      <w:r>
        <w:rPr>
          <w:rFonts w:ascii="Arial" w:hAnsi="Arial"/>
          <w:b w:val="0"/>
          <w:i w:val="0"/>
          <w:sz w:val="19"/>
        </w:rPr>
        <w:t xml:space="preserve"> und einer Sammelklägergemeinschaft von Autorinnen, Autoren und Verlegern (Verfahrensname </w:t>
      </w:r>
      <w:r>
        <w:rPr>
          <w:rFonts w:ascii="Arial" w:hAnsi="Arial"/>
          <w:b w:val="0"/>
          <w:i/>
          <w:sz w:val="19"/>
        </w:rPr>
        <w:t>Bartz et al. v. Anthropic</w:t>
      </w:r>
      <w:r>
        <w:rPr>
          <w:rFonts w:ascii="Arial" w:hAnsi="Arial"/>
          <w:b w:val="0"/>
          <w:i w:val="0"/>
          <w:sz w:val="19"/>
        </w:rPr>
        <w:t>) ausgehandelten 1,5-Milliarden-Dollar-Vergleich endgültig genehmigt (TechCrunch, hothardware, Yahoo Finance, Publishers Weekly, TechTimes, Benzinga, Claims Journal). Nach übereinstimmender Berichterstattung handelt es sich um den größten Copyright-Vergleich in der US-Rechtsgeschichte: Rund 500.000 Werke von Autoren und Verlegern werden mit rund 3.000 US-Dollar pro Werk vergütet; der Vergleich schließt Objekt- und Verfahrensverzeichnis ohne rechtsbindende Präzedenzwirkung für andere Verfahren gegen KI-Anbieter ab. Der Streitgegenstand liegt nicht im KI-Training als solchem, sondern in der Beschaffungslogik: Richter Alsup hatte im Vorlauf entschieden, dass das Training auf legal erworbenen urheberrechtlich geschützten Texten unter die US-Fair-Use-Doktrin fällt, das systematische Herunterladen und Speichern von mehr als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hingegen nicht — Richterin Martinez-Olguin genehmigte den Vergleich nun trotz Einwendungen einzelner Klägerinnen und Kläger, denen die Zahlung zu gering erschien. Für die in diesem Kapitel geführte Rohstoff-Analogie und die Veredelungsstrategie der Deutschland-These sind zwei Implikationen zu markieren: Erstens etabliert der Vergleich einen ersten großmaßstäblichen monetären Referenzwert für die </w:t>
      </w:r>
      <w:r>
        <w:rPr>
          <w:rFonts w:ascii="Arial" w:hAnsi="Arial"/>
          <w:b w:val="0"/>
          <w:i/>
          <w:sz w:val="19"/>
        </w:rPr>
        <w:t>Trainingsdaten</w:t>
      </w:r>
      <w:r>
        <w:rPr>
          <w:rFonts w:ascii="Arial" w:hAnsi="Arial"/>
          <w:b w:val="0"/>
          <w:i w:val="0"/>
          <w:sz w:val="19"/>
        </w:rPr>
        <w:t xml:space="preserve">-Ebene der KI-Wertschöpfungskette (rund 3.000 US-Dollar pro Werk × 500.000 Werke ≈ 1,5 Milliarden US-Dollar) — ein Rechenzeichen, das die bislang zu weiten Teilen unentgoltene Rohstoffnutzung im generativen KI-Sektor erstmals in einer justiziablen Größenordnung sichtbar macht. Zweitens verläuft der Vergleich am </w:t>
      </w:r>
      <w:r>
        <w:rPr>
          <w:rFonts w:ascii="Arial" w:hAnsi="Arial"/>
          <w:b w:val="0"/>
          <w:i/>
          <w:sz w:val="19"/>
        </w:rPr>
        <w:t>Ort der Rohstoffproduktion</w:t>
      </w:r>
      <w:r>
        <w:rPr>
          <w:rFonts w:ascii="Arial" w:hAnsi="Arial"/>
          <w:b w:val="0"/>
          <w:i w:val="0"/>
          <w:sz w:val="19"/>
        </w:rPr>
        <w:t xml:space="preserve"> (Autorinnen, Autoren und Verlage) und nicht am </w:t>
      </w:r>
      <w:r>
        <w:rPr>
          <w:rFonts w:ascii="Arial" w:hAnsi="Arial"/>
          <w:b w:val="0"/>
          <w:i/>
          <w:sz w:val="19"/>
        </w:rPr>
        <w:t>Ort der Veredelungsrendite</w:t>
      </w:r>
      <w:r>
        <w:rPr>
          <w:rFonts w:ascii="Arial" w:hAnsi="Arial"/>
          <w:b w:val="0"/>
          <w:i w:val="0"/>
          <w:sz w:val="19"/>
        </w:rPr>
        <w:t xml:space="preserve"> (Frontier-Anbieter), wodurch die in § 8.3 formulierte Teilhabefonds-Logik einer öffentlich-institutionellen Beteiligung an der Veredelungsrendite konzeptionell ergänzt, nicht ersetzt wird: Zivilrechtliche Vergütungen an Rohstoffproduzenten und öffentlich-rechtliche Zugriffe auf Veredelungsrenten adressieren unterschiedliche Ebenen derselben Wertschöpfungskette. Ohne bindende Präzedenzwirkung entfaltet der Vergleich seine strukturelle Wirkung vor allem als Signalwert an die weiterhin anhängigen Sammelklagen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die dortigen wirtschaftlichen Größenordnungen bleiben zunächst offen, das monetäre Rechenzeichen — und die Trennung zwischen Trainings-Fair-Use einerseits und rechtswidriger Beschaffung andererseits — ist mit dem Vergleich vom 20. Juli 2026 nun gesetzt.</w:t>
      </w:r>
    </w:p>
    <w:p>
      <w:pPr>
        <w:jc w:val="both"/>
      </w:pPr>
      <w:r>
        <w:rPr>
          <w:rFonts w:ascii="Arial" w:hAnsi="Arial"/>
          <w:b w:val="0"/>
          <w:i w:val="0"/>
          <w:sz w:val="19"/>
        </w:rPr>
        <w:t xml:space="preserve">Auf der physisch-robotischen Ebene derselben Frontier-Capex-Achse verdichtete der </w:t>
      </w:r>
      <w:r>
        <w:rPr>
          <w:rFonts w:ascii="Arial" w:hAnsi="Arial"/>
          <w:b w:val="0"/>
          <w:i/>
          <w:sz w:val="19"/>
        </w:rPr>
        <w:t>Tesla</w:t>
      </w:r>
      <w:r>
        <w:rPr>
          <w:rFonts w:ascii="Arial" w:hAnsi="Arial"/>
          <w:b w:val="0"/>
          <w:i w:val="0"/>
          <w:sz w:val="19"/>
        </w:rPr>
        <w:t xml:space="preserve">-Q2-2026-Earnings-Call am 22. Juli 2026 (Ankündigungsberichterstattung: Seeking Alpha, MarketScreener, CNBC, Not-a-Tesla-App, Yahoo Finance, BigGo Finance) das bislang offene Kapitel humanoider Produktionsrobotik: Tesla hat den ursprünglichen </w:t>
      </w:r>
      <w:r>
        <w:rPr>
          <w:rFonts w:ascii="Arial" w:hAnsi="Arial"/>
          <w:b w:val="0"/>
          <w:i/>
          <w:sz w:val="19"/>
        </w:rPr>
        <w:t>Model-S</w:t>
      </w:r>
      <w:r>
        <w:rPr>
          <w:rFonts w:ascii="Arial" w:hAnsi="Arial"/>
          <w:b w:val="0"/>
          <w:i w:val="0"/>
          <w:sz w:val="19"/>
        </w:rPr>
        <w:t>/</w:t>
      </w:r>
      <w:r>
        <w:rPr>
          <w:rFonts w:ascii="Arial" w:hAnsi="Arial"/>
          <w:b w:val="0"/>
          <w:i/>
          <w:sz w:val="19"/>
        </w:rPr>
        <w:t>Model-X</w:t>
      </w:r>
      <w:r>
        <w:rPr>
          <w:rFonts w:ascii="Arial" w:hAnsi="Arial"/>
          <w:b w:val="0"/>
          <w:i w:val="0"/>
          <w:sz w:val="19"/>
        </w:rPr>
        <w:t xml:space="preserve">-Montagelinien-Abbau in Fremont innerhalb von rund 46 Tagen abgeschlossen und danach die </w:t>
      </w:r>
      <w:r>
        <w:rPr>
          <w:rFonts w:ascii="Arial" w:hAnsi="Arial"/>
          <w:b w:val="0"/>
          <w:i/>
          <w:sz w:val="19"/>
        </w:rPr>
        <w:t>Optimus-Gen-3</w:t>
      </w:r>
      <w:r>
        <w:rPr>
          <w:rFonts w:ascii="Arial" w:hAnsi="Arial"/>
          <w:b w:val="0"/>
          <w:i w:val="0"/>
          <w:sz w:val="19"/>
        </w:rPr>
        <w:t xml:space="preserve">-Erstproduktionslinien installiert; die eigentliche Produktion soll nach den Konzernangaben zeitnah — bei Musk konjunktivisch: „start production soon" — anlaufen. Die Erstlinie sei nach Konzernangaben langfristig auf eine Jahres­kapazität von bis zu einer Million Roboter ausgelegt, die tatsächliche Anlaufphase werde jedoch nach Musks eigener Diagnose „quite flat and long" ausfallen — begründet mit rund 10.000 unikalen Bauteilen ohne bestehende Zulieferkette und der Selbst­einordnung als „hardest product to scale manufacturing that we've ever made at Tesla, because everything on the robot is new". Erste Roboter würden ausdrücklich zur Trainings­datensammlung und Funktions­weiter­entwicklung eingesetzt, nicht an Kunden ausgeliefert; parallel verhandelt Tesla mit Samsung und TSMC über die AI-Compute-Zulieferung für Optimus und </w:t>
      </w:r>
      <w:r>
        <w:rPr>
          <w:rFonts w:ascii="Arial" w:hAnsi="Arial"/>
          <w:b w:val="0"/>
          <w:i/>
          <w:sz w:val="19"/>
        </w:rPr>
        <w:t>Robotaxi</w:t>
      </w:r>
      <w:r>
        <w:rPr>
          <w:rFonts w:ascii="Arial" w:hAnsi="Arial"/>
          <w:b w:val="0"/>
          <w:i w:val="0"/>
          <w:sz w:val="19"/>
        </w:rPr>
        <w:t xml:space="preserve">, und Musk kündigte den Standort­auswahl-Abschluss für einen als „Terafab" bezeichneten Optimus-/AI-Fertigungs-Großstandort in absehbarer Zeit an. Ökonomisch flankiert wird der Vorgang durch eine bestätigte Full-Year-Capex-Guidance von über 25 Milliarden US-Dollar für 2026 (in Verbindung mit einer neu gesicherten 30-Milliarden-US-Dollar-Fremdfinanzierungslinie), einen im zweiten Quartal auf −1,1 Milliarden US-Dollar gedrehten Free Cashflow sowie eine parallele Robotaxi-Ausweitung auf sieben US-Metropolregionen mit rund 380.000 unbeaufsichtigten Meilen ohne meldepflichtige Vorfälle bei rund 1,5 Millionen FSD-Abonnenten. Für die Rohstoff-Analogie ist der Vorgang insofern instruktiv, als er die in § 8.2 bereits dokumentierte Compute- und Silicon-Design-Konzentration um eine im Aufbau befindliche </w:t>
      </w:r>
      <w:r>
        <w:rPr>
          <w:rFonts w:ascii="Arial" w:hAnsi="Arial"/>
          <w:b w:val="0"/>
          <w:i/>
          <w:sz w:val="19"/>
        </w:rPr>
        <w:t>physisch-robotische</w:t>
      </w:r>
      <w:r>
        <w:rPr>
          <w:rFonts w:ascii="Arial" w:hAnsi="Arial"/>
          <w:b w:val="0"/>
          <w:i w:val="0"/>
          <w:sz w:val="19"/>
        </w:rPr>
        <w:t xml:space="preserve"> Wertschöpfungs­schicht ergänzt: Wenn die im Konzernstatement genannte Kapazitätsprojektion (Ein-Millionen-Jahres-Line-Kapazität) und der Gen-3-Fremont-24/7-Zellendauereinsatz mittelfristig realisiert werden, entsteht am oberen Ende der KI-Wertschöpfungskette eine weitere geographisch stark konzentrierte Kapital­schicht (Fremont, avisierte Terafab) mit derselben Design-Partner-Konzentration (Samsung, TSMC, Broadcom) wie im Custom-Silicon-Segment — und für die Deutschland-These (§ 8.3) folgt daraus, dass die inländisch verfügbaren Anknüpfungspunkte für eine Teilhabe­abgabe im Physisch-KI-Segment schneller enger werden als in der klassischen Industrierobotik (Fanuc, KUKA, ABB), weil die Wertschöpfung im humanoiden Segment vom Zeitpunkt der Serienfertigung an mit der ausländischen Basismodell- und Chip-Produktion gekoppelt bleibt.</w:t>
      </w:r>
    </w:p>
    <w:p>
      <w:pPr>
        <w:jc w:val="both"/>
      </w:pPr>
      <w:r>
        <w:rPr>
          <w:rFonts w:ascii="Arial" w:hAnsi="Arial"/>
          <w:b w:val="0"/>
          <w:i w:val="0"/>
          <w:sz w:val="19"/>
        </w:rPr>
        <w:t xml:space="preserve">Auf der Umsatz- und Capex-Seite verdichten zwei parallel vorgelegte Hyperscaler-Zahlenwerke aus dem 48-Stunden-Fenster (22./23. Juli 2026) die in diesem Kapitel entwickelte Rohstoff-Analogie weiter — nicht nur, weil die absolute Größenordnung der Kapitalausgaben erneut steigt, sondern weil die Nachfrageseite die Anbieterseite laut Konzernangaben ihrerseits nicht bedienen kann. </w:t>
      </w:r>
      <w:r>
        <w:rPr>
          <w:rFonts w:ascii="Arial" w:hAnsi="Arial"/>
          <w:b w:val="0"/>
          <w:i/>
          <w:sz w:val="19"/>
        </w:rPr>
        <w:t>Alphabet</w:t>
      </w:r>
      <w:r>
        <w:rPr>
          <w:rFonts w:ascii="Arial" w:hAnsi="Arial"/>
          <w:b w:val="0"/>
          <w:i w:val="0"/>
          <w:sz w:val="19"/>
        </w:rPr>
        <w:t xml:space="preserve"> meldet für das zweite Quartal 2026 einen Konzernumsatz von 119,8 Milliarden US-Dollar (+24 % gegenüber Vorjahr) und einen Google-Cloud-Umsatz von 24,8 Milliarden US-Dollar (+82 %) bei einem Auftragsbestand von 514 Milliarden US-Dollar; CEO Sundar Pichai konjunktiviert, „existierende Kunden überträfen ihre Verpflichtungen um mehr als 50 %" — eine Formulierung, die die im Kapitel referierte Rohstoff-Analogie um eine mengenmäßige Nachfrage­überhitzung ergänzt. Die Full-Year-Capex-Guidance 2026 wird von zuvor 180 bis 190 Milliarden US-Dollar auf 195 bis 205 Milliarden US-Dollar angehoben — allein Alphabet erhöht damit die im Kapitel 1.1 referierte Q1-Konsens-Größenordnung des Hyperscaler-Capex (rund 130,65 Milliarden US-Dollar) auf Konzernebene um rund 15 Milliarden US-Dollar in einem Quartal; die Q2-Kapitalausgaben liegen bei 44,9 Milliarden US-Dollar (Q1 2026: 36 Milliarden US-Dollar), der Free Cashflow dreht auf −5,9 Milliarden US-Dollar (erstmals negativ seit rund zehn Jahren), rund 60 % der Capex fließen in Server, 40 % in Rechenzentren und Netzwerk. Spiegelbildlich meldet </w:t>
      </w:r>
      <w:r>
        <w:rPr>
          <w:rFonts w:ascii="Arial" w:hAnsi="Arial"/>
          <w:b w:val="0"/>
          <w:i/>
          <w:sz w:val="19"/>
        </w:rPr>
        <w:t>Intel</w:t>
      </w:r>
      <w:r>
        <w:rPr>
          <w:rFonts w:ascii="Arial" w:hAnsi="Arial"/>
          <w:b w:val="0"/>
          <w:i w:val="0"/>
          <w:sz w:val="19"/>
        </w:rPr>
        <w:t xml:space="preserve"> am 23. Juli 2026 für das Data-Center-und-AI-Segment (</w:t>
      </w:r>
      <w:r>
        <w:rPr>
          <w:rFonts w:ascii="Arial" w:hAnsi="Arial"/>
          <w:b w:val="0"/>
          <w:i/>
          <w:sz w:val="19"/>
        </w:rPr>
        <w:t>DCAI</w:t>
      </w:r>
      <w:r>
        <w:rPr>
          <w:rFonts w:ascii="Arial" w:hAnsi="Arial"/>
          <w:b w:val="0"/>
          <w:i w:val="0"/>
          <w:sz w:val="19"/>
        </w:rPr>
        <w:t xml:space="preserve">) ein Umsatzplus von 59 % auf 6,3 Milliarden US-Dollar und den stärksten Konzern­quartalszuwachs seit über 15 Jahren (16,1 Milliarden US-Dollar Gesamtumsatz, +25 %) und konjunktiviert, „AI-driven compute continues to strengthen"; die Full-Year-Capex-Guidance 2026 wird von rund 17 auf über 20 Milliarden US-Dollar angehoben, 2027 werde die Kapitalausgabe „signifikant über 2026" liegen — parallel meldet der Konzern, die vorliegenden Bestellungen für Server-Produkte „nicht vollständig erfüllen zu können". Für die in diesem Kapitel geführte Rohstoff-Analogie sind vier Implikationen zu markieren: Erstens verstärkt die neue Alphabet-Capex-Guidance die geographische Compute-Konzentrations-These um einen weiteren aggregierten Nachweis eines strukturell nicht-bedienbaren Nachfrageüberhangs auf der Cloud-Rohstoff-Ebene; die Analogie zu klassischen Rohstoffmärkten mit Nachfrageüberhitzung und mehrjährigen Investitionsvorlaufzeiten wird empirisch belastbarer. Zweitens illustriert die Intel-Meldung „cannot fulfill all customer orders" die zeitliche Rigidität der Rohstoff-Seite: Anders als in einer klassischen Kapitaltheorie mit gleichgewichtiger Marktreaktion sind die kurzfristigen Anbieter­kapazitäten für Server-Silicon, Fertigungs­tools und </w:t>
      </w:r>
      <w:r>
        <w:rPr>
          <w:rFonts w:ascii="Arial" w:hAnsi="Arial"/>
          <w:b w:val="0"/>
          <w:i/>
          <w:sz w:val="19"/>
        </w:rPr>
        <w:t>clean room space</w:t>
      </w:r>
      <w:r>
        <w:rPr>
          <w:rFonts w:ascii="Arial" w:hAnsi="Arial"/>
          <w:b w:val="0"/>
          <w:i w:val="0"/>
          <w:sz w:val="19"/>
        </w:rPr>
        <w:t xml:space="preserve"> aus produktionstechnischen Gründen nicht kurzfristig skalierbar. Drittens verstärkt die vorübergehend negative Free-Cashflow-Position bei </w:t>
      </w:r>
      <w:r>
        <w:rPr>
          <w:rFonts w:ascii="Arial" w:hAnsi="Arial"/>
          <w:b w:val="0"/>
          <w:i/>
          <w:sz w:val="19"/>
        </w:rPr>
        <w:t>Alphabet</w:t>
      </w:r>
      <w:r>
        <w:rPr>
          <w:rFonts w:ascii="Arial" w:hAnsi="Arial"/>
          <w:b w:val="0"/>
          <w:i w:val="0"/>
          <w:sz w:val="19"/>
        </w:rPr>
        <w:t xml:space="preserve"> (−5,9 Milliarden US-Dollar Q2) die in § 5.1 und § 8.3 formulierten Erwägungen zur Anknüpfung an Wertschöpfung statt Ertrag: Selbst die profitabelsten Hyperscaler zeigen an der Capex-Front eine Ertragslücke, die eine ertrags­orientierte Zugriffslogik zusätzlich fragilisiert. Viertens setzen die parallelen Anhebungen der Full-Year-Capex-Guidances bei </w:t>
      </w:r>
      <w:r>
        <w:rPr>
          <w:rFonts w:ascii="Arial" w:hAnsi="Arial"/>
          <w:b w:val="0"/>
          <w:i/>
          <w:sz w:val="19"/>
        </w:rPr>
        <w:t>Alphabet</w:t>
      </w:r>
      <w:r>
        <w:rPr>
          <w:rFonts w:ascii="Arial" w:hAnsi="Arial"/>
          <w:b w:val="0"/>
          <w:i w:val="0"/>
          <w:sz w:val="19"/>
        </w:rPr>
        <w:t xml:space="preserve"> (+15 Milliarden US-Dollar), </w:t>
      </w:r>
      <w:r>
        <w:rPr>
          <w:rFonts w:ascii="Arial" w:hAnsi="Arial"/>
          <w:b w:val="0"/>
          <w:i/>
          <w:sz w:val="19"/>
        </w:rPr>
        <w:t>Intel</w:t>
      </w:r>
      <w:r>
        <w:rPr>
          <w:rFonts w:ascii="Arial" w:hAnsi="Arial"/>
          <w:b w:val="0"/>
          <w:i w:val="0"/>
          <w:sz w:val="19"/>
        </w:rPr>
        <w:t xml:space="preserve"> (+3 Milliarden US-Dollar auf Konzern-Ebene) und </w:t>
      </w:r>
      <w:r>
        <w:rPr>
          <w:rFonts w:ascii="Arial" w:hAnsi="Arial"/>
          <w:b w:val="0"/>
          <w:i/>
          <w:sz w:val="19"/>
        </w:rPr>
        <w:t>Tesla</w:t>
      </w:r>
      <w:r>
        <w:rPr>
          <w:rFonts w:ascii="Arial" w:hAnsi="Arial"/>
          <w:b w:val="0"/>
          <w:i w:val="0"/>
          <w:sz w:val="19"/>
        </w:rPr>
        <w:t xml:space="preserve"> (&gt;25 Milliarden US-Dollar Full-Year, § 8.2) im 48-Stunden-Fenster den in § 8.2 dokumentierten Konzentrations- und Ausweitungstrend auf einer weiteren Stichtags­ebene fort, ohne die Deutschland-Position im nachgelagerten Verarbeiter-Segment (§ 8.2, unten) zu verändern.</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 xml:space="preserve">Dynan, K., Elmendorf, D. W., &amp; Sheiner, L. (Juli 2026). </w:t>
      </w:r>
      <w:r>
        <w:rPr>
          <w:rFonts w:ascii="Arial" w:hAnsi="Arial"/>
          <w:b w:val="0"/>
          <w:i/>
          <w:sz w:val="19"/>
        </w:rPr>
        <w:t>How Might Fiscal Policy Respond to the Rise of Artificial Intelligence?</w:t>
      </w:r>
      <w:r>
        <w:rPr>
          <w:rFonts w:ascii="Arial" w:hAnsi="Arial"/>
          <w:b w:val="0"/>
          <w:i w:val="0"/>
          <w:sz w:val="19"/>
        </w:rPr>
        <w:t xml:space="preserve"> NBER Working Paper 35437 (Juli 2026); vorbereitet für die Brookings-Konferenz </w:t>
      </w:r>
      <w:r>
        <w:rPr>
          <w:rFonts w:ascii="Arial" w:hAnsi="Arial"/>
          <w:b w:val="0"/>
          <w:i/>
          <w:sz w:val="19"/>
        </w:rPr>
        <w:t>„The Forces Shaping America's Fiscal Future"</w:t>
      </w:r>
      <w:r>
        <w:rPr>
          <w:rFonts w:ascii="Arial" w:hAnsi="Arial"/>
          <w:b w:val="0"/>
          <w:i w:val="0"/>
          <w:sz w:val="19"/>
        </w:rPr>
        <w:t xml:space="preserve"> (Juni 2026). Szenariogestützte Analyse der US-Bundeshaushalts­wirkung KI-induzierter Struktur­verschiebungen; vier Langfristszenarien (schnelleres Produktivitätswachstum, größere Einkommensungleichheit, dauerhafte Beschäftigungs­verdrängung, höherer Kapitalanteil am Einkommen); Baseline-Schuldenprojektion 175 % BIP 2056, Worst-Case-KI-Szenario 126 % BIP (−49 Pp gegenüber Baseline); politikrobuste Empfehlungen (breite Arbeitsvermittlung/Qualifizierung, Kapital­besteuerung, Eigentums­fragen). DOI: 10.3386/w35437. https://www.nber.org/papers/w35437</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Anthropic. (26. Juni 2026). </w:t>
      </w:r>
      <w:r>
        <w:rPr>
          <w:rFonts w:ascii="Arial" w:hAnsi="Arial"/>
          <w:b w:val="0"/>
          <w:i/>
          <w:sz w:val="19"/>
        </w:rPr>
        <w:t>Anthropic Economic Index Report — Cadences.</w:t>
      </w:r>
      <w:r>
        <w:rPr>
          <w:rFonts w:ascii="Arial" w:hAnsi="Arial"/>
          <w:b w:val="0"/>
          <w:i w:val="0"/>
          <w:sz w:val="19"/>
        </w:rPr>
        <w:t xml:space="preserve"> Sechster Bericht der Reihe; erste verlinkte Stichprobe von ~9.700 Claude-Nutzerinnen und -Nutzern (Erhebung Mitte Mai bis Anfang Juni 2026): rund 50 % geben an, dass KI mindestens 50 % ihrer Aufgaben bereits übernehmen könne; nur ~10 % erwarten eigenen Arbeitsplatzverlust; über sechs Wirkungsdimensionen berichten Beschäftigte mit höherem Delegationsanteil systematisch positivere Erwartungen; Wochenend-Anstieg persönliche Nutzung 35→~50 %; Claude Code weist gegenüber Chat-Konversationen eine um 0,26 Punkte höhere Autonomie-Metrik auf. https://www.anthropic.com/research/economic-index-june-2026-report</w:t>
      </w:r>
    </w:p>
    <w:p>
      <w:pPr>
        <w:jc w:val="both"/>
      </w:pPr>
      <w:r>
        <w:rPr>
          <w:rFonts w:ascii="Arial" w:hAnsi="Arial"/>
          <w:b w:val="0"/>
          <w:i w:val="0"/>
          <w:sz w:val="19"/>
        </w:rPr>
        <w:t xml:space="preserve">Anthropic. (22. Juli 2026). </w:t>
      </w:r>
      <w:r>
        <w:rPr>
          <w:rFonts w:ascii="Arial" w:hAnsi="Arial"/>
          <w:b w:val="0"/>
          <w:i/>
          <w:sz w:val="19"/>
        </w:rPr>
        <w:t>The Anthropic Economic Index connector.</w:t>
      </w:r>
      <w:r>
        <w:rPr>
          <w:rFonts w:ascii="Arial" w:hAnsi="Arial"/>
          <w:b w:val="0"/>
          <w:i w:val="0"/>
          <w:sz w:val="19"/>
        </w:rPr>
        <w:t xml:space="preserve"> Öffentliche Freigabe eines Claude-Connectors, der den Anthropic Economic Index — die auf ausgewerteten Claude-Nutzungsdaten beruhende Metrik der tatsächlichen KI-Adoption über Berufe, Regionen und Aufgabentypen — für niedrigschwellige Abfragen durch Forscherinnen und Forscher, Journalistinnen und Journalisten, politische Entscheiderinnen und Entscheider sowie die allgemeine Öffentlichkeit öffnet. Zugriff ohne Installation über das claude.ai-Connector-Verzeichnis; funktioniert in jeder Konversation mit jedem Claude-Modell; Beispielabfragen: „Welche Berufe nutzen KI am stärksten?", „Welche Aufgaben delegieren Lehrkräfte an Claude?", „Wie nutzen Beschäftigte in Colorado Claude?". Aufnahme in § 1.1 als Verstetigungs­beleg des Anthropic Economic Index als öffentlichem Beobachtungs­instrument der KI-Adoption (Rückwirkung auf § 3.5 und § 9.1). https://www.anthropic.com/news/anthropic-economic-index-connector</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Bundesrat. (10. Juli 2026). </w:t>
      </w:r>
      <w:r>
        <w:rPr>
          <w:rFonts w:ascii="Arial" w:hAnsi="Arial"/>
          <w:b w:val="0"/>
          <w:i/>
          <w:sz w:val="19"/>
        </w:rPr>
        <w:t>1067. Sitzung des Bundesrates — Gesetz zur Durchführung der KI-Verordnung (KI-MIG) passiert den Bundesrat.</w:t>
      </w:r>
      <w:r>
        <w:rPr>
          <w:rFonts w:ascii="Arial" w:hAnsi="Arial"/>
          <w:b w:val="0"/>
          <w:i w:val="0"/>
          <w:sz w:val="19"/>
        </w:rPr>
        <w:t xml:space="preserve"> Bundesratsbeschluss vom 10. Juli 2026: Antrag auf Anrufung des Vermittlungsausschusses (Empfehlung des Ausschusses für Digitalisierung und Staatsmodernisierung vom 30. Juni 2026) fand keine Mehrheit; das Gesetz kann ohne weiteres parlamentarisches Verfahren in Kraft treten. Bundesnetzagentur als zentrale Marktüberwachungs- und Anlaufstelle (Koordinierungs- und Kompetenzzentrum, gebündelte KI-Expertise, zentrale Beschwerdestelle,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Ergänzend berichten </w:t>
      </w:r>
      <w:r>
        <w:rPr>
          <w:rFonts w:ascii="Arial" w:hAnsi="Arial"/>
          <w:b w:val="0"/>
          <w:i/>
          <w:sz w:val="19"/>
        </w:rPr>
        <w:t>DATEV magazin</w:t>
      </w:r>
      <w:r>
        <w:rPr>
          <w:rFonts w:ascii="Arial" w:hAnsi="Arial"/>
          <w:b w:val="0"/>
          <w:i w:val="0"/>
          <w:sz w:val="19"/>
        </w:rPr>
        <w:t xml:space="preserve"> (10. Juli 2026, „Länder billigen Gesetz zur KI-Aufsicht in Deutschland"), </w:t>
      </w:r>
      <w:r>
        <w:rPr>
          <w:rFonts w:ascii="Arial" w:hAnsi="Arial"/>
          <w:b w:val="0"/>
          <w:i/>
          <w:sz w:val="19"/>
        </w:rPr>
        <w:t>Rechtsanwalt Ferner</w:t>
      </w:r>
      <w:r>
        <w:rPr>
          <w:rFonts w:ascii="Arial" w:hAnsi="Arial"/>
          <w:b w:val="0"/>
          <w:i w:val="0"/>
          <w:sz w:val="19"/>
        </w:rPr>
        <w:t xml:space="preserve"> („Deutschland bekommt ein KI-Gesetz: Bündelung der nationalen KI-Aufsicht bei der Bundesnetzagentur"), </w:t>
      </w:r>
      <w:r>
        <w:rPr>
          <w:rFonts w:ascii="Arial" w:hAnsi="Arial"/>
          <w:b w:val="0"/>
          <w:i/>
          <w:sz w:val="19"/>
        </w:rPr>
        <w:t>ADVISORI</w:t>
      </w:r>
      <w:r>
        <w:rPr>
          <w:rFonts w:ascii="Arial" w:hAnsi="Arial"/>
          <w:b w:val="0"/>
          <w:i w:val="0"/>
          <w:sz w:val="19"/>
        </w:rPr>
        <w:t xml:space="preserve"> („KI-MIG beschlossen: Was das AI-Act-Durchführungsgesetz für Unternehmen bedeutet"), </w:t>
      </w:r>
      <w:r>
        <w:rPr>
          <w:rFonts w:ascii="Arial" w:hAnsi="Arial"/>
          <w:b w:val="0"/>
          <w:i/>
          <w:sz w:val="19"/>
        </w:rPr>
        <w:t>Bundesregierung</w:t>
      </w:r>
      <w:r>
        <w:rPr>
          <w:rFonts w:ascii="Arial" w:hAnsi="Arial"/>
          <w:b w:val="0"/>
          <w:i w:val="0"/>
          <w:sz w:val="19"/>
        </w:rPr>
        <w:t xml:space="preserve"> („KI-Verordnung beschlossen") und </w:t>
      </w:r>
      <w:r>
        <w:rPr>
          <w:rFonts w:ascii="Arial" w:hAnsi="Arial"/>
          <w:b w:val="0"/>
          <w:i/>
          <w:sz w:val="19"/>
        </w:rPr>
        <w:t>TÜV-Verband</w:t>
      </w:r>
      <w:r>
        <w:rPr>
          <w:rFonts w:ascii="Arial" w:hAnsi="Arial"/>
          <w:b w:val="0"/>
          <w:i w:val="0"/>
          <w:sz w:val="19"/>
        </w:rPr>
        <w:t xml:space="preserve"> („Begrüßt gebündelte KI-Aufsicht"). https://www.bundesrat.de/DE/plenum/bundesrat-kompakt/26/1067/1067-node.html | https://www.bundesrat.de/DE/plenum/bundesrat-kompakt/26/1067/1067-pk.html | https://www.datev-magazin.de/nachrichten-steuern-recht/recht/laender-billigen-gesetz-zur-ki-aufsicht-in-deutschland-147779 | https://www.ferner-alsdorf.de/deutschland-bekommt-ein-ki-gesetz-buendelung-der-nationalen-ki-aufsicht-bei-der-bundesnetzagentur/ | https://www.advisori.de/blog/ki-mig-ai-act-durchfuehrungsgesetz-unternehmen | https://www.bundesregierung.de/breg-de/aktuelles/umsetzung-ki-verordnung-2406638 | https://www.mittelstandcafe.de/ki-mig-t-v-verband-begr-t-geb-ndelte-ki-aufsicht-2261610.html</w:t>
      </w:r>
    </w:p>
    <w:p>
      <w:pPr>
        <w:jc w:val="both"/>
      </w:pPr>
      <w:r>
        <w:rPr>
          <w:rFonts w:ascii="Arial" w:hAnsi="Arial"/>
          <w:b w:val="0"/>
          <w:i w:val="0"/>
          <w:sz w:val="19"/>
        </w:rPr>
        <w:t xml:space="preserve">Deutscher Bundestag. (11. Juni 2026). </w:t>
      </w:r>
      <w:r>
        <w:rPr>
          <w:rFonts w:ascii="Arial" w:hAnsi="Arial"/>
          <w:b w:val="0"/>
          <w:i/>
          <w:sz w:val="19"/>
        </w:rPr>
        <w:t>Ja zur Durchführung der Verordnung über künstliche Intelligenz.</w:t>
      </w:r>
      <w:r>
        <w:rPr>
          <w:rFonts w:ascii="Arial" w:hAnsi="Arial"/>
          <w:b w:val="0"/>
          <w:i w:val="0"/>
          <w:sz w:val="19"/>
        </w:rPr>
        <w:t xml:space="preserve"> Kurzmeldung zur Verabschiedung des KI-MIG (Gesetz zur Durchführung der KI-Verordnung); zentrale Marktüberwachung durch die Bundesnetzagentur für den Bundes-Bereich, ergänzende Zuständigkeiten der Datenschutzaufsicht bei grundrechtssensiblen Anwendungen. https://www.bundestag.de/dokumente/textarchiv/2026/kw24-de-ki-1183820 | https://bmds.bund.de/service/gesetzgebungsverfahren/gesetz-zur-durchfuehrung-der-ki-verordnung</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Stanford Digital Economy Lab / Brynjolfsson, E., Agrawal, A., Korinek, A., &amp; Cunningham, T. (Org.). (13. Juli 2026). </w:t>
      </w:r>
      <w:r>
        <w:rPr>
          <w:rFonts w:ascii="Arial" w:hAnsi="Arial"/>
          <w:b w:val="0"/>
          <w:i/>
          <w:sz w:val="19"/>
        </w:rPr>
        <w:t>We Must Act Now: A Statement on AI's Transformation of the Economy.</w:t>
      </w:r>
      <w:r>
        <w:rPr>
          <w:rFonts w:ascii="Arial" w:hAnsi="Arial"/>
          <w:b w:val="0"/>
          <w:i w:val="0"/>
          <w:sz w:val="19"/>
        </w:rPr>
        <w:t xml:space="preserve"> Kollektive Erklärung mit zum Startzeitpunkt mehr als 200 Unterzeichnenden (darunter sechzehn Nobelpreisträger — u. a. Daron Acemoglu, Simon Johnson, Joseph Stiglitz, Paul Krugman, Michael Spence, Ben Bernanke — sowie Vertreter aus KI-Unternehmen wie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Öffentliches Zeichnungsportal weist zum Referenzzeitpunkt bereits über 350 Unterschriften aus. Rezeption u. a.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 </w:t>
      </w:r>
      <w:r>
        <w:rPr>
          <w:rFonts w:ascii="Arial" w:hAnsi="Arial"/>
          <w:b w:val="0"/>
          <w:i/>
          <w:sz w:val="19"/>
        </w:rPr>
        <w:t>NBC News</w:t>
      </w:r>
      <w:r>
        <w:rPr>
          <w:rFonts w:ascii="Arial" w:hAnsi="Arial"/>
          <w:b w:val="0"/>
          <w:i w:val="0"/>
          <w:sz w:val="19"/>
        </w:rPr>
        <w:t xml:space="preserve"> / </w:t>
      </w:r>
      <w:r>
        <w:rPr>
          <w:rFonts w:ascii="Arial" w:hAnsi="Arial"/>
          <w:b w:val="0"/>
          <w:i/>
          <w:sz w:val="19"/>
        </w:rPr>
        <w:t>The Hill</w:t>
      </w:r>
      <w:r>
        <w:rPr>
          <w:rFonts w:ascii="Arial" w:hAnsi="Arial"/>
          <w:b w:val="0"/>
          <w:i w:val="0"/>
          <w:sz w:val="19"/>
        </w:rPr>
        <w:t xml:space="preserve"> / </w:t>
      </w:r>
      <w:r>
        <w:rPr>
          <w:rFonts w:ascii="Arial" w:hAnsi="Arial"/>
          <w:b w:val="0"/>
          <w:i/>
          <w:sz w:val="19"/>
        </w:rPr>
        <w:t>Fortune</w:t>
      </w:r>
      <w:r>
        <w:rPr>
          <w:rFonts w:ascii="Arial" w:hAnsi="Arial"/>
          <w:b w:val="0"/>
          <w:i w:val="0"/>
          <w:sz w:val="19"/>
        </w:rPr>
        <w:t xml:space="preserve"> / </w:t>
      </w:r>
      <w:r>
        <w:rPr>
          <w:rFonts w:ascii="Arial" w:hAnsi="Arial"/>
          <w:b w:val="0"/>
          <w:i/>
          <w:sz w:val="19"/>
        </w:rPr>
        <w:t>Axios</w:t>
      </w:r>
      <w:r>
        <w:rPr>
          <w:rFonts w:ascii="Arial" w:hAnsi="Arial"/>
          <w:b w:val="0"/>
          <w:i w:val="0"/>
          <w:sz w:val="19"/>
        </w:rPr>
        <w:t xml:space="preserve"> / </w:t>
      </w:r>
      <w:r>
        <w:rPr>
          <w:rFonts w:ascii="Arial" w:hAnsi="Arial"/>
          <w:b w:val="0"/>
          <w:i/>
          <w:sz w:val="19"/>
        </w:rPr>
        <w:t>Breitbart</w:t>
      </w:r>
      <w:r>
        <w:rPr>
          <w:rFonts w:ascii="Arial" w:hAnsi="Arial"/>
          <w:b w:val="0"/>
          <w:i w:val="0"/>
          <w:sz w:val="19"/>
        </w:rPr>
        <w:t xml:space="preserve"> (14./15. Juli 2026) sowie durch UVA-Darden-Meldung vom 15. Juli 2026 zu Korineks Rolle. Aufnahme in § 3.3 als politisch-institutionelle Verankerung des Korinek-Lockwood-Rahmens und als dokumentierte Positionsbewegung von Acemoglu/Johnson mit Rückwirkung auf § 3.5. https://digitaleconomy.stanford.edu/news/wemustactnow/ | https://wemustactnow.ai/ | https://news.darden.virginia.edu/2026/07/15/darden-professor-ai-economy-statement/ | https://www.techtimes.com/articles/320398/20260714/nobel-economists-who-doubted-ai-job-fears-now-sound-alarm-white-collar-displacement.htm | https://www.axios.com/2026/07/15/ai-economy-nobel | https://fortune.com/2026/07/14/almost-200-economists-warn-of-ai-driven-job-displacement/ | https://www.nbcnews.com/tech/tech-news/hundreds-economists-say-must-act-now-ais-economic-impact-job-displacem-rcna587450 | https://abcnews.com/Technology/wireStory/hundreds-economists-act-now-ais-economic-impact-job-134719082 | https://thehill.com/policy/technology/5967512-ai-transformation-job-displacement/</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OECD. (7. Juli 2026). </w:t>
      </w:r>
      <w:r>
        <w:rPr>
          <w:rFonts w:ascii="Arial" w:hAnsi="Arial"/>
          <w:b w:val="0"/>
          <w:i/>
          <w:sz w:val="19"/>
        </w:rPr>
        <w:t>OECD Employment Outlook 2026 — Geographic Disparities in Jobs and Incomes.</w:t>
      </w:r>
      <w:r>
        <w:rPr>
          <w:rFonts w:ascii="Arial" w:hAnsi="Arial"/>
          <w:b w:val="0"/>
          <w:i w:val="0"/>
          <w:sz w:val="19"/>
        </w:rPr>
        <w:t xml:space="preserve"> 392 Seiten. Publikation und begleitende Medienunterlage; Country Notes für Australien, Kanada, Frankreich, Deutschland, Italien, Japan, Korea, Mexiko, Spanien, Vereinigtes Königreich und Vereinigte Staaten. https://www.oecd.org/en/publications/oecd-employment-outlook-2026_7e710f54-en.html | https://www.oecd.org/en/about/news/media-advisories/2026/07/launch-of-the-oecd-employment-outlook-2026-tuesday-7-july.html | https://www.oecd.org/en/events/2026/07/launch-of-oecd-employment-outlook-2026.html</w:t>
      </w:r>
    </w:p>
    <w:p>
      <w:pPr>
        <w:jc w:val="both"/>
      </w:pPr>
      <w:r>
        <w:rPr>
          <w:rFonts w:ascii="Arial" w:hAnsi="Arial"/>
          <w:b w:val="0"/>
          <w:i w:val="0"/>
          <w:sz w:val="19"/>
        </w:rPr>
        <w:t xml:space="preserve">OECD. (7. Juli 2026). </w:t>
      </w:r>
      <w:r>
        <w:rPr>
          <w:rFonts w:ascii="Arial" w:hAnsi="Arial"/>
          <w:b w:val="0"/>
          <w:i/>
          <w:sz w:val="19"/>
        </w:rPr>
        <w:t>OECD Employment Outlook 2026 — Country Note Germany.</w:t>
      </w:r>
      <w:r>
        <w:rPr>
          <w:rFonts w:ascii="Arial" w:hAnsi="Arial"/>
          <w:b w:val="0"/>
          <w:i w:val="0"/>
          <w:sz w:val="19"/>
        </w:rPr>
        <w:t xml:space="preserve"> 6 Seiten. Ländernotiz mit deutschlandbezogener Diagnose zu regionaler Beschäftigungs- und Einkommensspreizung, demografischer Kontraktion und Qualifikationsbedarf. https://www.oecd.org/en/publications/oecd-employment-outlook-2026_7e710f54-en.html</w:t>
      </w:r>
    </w:p>
    <w:p>
      <w:pPr>
        <w:jc w:val="both"/>
      </w:pPr>
      <w:r>
        <w:rPr>
          <w:rFonts w:ascii="Arial" w:hAnsi="Arial"/>
          <w:b w:val="0"/>
          <w:i w:val="0"/>
          <w:sz w:val="19"/>
        </w:rPr>
        <w:t xml:space="preserve">OECD. (7. Juli 2026). </w:t>
      </w:r>
      <w:r>
        <w:rPr>
          <w:rFonts w:ascii="Arial" w:hAnsi="Arial"/>
          <w:b w:val="0"/>
          <w:i/>
          <w:sz w:val="19"/>
        </w:rPr>
        <w:t>Non-compete and related agreements: Germany.</w:t>
      </w:r>
      <w:r>
        <w:rPr>
          <w:rFonts w:ascii="Arial" w:hAnsi="Arial"/>
          <w:b w:val="0"/>
          <w:i w:val="0"/>
          <w:sz w:val="19"/>
        </w:rPr>
        <w:t xml:space="preserve"> 8-seitige begleitende Länderdatei zum </w:t>
      </w:r>
      <w:r>
        <w:rPr>
          <w:rFonts w:ascii="Arial" w:hAnsi="Arial"/>
          <w:b w:val="0"/>
          <w:i/>
          <w:sz w:val="19"/>
        </w:rPr>
        <w:t>Employment Outlook 2026</w:t>
      </w:r>
      <w:r>
        <w:rPr>
          <w:rFonts w:ascii="Arial" w:hAnsi="Arial"/>
          <w:b w:val="0"/>
          <w:i w:val="0"/>
          <w:sz w:val="19"/>
        </w:rPr>
        <w:t>; empirische Verbreitung von Non-Compete- und verwandten Nachvertragsbindungen (rund 30 % der Beschäftigten im 15-Länder-Mittel) und Auswirkungen auf Arbeitsmobilität, Innovation, Löhne und Produktivität. https://www.oecd.org/en/publications/oecd-employment-outlook-2026_7e710f54-en.html</w:t>
      </w:r>
    </w:p>
    <w:p>
      <w:pPr>
        <w:jc w:val="both"/>
      </w:pPr>
      <w:r>
        <w:rPr>
          <w:rFonts w:ascii="Arial" w:hAnsi="Arial"/>
          <w:b w:val="0"/>
          <w:i w:val="0"/>
          <w:sz w:val="19"/>
        </w:rPr>
        <w:t xml:space="preserve">OECD. (24. Juli 2026). </w:t>
      </w:r>
      <w:r>
        <w:rPr>
          <w:rFonts w:ascii="Arial" w:hAnsi="Arial"/>
          <w:b w:val="0"/>
          <w:i/>
          <w:sz w:val="19"/>
        </w:rPr>
        <w:t>Recent policy developments on AI in the labour market.</w:t>
      </w:r>
      <w:r>
        <w:rPr>
          <w:rFonts w:ascii="Arial" w:hAnsi="Arial"/>
          <w:b w:val="0"/>
          <w:i w:val="0"/>
          <w:sz w:val="19"/>
        </w:rPr>
        <w:t xml:space="preserve"> OECD Artificial Intelligence Papers. 64 Seiten. Systematisiert die in den G7-Staaten, der Europäischen Union und ausgewählten lateinamerikanischen Volkswirtschaften ergriffenen KI-Politikmaßnahmen entlang von sechs Feldern (Automatisierung/Produktivität/Qualifikation/Inklusion; Datenschutz; Nicht-Diskriminierung; Arbeitsschutz; Transparenz/Erklärbarkeit/Rechenschaft; sozialer Dialog); Kernbefund: Politikmaßnahmen mit explizitem KI-Bezug seien am weitesten in KI-Qualifikation und KI-Adoption entwickelt, während konkrete Regelungen in Datenschutz, Transparenz und Rechenschaftspflicht überwiegend erst aufkämen. Aufnahme in § 4.4 (OECD-weite Bestandsaufnahme als Vergleichshorizont zum AI-Act-/KI-MIG-/Digital-Omnibus-Rahmen). https://www.oecd.org/en/publications/recent-policy-developments-on-ai-in-the-labour-market_1b40c00e-en.html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Bundesministerium für Wirtschaft und Energie (BMWK). (14. Juli 2026). </w:t>
      </w:r>
      <w:r>
        <w:rPr>
          <w:rFonts w:ascii="Arial" w:hAnsi="Arial"/>
          <w:b w:val="0"/>
          <w:i/>
          <w:sz w:val="19"/>
        </w:rPr>
        <w:t>Die wirtschaftliche Lage in Deutschland im Juli 2026.</w:t>
      </w:r>
      <w:r>
        <w:rPr>
          <w:rFonts w:ascii="Arial" w:hAnsi="Arial"/>
          <w:b w:val="0"/>
          <w:i w:val="0"/>
          <w:sz w:val="19"/>
        </w:rPr>
        <w:t xml:space="preserve"> Monatspublikation; KI-Boom als Stütze der asiatischen Handelsdynamik (Exporte Datenverarbeitungsgeräte +2,3 % im Mai 2026), Erwerbstätigkeit −8.000 im Mai, sozialversicherungspflichtige Beschäftigung −5.000 im April; strukturelle Herausforderungen durch „zunehmende Bedeutung künstlicher Intelligenz und demografischen Wandel". Ergänzt durch </w:t>
      </w:r>
      <w:r>
        <w:rPr>
          <w:rFonts w:ascii="Arial" w:hAnsi="Arial"/>
          <w:b w:val="0"/>
          <w:i/>
          <w:sz w:val="19"/>
        </w:rPr>
        <w:t>DATEV magazin</w:t>
      </w:r>
      <w:r>
        <w:rPr>
          <w:rFonts w:ascii="Arial" w:hAnsi="Arial"/>
          <w:b w:val="0"/>
          <w:i w:val="0"/>
          <w:sz w:val="19"/>
        </w:rPr>
        <w:t xml:space="preserve"> (Aufbereitung 14. Juli 2026). https://www.bundeswirtschaftsministerium.de/Redaktion/DE/Pressemitteilungen/Wirtschaftliche-Lage/2026/20260714-wirt-lage-deutschland-juli-2026.html | https://www.datev-magazin.de/nachrichten-steuern-recht/wirtschaft/die-wirtschaftliche-lage-in-deutschland-im-juli-2026-147829</w:t>
      </w:r>
    </w:p>
    <w:p>
      <w:pPr>
        <w:jc w:val="both"/>
      </w:pPr>
      <w:r>
        <w:rPr>
          <w:rFonts w:ascii="Arial" w:hAnsi="Arial"/>
          <w:b w:val="0"/>
          <w:i w:val="0"/>
          <w:sz w:val="19"/>
        </w:rPr>
        <w:t xml:space="preserve">Bundesregierung / Deutscher Bundestag. (9. Juli 2026). </w:t>
      </w:r>
      <w:r>
        <w:rPr>
          <w:rFonts w:ascii="Arial" w:hAnsi="Arial"/>
          <w:b w:val="0"/>
          <w:i/>
          <w:sz w:val="19"/>
        </w:rPr>
        <w:t>Regierungserklärung des Bundeskanzlers Friedrich Merz — Zwischenbilanz nach 14 Monaten und Reformpaket „für Aufschwung und Beschäftigung".</w:t>
      </w:r>
      <w:r>
        <w:rPr>
          <w:rFonts w:ascii="Arial" w:hAnsi="Arial"/>
          <w:b w:val="0"/>
          <w:i w:val="0"/>
          <w:sz w:val="19"/>
        </w:rPr>
        <w:t xml:space="preserve"> 89. Sitzung des 21. Bundestages (Kalenderwoche 28). Zitierte Startup-Verband-Zahlen: &gt; 3.000 Unternehmensgründungen im ersten Halbjahr 2026 (nahezu Vorjahres­gesamtwert), &gt; 1/3 mit direktem KI-Bezug; verankert die vollständige Umsetzung der 33 Empfehlungen der Alterssicherungskommission (Bericht 23. Juni 2026) im Koalitionsprogramm; Inbetriebnahme der Halbleiterproduktion Dresden als Beleg der Wertschöpfungsteilhabe. Zeitplan: legislative Umsetzung bis Ende 2026. https://www.bundesregierung.de/breg-de/aktuelles/regierungserklaerung-merz-juli-26-2446298 | https://www.bundestag.de/dokumente/textarchiv/2026/kw28-de-regierungserklaerung-1193984 | https://www.bundesregierung.de/breg-de/suche/video-regierungserklaerung-juli-26-2446352</w:t>
      </w:r>
    </w:p>
    <w:p>
      <w:pPr>
        <w:jc w:val="both"/>
      </w:pPr>
      <w:r>
        <w:rPr>
          <w:rFonts w:ascii="Arial" w:hAnsi="Arial"/>
          <w:b w:val="0"/>
          <w:i w:val="0"/>
          <w:sz w:val="19"/>
        </w:rPr>
        <w:t xml:space="preserve">Koalitionsausschuss / Bundeskanzleramt. (1./2. Juli 2026). </w:t>
      </w:r>
      <w:r>
        <w:rPr>
          <w:rFonts w:ascii="Arial" w:hAnsi="Arial"/>
          <w:b w:val="0"/>
          <w:i/>
          <w:sz w:val="19"/>
        </w:rPr>
        <w:t>Ein Programm für Aufschwung und Beschäftigung — 34 Reformpunkte für Steuer, Rente, Gesundheit und Arbeit.</w:t>
      </w:r>
      <w:r>
        <w:rPr>
          <w:rFonts w:ascii="Arial" w:hAnsi="Arial"/>
          <w:b w:val="0"/>
          <w:i w:val="0"/>
          <w:sz w:val="19"/>
        </w:rPr>
        <w:t xml:space="preserve"> Ergebnispapier des Koalitionsausschusses vom 1./2. Juli 2026 (12 Seiten); Aufgriff der 33 Empfehlungen der Alterssicherungskommission (Bericht 23. Juni 2026), arbeitsrechtliche Vereinfachungen bei KI-Software-Updates innerhalb der Betriebsverfassungs­rechte (Sozialpartnergespräch bis Mitte Oktober 2026 vorgesehen). https://www.bundeskanzler.de/resource/blob/1832584/2445592/bc8e5e160d879f0bdd593121a96a45d2/2026-07-02-koaausschuss-data.pdf</w:t>
      </w:r>
    </w:p>
    <w:p>
      <w:pPr>
        <w:jc w:val="both"/>
      </w:pPr>
      <w:r>
        <w:rPr>
          <w:rFonts w:ascii="Arial" w:hAnsi="Arial"/>
          <w:b w:val="0"/>
          <w:i w:val="0"/>
          <w:sz w:val="19"/>
        </w:rPr>
        <w:t xml:space="preserve">Bundesministerium für Gesundheit / Bundesregierung / ad-hoc-news. (15. Juli 2026). </w:t>
      </w:r>
      <w:r>
        <w:rPr>
          <w:rFonts w:ascii="Arial" w:hAnsi="Arial"/>
          <w:b w:val="0"/>
          <w:i/>
          <w:sz w:val="19"/>
        </w:rPr>
        <w:t>Kabinett beschließt Gesetz für Daten und digitale Innovation im Gesundheitswesen (GeDIG) — Digitalisierungspaket mit rund 445 Millionen Euro jährlicher Entlastungswirkung.</w:t>
      </w:r>
      <w:r>
        <w:rPr>
          <w:rFonts w:ascii="Arial" w:hAnsi="Arial"/>
          <w:b w:val="0"/>
          <w:i w:val="0"/>
          <w:sz w:val="19"/>
        </w:rPr>
        <w:t xml:space="preserve"> Kabinettsbeschluss vom 15. Juli 2026: KI-gestützte Angebote der Krankenkassen in der elektronischen Patientenakte (ePA) — insbesondere versichertenverständliche Aufbereitung von Befunden und individualisierte Beipackzettel; zeitlich befristete Reallabore für Krankenkassen; direkter Marktbeschaffungsauftrag für gematik zur Reduktion der Applikationsvielfalt (rund 25 Störungen pro Monat 2025); erweiterte Zuständigkeiten der gematik einschließlich Entzug von Zulassungen und Notfallvorkehrungen; Volltextsuche in der ePA ab Anfang 2027; digitale Impfnachweise ab Mitte 2027; verpflichtender TI-Anschluss bis 1. September 2029. Gesamtpaket rund 600 Millionen Euro jährliche Entlastungswirkung, davon GeDIG rund 445 Millionen Euro. Aufnahme in § 7.3 (Konsequenzen für Akteure im Gesundheitssektor) als erster GKV-regelversorgungsseitiger KI-Anwendungspfad. https://www.bundesgesundheitsministerium.de/presse/pressemitteilungen/kabinett-beschliesst-gedig-pm-15-07-2026 | https://www.ad-hoc-news.de/wissenschaft/kabinett-beschliesst-digitalisierungspaket-600-mio-euro-entlastung/69785714</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Sanders, B. (18. Juni 2026). </w:t>
      </w:r>
      <w:r>
        <w:rPr>
          <w:rFonts w:ascii="Arial" w:hAnsi="Arial"/>
          <w:b w:val="0"/>
          <w:i/>
          <w:sz w:val="19"/>
        </w:rPr>
        <w:t>NEWS: Sanders Introduces Legislation to Create $7 Trillion AI Sovereign Wealth Fund</w:t>
      </w:r>
      <w:r>
        <w:rPr>
          <w:rFonts w:ascii="Arial" w:hAnsi="Arial"/>
          <w:b w:val="0"/>
          <w:i w:val="0"/>
          <w:sz w:val="19"/>
        </w:rPr>
        <w:t xml:space="preserve"> (</w:t>
      </w:r>
      <w:r>
        <w:rPr>
          <w:rFonts w:ascii="Arial" w:hAnsi="Arial"/>
          <w:b w:val="0"/>
          <w:i/>
          <w:sz w:val="19"/>
        </w:rPr>
        <w:t>American A.I. Sovereign Wealth Fund Act</w:t>
      </w:r>
      <w:r>
        <w:rPr>
          <w:rFonts w:ascii="Arial" w:hAnsi="Arial"/>
          <w:b w:val="0"/>
          <w:i w:val="0"/>
          <w:sz w:val="19"/>
        </w:rPr>
        <w:t xml:space="preserve">, S. 4825, 119. Kongress). Pressemitteilung mit Entwurfstext, One-Time-50-%-Aktien-Abgabe für AI-Unternehmen mit ≥ 200 Millionen US-Dollar Jahresumsatz aus KI-Aktivitäten, </w:t>
      </w:r>
      <w:r>
        <w:rPr>
          <w:rFonts w:ascii="Arial" w:hAnsi="Arial"/>
          <w:b w:val="0"/>
          <w:i/>
          <w:sz w:val="19"/>
        </w:rPr>
        <w:t>Independent Commission for Democratic AI</w:t>
      </w:r>
      <w:r>
        <w:rPr>
          <w:rFonts w:ascii="Arial" w:hAnsi="Arial"/>
          <w:b w:val="0"/>
          <w:i w:val="0"/>
          <w:sz w:val="19"/>
        </w:rPr>
        <w:t xml:space="preserve"> zur Ausübung der Stimmrechte, jährliche Dividende von rund 5 % (≈ 1.000 US-Dollar pro Person). https://www.sanders.senate.gov/press-releases/news-sanders-introduces-legislation-to-create-7-trillion-ai-sovereign-wealth-fund/ | https://www.quiverquant.com/news/New+Bill:+Senator+Bernard+Sanders+introduces+S.+4825:+American+A.I.+Sovereign+Wealth+Fund+Act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 xml:space="preserve">Rat der Europäischen Union. (7. Mai 2026 / 29. Juni 2026). </w:t>
      </w:r>
      <w:r>
        <w:rPr>
          <w:rFonts w:ascii="Arial" w:hAnsi="Arial"/>
          <w:b w:val="0"/>
          <w:i/>
          <w:sz w:val="19"/>
        </w:rPr>
        <w:t>Artificial Intelligence: Council and Parliament agree to simplify and streamline rules</w:t>
      </w:r>
      <w:r>
        <w:rPr>
          <w:rFonts w:ascii="Arial" w:hAnsi="Arial"/>
          <w:b w:val="0"/>
          <w:i w:val="0"/>
          <w:sz w:val="19"/>
        </w:rPr>
        <w:t xml:space="preserve"> (Trilog-Einigung) und </w:t>
      </w:r>
      <w:r>
        <w:rPr>
          <w:rFonts w:ascii="Arial" w:hAnsi="Arial"/>
          <w:b w:val="0"/>
          <w:i/>
          <w:sz w:val="19"/>
        </w:rPr>
        <w:t>Artificial Intelligence: Council gives final green light to simplify and streamline rules</w:t>
      </w:r>
      <w:r>
        <w:rPr>
          <w:rFonts w:ascii="Arial" w:hAnsi="Arial"/>
          <w:b w:val="0"/>
          <w:i w:val="0"/>
          <w:sz w:val="19"/>
        </w:rPr>
        <w:t xml:space="preserve"> (finale Ratsbilligung). Pressemitteilungen zum Abschluss des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verbindliche Anwendungsdaten Hochrisiko 2. Dezember 2027 (Anhang III) und 2. August 2028 (Anhang I); Sandbox-Frist 2. August 2027; verkürzte Transparenz-Übergangsfrist Art. 50; Erweiterung Art. 5 um Verbot nicht-einvernehmlicher intimer KI-Inhalte und CSAM. https://www.consilium.europa.eu/en/press/press-releases/2026/05/07/artificial-intelligence-council-and-parliament-agree-to-simplify-and-streamline-rules/ | https://www.consilium.europa.eu/en/press/press-releases/2026/06/29/artificial-intelligence-council-gives-final-green-light-to-simplify-and-streamline-rules/</w:t>
      </w:r>
    </w:p>
    <w:p>
      <w:pPr>
        <w:jc w:val="both"/>
      </w:pPr>
      <w:r>
        <w:rPr>
          <w:rFonts w:ascii="Arial" w:hAnsi="Arial"/>
          <w:b w:val="0"/>
          <w:i w:val="0"/>
          <w:sz w:val="19"/>
        </w:rPr>
        <w:t xml:space="preserve">Europäisches Parlament. (16. Juni 2026). </w:t>
      </w:r>
      <w:r>
        <w:rPr>
          <w:rFonts w:ascii="Arial" w:hAnsi="Arial"/>
          <w:b w:val="0"/>
          <w:i/>
          <w:sz w:val="19"/>
        </w:rPr>
        <w:t>Plenary vote — Digital Omnibus on AI (Regulation (EU) 2024/1689 amendment).</w:t>
      </w:r>
      <w:r>
        <w:rPr>
          <w:rFonts w:ascii="Arial" w:hAnsi="Arial"/>
          <w:b w:val="0"/>
          <w:i w:val="0"/>
          <w:sz w:val="19"/>
        </w:rPr>
        <w:t xml:space="preserve"> Bestätigung der Trilog-Einigung im Plenum, Vorbereitung der finalen Ratsbilligung. https://www.europarl.europa.eu/legislative-train/package-digital-package/file-digital-omnibus-on-ai</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jc w:val="both"/>
      </w:pPr>
      <w:r>
        <w:rPr>
          <w:rFonts w:ascii="Arial" w:hAnsi="Arial"/>
          <w:b w:val="0"/>
          <w:i w:val="0"/>
          <w:sz w:val="19"/>
        </w:rPr>
        <w:t xml:space="preserve">Soto, P. E., Thieu, M., &amp; Allen, J. S. (17. Juli 2026). </w:t>
      </w:r>
      <w:r>
        <w:rPr>
          <w:rFonts w:ascii="Arial" w:hAnsi="Arial"/>
          <w:b w:val="0"/>
          <w:i/>
          <w:sz w:val="19"/>
        </w:rPr>
        <w:t>The AI Buildout and the Economy: Publicly Available Data to Assess AI's Impact.</w:t>
      </w:r>
      <w:r>
        <w:rPr>
          <w:rFonts w:ascii="Arial" w:hAnsi="Arial"/>
          <w:b w:val="0"/>
          <w:i w:val="0"/>
          <w:sz w:val="19"/>
        </w:rPr>
        <w:t xml:space="preserve"> FEDS Note, Board of Governors of the Federal Reserve System. Aggregatanalyse der US-KI-Investitions-, Produktivitäts- und Arbeitsmarktdaten: Einordnung der aktuellen Phase als „Buildout-Phase" bei anhaltend hohem Hyperscaler-Capex, mit „konzentrierten" Arbeitsmarkteffekten, die „sich im Aggregat noch nicht verbreitert" hätten; konsistente Produktivitätstrends zwischen Sektoren hoher (Information, Finanzen, professionelle Dienstleistungen), mittlerer (Verarbeitendes Gewerbe, Handel) und niedriger KI-Exposition; KI-Effekt bei jüngeren Beschäftigten (20 – 24 Jahre) „primär in verlangsamter Einstellungsdynamik statt in unmittelbaren Entlassungen" (Referenz: Lichtinger &amp; Hosseini Maasoum 2025), kein vergleichbares Signal für Erwerbspersonen im Haupterwerbsalter (25 – 54 Jahre); höchste sektorale Exposition in NAICS 51 (Information) und NAICS 54 (Professional/Technical Services). Aufnahme in § 1.1 mit Rückwirkung auf § 8.3 und § 9.1. https://www.federalreserve.gov/econres/notes/feds-notes/the-ai-buildout-and-the-economy-publicly-available-data-to-assess-ais-impact-20260717.html</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 xml:space="preserve">TechCrunch / hothardware / Yahoo Finance / Publishers Weekly / TechTimes / Benzinga / Claims Journal. (20./21. Juli 2026). </w:t>
      </w:r>
      <w:r>
        <w:rPr>
          <w:rFonts w:ascii="Arial" w:hAnsi="Arial"/>
          <w:b w:val="0"/>
          <w:i/>
          <w:sz w:val="19"/>
        </w:rPr>
        <w:t>Anthropic's landmark $1.5B copyright settlement is approved / Judge Approves Historic $1.5 Billion Anthropic AI Copyright Settlement / US judge approves Anthropic's $1.5 billion settlement of copyright lawsuit / Judge Gives Final Approval of $1.5 Billion Anthropic Settlement / Anthropic Copyright Settlement Gets Final Approval: $3,000 Per Book, No Binding Precedent / Anthropic Secures Final Approval for $1.5 Billion AI Copyright Settlement Despite Authors' Objections / Judge Approves Anthropic's $1.5B Settlement of Copyright Lawsuit.</w:t>
      </w:r>
      <w:r>
        <w:rPr>
          <w:rFonts w:ascii="Arial" w:hAnsi="Arial"/>
          <w:b w:val="0"/>
          <w:i w:val="0"/>
          <w:sz w:val="19"/>
        </w:rPr>
        <w:t xml:space="preserve"> Berichterstattung zur endgültigen Genehmigung des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US District Court for the Northern District of California) ausgehandelten 1,5-Milliarden-Dollar-Vergleichs durch US-Bezirksrichterin Araceli Martinez-Olguin am 20. Juli 2026 (Nachfolge des in den Ruhestand gegangenen Richters William Alsup): rund 500.000 Werke, rund 3.000 US-Dollar pro Werk; größter Copyright-Vergleich in der US-Rechtsgeschichte; keine rechtsbindende Präzedenzwirkung. Alsup hatte im Vorlauf entschieden, dass das Training auf legal erworbenen urheberrechtlich geschützten Texten unter die US-Fair-Use-Doktrin fällt, während das systematische Herunterladen und Speichern von über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Martinez-Olguin überstimmte Einwendungen einzelner Klägerinnen und Kläger zur Zahlungshöhe. Signal an weitere anhängige Verfahren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erster großmaßstäblicher monetärer Referenzwert für die Trainingsdaten-Ebene der KI-Wertschöpfungskette. Aufnahme in § 8.2 mit Rückwirkung auf § 8.3. https://techcrunch.com/2026/07/20/anthropics-landmark-1-5b-copyright-settlement-is-approved/ | https://hothardware.com/news/judge-approves-historic-15-billion-anthropic-ai-copyright-settlement | https://finance.yahoo.com/technology/ai/articles/us-judge-approves-anthropics-1-204851948.html | https://www.publishersweekly.com/pw/by-topic/digital/copyright/article/100888-judge-gives-final-approval-in-1-5-billion-settlement-in-anthropic-copyright-case.html | https://www.techtimes.com/articles/321156/20260721/anthropic-copyright-settlement-gets-final-approval-3000-per-book-no-binding-precedent.htm | https://www.benzinga.com/news/legal/26/07/60569679/anthropic-secures-final-approval-for-1-5-billion-ai-copyright-settlement-despite-authors-objections | https://www.claimsjournal.com/news/national/2026/07/21/338959.htm</w:t>
      </w:r>
    </w:p>
    <w:p>
      <w:pPr>
        <w:jc w:val="both"/>
      </w:pPr>
      <w:r>
        <w:rPr>
          <w:rFonts w:ascii="Arial" w:hAnsi="Arial"/>
          <w:b w:val="0"/>
          <w:i w:val="0"/>
          <w:sz w:val="19"/>
        </w:rPr>
        <w:t xml:space="preserve">SkillSyncer. (Stand 22. Juli 2026). </w:t>
      </w:r>
      <w:r>
        <w:rPr>
          <w:rFonts w:ascii="Arial" w:hAnsi="Arial"/>
          <w:b w:val="0"/>
          <w:i/>
          <w:sz w:val="19"/>
        </w:rPr>
        <w:t>2026 Tech Layoffs Tracker — 322 Events, 205.832 Workers, 173 AI-attributed (~54 %).</w:t>
      </w:r>
      <w:r>
        <w:rPr>
          <w:rFonts w:ascii="Arial" w:hAnsi="Arial"/>
          <w:b w:val="0"/>
          <w:i w:val="0"/>
          <w:sz w:val="19"/>
        </w:rPr>
        <w:t xml:space="preserve"> Aktualisierter Trackerstand: 322 Layoff-Ereignisse mit 205.832 betroffenen Beschäftigten (rund 1.014 Stellen pro Tag); 173 KI-attribuierte Einzelereignisse mit rund 170.945 betroffenen Beschäftigten (etwa 54 % der Ereignisse und rund 83 % der Betroffenen). Fortschreibung des 19.-Juli-2026-Stands (302/201.754/164/168.770) um +20 Ereignisse (+6,6 %), +4.078 Betroffene (+2,0 %), +9 KI-attribuierte Ereignisse (+5,5 %) und +2.175 KI-attribuierte Betroffene (+1,3 %); die Aggregat-KI-Kausalquote bleibt stabil bei 54 %. Aufnahme in § 1.1 als Aggregat-Beleg der weiterhin gleichmäßigen Tech-Restrukturierung und Präzisierung der KI-Kausalquote (§ 9.1). Der Trackerstand vom 23. Juli 2026 ist unverändert gegenüber dem 22.-Juli-Stand (322/205.832/173/170.945); die Aggregat-KI-Kausalquote bleibt bei 54 %. https://skillsyncer.com/layoffs-tracker</w:t>
      </w:r>
    </w:p>
    <w:p>
      <w:pPr>
        <w:jc w:val="both"/>
      </w:pPr>
      <w:r>
        <w:rPr>
          <w:rFonts w:ascii="Arial" w:hAnsi="Arial"/>
          <w:b w:val="0"/>
          <w:i w:val="0"/>
          <w:sz w:val="19"/>
        </w:rPr>
        <w:t xml:space="preserve">GeekWire / KUOW / Fox Business / Fox13 Seattle / Business Insider / Outlook Business / OpenTools / People Matters / NewsX. (22. Juli 2026). </w:t>
      </w:r>
      <w:r>
        <w:rPr>
          <w:rFonts w:ascii="Arial" w:hAnsi="Arial"/>
          <w:b w:val="0"/>
          <w:i/>
          <w:sz w:val="19"/>
        </w:rPr>
        <w:t>Meta cuts nearly 1,400 jobs in Washington state, 20% of local workforce, in sweeping AI revamp / Meta layoffs affect nearly 1,400 Washington state workers / Meta lays off nearly 1,400 Washington employees in latest tech workforce cut.</w:t>
      </w:r>
      <w:r>
        <w:rPr>
          <w:rFonts w:ascii="Arial" w:hAnsi="Arial"/>
          <w:b w:val="0"/>
          <w:i w:val="0"/>
          <w:sz w:val="19"/>
        </w:rPr>
        <w:t xml:space="preserve"> Berichterstattung zur zum 22. Juli 2026 wirksam werdenden Meta-Entlassungswelle im US-Bundesstaat Washington: 1.395 Beschäftigte (699 in Bellevue, 259 in Seattle über zwei Büros, 206 in Redmond, 231 Remote), Ankündigungsmail an die Belegschaft 20. Mai 2026, Abfindungspaket 16 Wochen Grundvergütung plus zwei Wochen pro Dienstjahr; Teil der konzernweiten 8.000-Stellen-AI-Restrukturierung bei einer globalen März-2026-Belegschaft von knapp 78.000. Aufnahme in § 1.1 als Cluster-F-Beleg der weiterlaufenden AI-Restrukturierungswelle mit expliziter Umschichtung „hin zu geschäftskritischen Prioritäten". https://www.geekwire.com/2026/meta-cuts-nearly-1400-jobs-in-washington-state-20-of-local-workforce-in-sweeping-ai-revamp/ | https://www.kuow.org/stories/meta-layoffs-affect-nearly-1-400-washington-state-workers | https://www.foxbusiness.com/technology/meta-lays-off-nearly-1400-washington-employees-latest-tech-workforce-cut</w:t>
      </w:r>
    </w:p>
    <w:p>
      <w:pPr>
        <w:jc w:val="both"/>
      </w:pPr>
      <w:r>
        <w:rPr>
          <w:rFonts w:ascii="Arial" w:hAnsi="Arial"/>
          <w:b w:val="0"/>
          <w:i w:val="0"/>
          <w:sz w:val="19"/>
        </w:rPr>
        <w:t xml:space="preserve">CNBC / Yahoo Finance / American Bazaar / GeekWire / Startup Fortune / Quartz / Insider Finance. (22. Juli 2026). </w:t>
      </w:r>
      <w:r>
        <w:rPr>
          <w:rFonts w:ascii="Arial" w:hAnsi="Arial"/>
          <w:b w:val="0"/>
          <w:i/>
          <w:sz w:val="19"/>
        </w:rPr>
        <w:t>Amazon lays off some employees in its AGI unit / Amazon fires its AGI researchers and bets a billion dollars on deployment instead / Amazon cuts jobs in AGI group as it puts more focus on customer-facing AI.</w:t>
      </w:r>
      <w:r>
        <w:rPr>
          <w:rFonts w:ascii="Arial" w:hAnsi="Arial"/>
          <w:b w:val="0"/>
          <w:i w:val="0"/>
          <w:sz w:val="19"/>
        </w:rPr>
        <w:t xml:space="preserve"> Berichterstattung zur ohne Personenanzahl kommunizierten Entlassungswelle in der </w:t>
      </w:r>
      <w:r>
        <w:rPr>
          <w:rFonts w:ascii="Arial" w:hAnsi="Arial"/>
          <w:b w:val="0"/>
          <w:i/>
          <w:sz w:val="19"/>
        </w:rPr>
        <w:t>Amazon-Artificial-General-Intelligence</w:t>
      </w:r>
      <w:r>
        <w:rPr>
          <w:rFonts w:ascii="Arial" w:hAnsi="Arial"/>
          <w:b w:val="0"/>
          <w:i w:val="0"/>
          <w:sz w:val="19"/>
        </w:rPr>
        <w:t xml:space="preserve">-Organisation (verantwortlich für die </w:t>
      </w:r>
      <w:r>
        <w:rPr>
          <w:rFonts w:ascii="Arial" w:hAnsi="Arial"/>
          <w:b w:val="0"/>
          <w:i/>
          <w:sz w:val="19"/>
        </w:rPr>
        <w:t>Nova</w:t>
      </w:r>
      <w:r>
        <w:rPr>
          <w:rFonts w:ascii="Arial" w:hAnsi="Arial"/>
          <w:b w:val="0"/>
          <w:i w:val="0"/>
          <w:sz w:val="19"/>
        </w:rPr>
        <w:t xml:space="preserve">-Foundation-Modelle einschließlich </w:t>
      </w:r>
      <w:r>
        <w:rPr>
          <w:rFonts w:ascii="Arial" w:hAnsi="Arial"/>
          <w:b w:val="0"/>
          <w:i/>
          <w:sz w:val="19"/>
        </w:rPr>
        <w:t>Amazon Nova Act</w:t>
      </w:r>
      <w:r>
        <w:rPr>
          <w:rFonts w:ascii="Arial" w:hAnsi="Arial"/>
          <w:b w:val="0"/>
          <w:i w:val="0"/>
          <w:sz w:val="19"/>
        </w:rPr>
        <w:t xml:space="preserve"> sowie für Silizium- und Quantencomputing-Programme): Betroffen sind die Teams der Vice Presidents Adeeb Shanaa (AGI Data Services) und Vishal Sharma (AGI Information), 90 Tage Gehalts- und Leistungsfortzahlung, Outplacement-Zugang und Übergangs­kranken­versicherung; Konzernstatement zur strategischen Neuausrichtung „hin zu kundenzentrierter KI" mit paralleler Milliarden-US-Dollar-Initiative zur Einbettung von AWS-Ingenieurinnen und -Ingenieuren in Enterprise-Kundenprojekte für agentische KI-Systeme. Aufnahme in § 1.1 als Cluster-F-Beleg des Deployment-vor-Grundlagenforschung-Umschwungs auf der Hyperscaler-Ebene. https://www.cnbc.com/2026/07/22/amazon-lays-off-some-employees-in-its-agi-unit.html | https://americanbazaaronline.com/2026/07/22/amazon-layoffs-artificial-general-intelligence-agi-unit-485056/ | https://www.geekwire.com/2026/amazon-cuts-jobs-in-agi-group-as-it-puts-more-focus-on-customer-facing-ai/ | https://startupfortune.com/amazon-fires-its-agi-researchers-and-bets-a-billion-dollars-on-deployment-instead/</w:t>
      </w:r>
    </w:p>
    <w:p>
      <w:pPr>
        <w:jc w:val="both"/>
      </w:pPr>
      <w:r>
        <w:rPr>
          <w:rFonts w:ascii="Arial" w:hAnsi="Arial"/>
          <w:b w:val="0"/>
          <w:i w:val="0"/>
          <w:sz w:val="19"/>
        </w:rPr>
        <w:t xml:space="preserve">Seeking Alpha / MarketScreener / CNBC / Not-a-Tesla-App / Yahoo Finance / BigGo Finance / Alphastreet / Moomoo / Basenor / Cryptobriefing / Teslarati / NexusVolt. (22. Juli 2026). </w:t>
      </w:r>
      <w:r>
        <w:rPr>
          <w:rFonts w:ascii="Arial" w:hAnsi="Arial"/>
          <w:b w:val="0"/>
          <w:i/>
          <w:sz w:val="19"/>
        </w:rPr>
        <w:t>Tesla, Inc. (TSLA) Q2 2026 Earnings Call Transcript / Summary of Tesla's 2026 Q2 Earnings Call: Cybercab, FSD, AI4+ and More / Record Q2 Deliveries, 55 % FSD Attach Rate Drive Demand; $25B+ CapEx Cycle Begins / Tesla Optimus Production: Fremont Assembly Confirmed for Late July 2026.</w:t>
      </w:r>
      <w:r>
        <w:rPr>
          <w:rFonts w:ascii="Arial" w:hAnsi="Arial"/>
          <w:b w:val="0"/>
          <w:i w:val="0"/>
          <w:sz w:val="19"/>
        </w:rPr>
        <w:t xml:space="preserve"> Berichterstattung zum Tesla-Q2-2026-Earnings-Call am 22. Juli 2026: Full-Year-Capex-Guidance über 25 Milliarden US-Dollar bei neuer 30-Milliarden-US-Dollar-Fremdfinanzierungslinie; Fremont-Model-S-/-X-Linien-Abbau innerhalb rund 46 Tagen mit unmittelbarer </w:t>
      </w:r>
      <w:r>
        <w:rPr>
          <w:rFonts w:ascii="Arial" w:hAnsi="Arial"/>
          <w:b w:val="0"/>
          <w:i/>
          <w:sz w:val="19"/>
        </w:rPr>
        <w:t>Optimus-Gen-3</w:t>
      </w:r>
      <w:r>
        <w:rPr>
          <w:rFonts w:ascii="Arial" w:hAnsi="Arial"/>
          <w:b w:val="0"/>
          <w:i w:val="0"/>
          <w:sz w:val="19"/>
        </w:rPr>
        <w:t xml:space="preserve">-Erstlinien-Installation (Long-Term-Auslegung bis eine Million Roboter pro Jahr, Anlauf laut Musk „quite flat and long"); Musk: „hardest product to scale manufacturing that we've ever made at Tesla"; rund 10.000 unikale Bauteile ohne bestehende Zulieferkette; erste Roboter zur Trainingsdatensammlung, nicht an Kunden; AI-Compute-Partnerschaften mit </w:t>
      </w:r>
      <w:r>
        <w:rPr>
          <w:rFonts w:ascii="Arial" w:hAnsi="Arial"/>
          <w:b w:val="0"/>
          <w:i/>
          <w:sz w:val="19"/>
        </w:rPr>
        <w:t>Samsung Foundry</w:t>
      </w:r>
      <w:r>
        <w:rPr>
          <w:rFonts w:ascii="Arial" w:hAnsi="Arial"/>
          <w:b w:val="0"/>
          <w:i w:val="0"/>
          <w:sz w:val="19"/>
        </w:rPr>
        <w:t xml:space="preserve"> und </w:t>
      </w:r>
      <w:r>
        <w:rPr>
          <w:rFonts w:ascii="Arial" w:hAnsi="Arial"/>
          <w:b w:val="0"/>
          <w:i/>
          <w:sz w:val="19"/>
        </w:rPr>
        <w:t>TSMC</w:t>
      </w:r>
      <w:r>
        <w:rPr>
          <w:rFonts w:ascii="Arial" w:hAnsi="Arial"/>
          <w:b w:val="0"/>
          <w:i w:val="0"/>
          <w:sz w:val="19"/>
        </w:rPr>
        <w:t>; Ankündigung einer „Terafab" als Optimus-/AI-Fertigungs-Großstandort; FCF Q2 −1,1 Milliarden US-Dollar; Robotaxi-Ausweitung auf sieben US-Metropolregionen (Austin, Miami, Orlando, Tampa u. a.) mit rund 380.000 unbeaufsichtigten Meilen ohne meldepflichtige Vorfälle; rund 1,5 Millionen FSD-Abonnenten und 55 % FSD-Attach-Rate in Nordamerika. Aufnahme in § 8.2 mit Rückwirkung auf § 8.3. https://seekingalpha.com/article/4924452-tesla-inc-tsla-q2-2026-earnings-call-transcript | https://www.notateslaapp.com/news/4481/summary-of-teslas-2026-q2-earnings-call-cybercab-fsd-ai4-and-more | https://www.cnbc.com/2026/07/22/tesla-tsla-q2-2026-earnings-report.html | https://finance.biggo.com/news/US_TSLA_2026-07-22 | https://cryptobriefing.com/tesla-optimus-production-line-fremont/ | https://nexusvolt.com/post/tesla-optimus-production-fremont-assembly-confirmed-for-late-july-2026</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val="0"/>
          <w:i w:val="0"/>
          <w:sz w:val="19"/>
        </w:rPr>
        <w:t xml:space="preserve">Challenger, Gray &amp; Christmas. (2. Juni 2026). </w:t>
      </w:r>
      <w:r>
        <w:rPr>
          <w:rFonts w:ascii="Arial" w:hAnsi="Arial"/>
          <w:b w:val="0"/>
          <w:i/>
          <w:sz w:val="19"/>
        </w:rPr>
        <w:t>Challenger Report: May Job Cuts Rise 16 % from April; Highest May Total Since 2020.</w:t>
      </w:r>
      <w:r>
        <w:rPr>
          <w:rFonts w:ascii="Arial" w:hAnsi="Arial"/>
          <w:b w:val="0"/>
          <w:i w:val="0"/>
          <w:sz w:val="19"/>
        </w:rPr>
        <w:t xml:space="preserve"> 97.006 US-Streichungen im Mai 2026 (+16 % gegenüber April), höchster Mai-Wert seit 2020; KI-bezogen 38.579 = 40 % des Monats (Rekord seit Kategorisierungsbeginn 2023); Tech 38.242 (höchster Monatswert seit August 2024); YTD-KI 87.714 (22 % aller 2026-Streichungspläne). https://www.challengergray.com/blog/challenger-report-may-job-cuts-rise-16-from-april-highest-may-total-since-2020/</w:t>
      </w:r>
    </w:p>
    <w:p>
      <w:pPr>
        <w:jc w:val="both"/>
      </w:pPr>
      <w:r>
        <w:rPr>
          <w:rFonts w:ascii="Arial" w:hAnsi="Arial"/>
          <w:b w:val="0"/>
          <w:i w:val="0"/>
          <w:sz w:val="19"/>
        </w:rPr>
        <w:t xml:space="preserve">Challenger, Gray &amp; Christmas. (2. Juli 2026). </w:t>
      </w:r>
      <w:r>
        <w:rPr>
          <w:rFonts w:ascii="Arial" w:hAnsi="Arial"/>
          <w:b w:val="0"/>
          <w:i/>
          <w:sz w:val="19"/>
        </w:rPr>
        <w:t>Challenger Report: June Layoffs Cool to 45,849, Down 53 % From May; AI Leads Reasons for Fourth Consecutive Month.</w:t>
      </w:r>
      <w:r>
        <w:rPr>
          <w:rFonts w:ascii="Arial" w:hAnsi="Arial"/>
          <w:b w:val="0"/>
          <w:i w:val="0"/>
          <w:sz w:val="19"/>
        </w:rPr>
        <w:t xml:space="preserve"> 45.849 US-Streichungen im Juni 2026 (−53 % gegenüber Mai; −4 % gegenüber Juni 2025); KI vierten Monat in Folge führender Einzelgrund mit 14.029 Streichungen (31 %); YTD-KI 101.743 (23 %) und damit rund 86 % über der Gesamtjahressumme 2025 (54.836) bereits im ersten Halbjahr 2026. https://www.challengergray.com/blog/challenger-report-june-layoffs-cool-to-45849-down-53-from-may-ai-leads-reasons-for-fourth-consecutive-month/</w:t>
      </w:r>
    </w:p>
    <w:p>
      <w:pPr>
        <w:jc w:val="both"/>
      </w:pPr>
      <w:r>
        <w:rPr>
          <w:rFonts w:ascii="Arial" w:hAnsi="Arial"/>
          <w:b w:val="0"/>
          <w:i w:val="0"/>
          <w:sz w:val="19"/>
        </w:rPr>
        <w:t xml:space="preserve">Microsoft / Tech Startups / BusinessToday. (2. Juli 2026). </w:t>
      </w:r>
      <w:r>
        <w:rPr>
          <w:rFonts w:ascii="Arial" w:hAnsi="Arial"/>
          <w:b w:val="0"/>
          <w:i/>
          <w:sz w:val="19"/>
        </w:rPr>
        <w:t>Microsoft plans to lay off thousands as AI spending reshapes its workforce / Microsoft Cuts ~9,000 Jobs in July 2026 Round / Microsoft to layoff over 5,000 employees across teams.</w:t>
      </w:r>
      <w:r>
        <w:rPr>
          <w:rFonts w:ascii="Arial" w:hAnsi="Arial"/>
          <w:b w:val="0"/>
          <w:i w:val="0"/>
          <w:sz w:val="19"/>
        </w:rPr>
        <w:t xml:space="preserve"> Rund 9.000 Streichungen (&lt; 4 % globale Belegschaft) zum Start des Fiskaljahres 2026; Bereiche Sales, Consulting und Xbox (Xbox-CEO Asha Sharma: „business cannot continue on its current trajectory" nach über 20 Milliarden US-Dollar Investition in Content, Plattform und Hardware-Subventionen über fünf Jahre); geringer als im Vorjahr, weil rund ein Drittel der zum 2. Juli 2026 fälligen VRSAR-Buyouts (Programmangebot vom 7. Mai 2026) angenommen wurde. https://techstartups.com/2026/07/01/microsoft-plans-to-lay-off-thousands-as-ai-spending-reshapes-its-workforce/ | https://icharles.com/articles/microsoft-layoffs-9000-july-2026 | https://www.businesstoday.in/technology/news/story/microsoft-to-layoff-over-5000-employees-across-teams-540239-2026-07-01</w:t>
      </w:r>
    </w:p>
    <w:p>
      <w:pPr>
        <w:jc w:val="both"/>
      </w:pPr>
      <w:r>
        <w:rPr>
          <w:rFonts w:ascii="Arial" w:hAnsi="Arial"/>
          <w:b w:val="0"/>
          <w:i w:val="0"/>
          <w:sz w:val="19"/>
        </w:rPr>
        <w:t xml:space="preserve">TechRepublic / Yahoo Finance / Fox Business. (Anfang Juli 2026). </w:t>
      </w:r>
      <w:r>
        <w:rPr>
          <w:rFonts w:ascii="Arial" w:hAnsi="Arial"/>
          <w:b w:val="0"/>
          <w:i/>
          <w:sz w:val="19"/>
        </w:rPr>
        <w:t>Microsoft Layoffs Could Hit Thousands as AI Spending Climbs / Microsoft layoffs 2026: cuts hitting sales, consulting, and Xbox / Microsoft eyes another wave of layoffs that could hit 5,000 workers next week.</w:t>
      </w:r>
      <w:r>
        <w:rPr>
          <w:rFonts w:ascii="Arial" w:hAnsi="Arial"/>
          <w:b w:val="0"/>
          <w:i w:val="0"/>
          <w:sz w:val="19"/>
        </w:rPr>
        <w:t xml:space="preserve"> Präzisierung der Layoff-Größenordnung jenseits der bereits angenommenen VRSAR-Austritte auf voraussichtlich weniger als 5.500 Beschäftigte beziehungsweise unter 2,5 % der weltweiten Belegschaft; Kontext: rund 9.000 im VRSAR angebotsberechtigte Mitarbeitende, davon etwa ein Drittel angenommen. https://www.techrepublic.com/article/news-microsoft-layoffs-ai-spending-2026/ | https://finance.yahoo.com/markets/stocks/articles/microsoft-layoffs-2026-cuts-hitting-144856068.html | https://www.foxbusiness.com/economy/microsoft-eyes-another-wave-layoffs-hit-5000-workers-next-week</w:t>
      </w:r>
    </w:p>
    <w:p>
      <w:pPr>
        <w:jc w:val="both"/>
      </w:pPr>
      <w:r>
        <w:rPr>
          <w:rFonts w:ascii="Arial" w:hAnsi="Arial"/>
          <w:b w:val="0"/>
          <w:i w:val="0"/>
          <w:sz w:val="19"/>
        </w:rPr>
        <w:t xml:space="preserve">Anthropic / TechCrunch / Thurrott / PYMNTS. (30. Juni 2026). </w:t>
      </w:r>
      <w:r>
        <w:rPr>
          <w:rFonts w:ascii="Arial" w:hAnsi="Arial"/>
          <w:b w:val="0"/>
          <w:i/>
          <w:sz w:val="19"/>
        </w:rPr>
        <w:t>Introducing Claude Sonnet 5 / Anthropic launches Claude Sonnet 5 as a cheaper way to run agents / Anthropic Launches Claude Sonnet 5 / Anthropic Cuts AI Agent Costs With Claude Sonnet 5 Rollout.</w:t>
      </w:r>
      <w:r>
        <w:rPr>
          <w:rFonts w:ascii="Arial" w:hAnsi="Arial"/>
          <w:b w:val="0"/>
          <w:i w:val="0"/>
          <w:sz w:val="19"/>
        </w:rPr>
        <w:t xml:space="preserve"> Neue Frontier-Modellstufe zu einem Einführungspreis von 2 US-Dollar pro Million Input-Token und 10 US-Dollar pro Million Output-Token bis 31. August 2026, Standardpreis ab 1. September 2026 bei 3 beziehungsweise 15 US-Dollar; ergänzende Rabattstrukturen bis 90 % via Prompt-Caching und 50 % via Batch-Processing; Beleg für die deflationäre Preisdynamik bei Frontier-Inferenz (§ 8.2). https://www.anthropic.com/news/claude-sonnet-5 | https://techcrunch.com/2026/06/30/anthropic-launches-claude-sonnet-5-as-a-cheaper-way-to-run-agents/ | https://www.thurrott.com/a-i/anthropic/338184/anthropic-launches-claude-sonnet-5 | https://www.pymnts.com/news/artificial-intelligence/2026/anthropic-cuts-ai-agent-costs-with-claude-sonnet-5-rollout/</w:t>
      </w:r>
    </w:p>
    <w:p>
      <w:pPr>
        <w:jc w:val="both"/>
      </w:pPr>
      <w:r>
        <w:rPr>
          <w:rFonts w:ascii="Arial" w:hAnsi="Arial"/>
          <w:b w:val="0"/>
          <w:i w:val="0"/>
          <w:sz w:val="19"/>
        </w:rPr>
        <w:t xml:space="preserve">CNBC / Quartz / TheNextWeb / Fox Business / Motor1. (1. Juli 2026 / Folgeberichterstattung). </w:t>
      </w:r>
      <w:r>
        <w:rPr>
          <w:rFonts w:ascii="Arial" w:hAnsi="Arial"/>
          <w:b w:val="0"/>
          <w:i/>
          <w:sz w:val="19"/>
        </w:rPr>
        <w:t>Employers who laid off workers citing AI are already starting to regret it / Companies rehire workers laid off for AI as automation falls short / Ford rehired 350 engineers to fix what its AI systems got wrong / Ford rehires experienced engineers after AI misses the mark / Ford Brings Back Veteran Engineers After AI Falls Short: „It's Only As Good As The People Using It".</w:t>
      </w:r>
      <w:r>
        <w:rPr>
          <w:rFonts w:ascii="Arial" w:hAnsi="Arial"/>
          <w:b w:val="0"/>
          <w:i w:val="0"/>
          <w:sz w:val="19"/>
        </w:rPr>
        <w:t xml:space="preserve"> Rebound-Berichterstattung mit Einzelfällen: Ford ~350 rehired „Gray-Beard"-Ingenieure über drei Jahre, JD Power 2026 U.S. Initial Quality Study — 152 Probleme/100 Fahrzeuge, erste Platzierung seit 2010, erwartete Jahres-Kostenersparnis ~1 Mrd. USD; IBM verdreifacht 2026 die Einstellungen für Berufseinsteiger nach KI-HR-Ausfall auf den verbleibenden 6 % ethischer Dilemmata; Commonwealth Bank of Australia rehired &gt; 40 Kundenservicestellen nach AI-Voicebot-Ausfall. https://www.cnbc.com/2026/07/01/employers-who-laid-off-workers-for-ai-are-reversing-their-decisions.html | https://qz.com/companies-rehiring-workers-ai-layoffs-automation-070126 | https://thenextweb.com/news/ford-rehired-350-engineers-ai-quality-jd-power | https://www.foxbusiness.com/technology/ford-rehires-experienced-engineers-after-ai-misses-mark | https://www.motor1.com/news/800343/humans-better-than-ai-inspectors/</w:t>
      </w:r>
    </w:p>
    <w:p>
      <w:pPr>
        <w:jc w:val="both"/>
      </w:pPr>
      <w:r>
        <w:rPr>
          <w:rFonts w:ascii="Arial" w:hAnsi="Arial"/>
          <w:b w:val="0"/>
          <w:i w:val="0"/>
          <w:sz w:val="19"/>
        </w:rPr>
        <w:t xml:space="preserve">Orgvue / Vitreous World. (Erhebung Februar–März 2025; Rezeption Juni/Juli 2026). </w:t>
      </w:r>
      <w:r>
        <w:rPr>
          <w:rFonts w:ascii="Arial" w:hAnsi="Arial"/>
          <w:b w:val="0"/>
          <w:i/>
          <w:sz w:val="19"/>
        </w:rPr>
        <w:t>55 % of businesses admit wrong decisions in making employees redundant when bringing AI into the workforce / Human-first, machine enhanced — From optimism to pragmatism in AI-driven workforce transformation.</w:t>
      </w:r>
      <w:r>
        <w:rPr>
          <w:rFonts w:ascii="Arial" w:hAnsi="Arial"/>
          <w:b w:val="0"/>
          <w:i w:val="0"/>
          <w:sz w:val="19"/>
        </w:rPr>
        <w:t xml:space="preserve"> Befragung von 1.163 Senior Decision-Makers (Vorstände, C-Level, Senior-Manager) in Organisationen ab 500 bzw. 2.000 Beschäftigten in den USA, Kanada, dem Vereinigten Königreich, Irland, Australien, Hongkong, Malaysia und Singapur: 39 % KI-bedingte Personalreduktionen; davon 55 % bereuen im Nachhinein zumindest eine Entscheidung; 23 % räumen ein, sie hätten auf allgemeinen Annahmen und nicht auf einer Rollenanalyse basiert. https://www.orgvue.com/news/55-of-businesses-admit-wrong-decisions-in-making-employees-redundant-when-bringing-ai-into-the-workforce/ | https://www.orgvue.com/content/uploads/sites/2/2025/05/Orgvue-AI-and-Workforce-Transformation-eBook-Spring-2025-FULL.pdf</w:t>
      </w:r>
    </w:p>
    <w:p>
      <w:pPr>
        <w:jc w:val="both"/>
      </w:pPr>
      <w:r>
        <w:rPr>
          <w:rFonts w:ascii="Arial" w:hAnsi="Arial"/>
          <w:b w:val="0"/>
          <w:i w:val="0"/>
          <w:sz w:val="19"/>
        </w:rPr>
        <w:t xml:space="preserve">IBTimes UK / HR Dive / HRTech Edge / Robert Half (via Fach- und Wirtschaftspresse). (Juni/Juli 2026). </w:t>
      </w:r>
      <w:r>
        <w:rPr>
          <w:rFonts w:ascii="Arial" w:hAnsi="Arial"/>
          <w:b w:val="0"/>
          <w:i/>
          <w:sz w:val="19"/>
        </w:rPr>
        <w:t>AI Layoffs Backfire as 32 % of Bosses Rehire Roles They Thought Robots Could Do / More than half of leaders who laid off workers due to AI admit to screwing up / AI Layoffs Backfire as Firms Rehire Workers: Orgvue Study.</w:t>
      </w:r>
      <w:r>
        <w:rPr>
          <w:rFonts w:ascii="Arial" w:hAnsi="Arial"/>
          <w:b w:val="0"/>
          <w:i w:val="0"/>
          <w:sz w:val="19"/>
        </w:rPr>
        <w:t xml:space="preserve"> Robert-Half-Rückholrate: 32 % der US-Hiring-Manager, die eine Rolle primär KI-bedingt abgebaut haben, mussten sie später wiederbesetzen; Finance 44 %, HR 35 %, Technology 32 %. https://www.ibtimes.co.uk/ai-layoffs-reversed-companies-rehire-staff-1806357 | https://www.hrdive.com/news/leaders-who-laid-off-workers-due-to-ai-regretted-it/746643/ | https://hrtechedge.com/ai-layoffs-backfire-32-of-companies-forced-to-rehire-after-misjudging-automation/</w:t>
      </w:r>
    </w:p>
    <w:p>
      <w:pPr>
        <w:jc w:val="both"/>
      </w:pPr>
      <w:r>
        <w:rPr>
          <w:rFonts w:ascii="Arial" w:hAnsi="Arial"/>
          <w:b w:val="0"/>
          <w:i w:val="0"/>
          <w:sz w:val="19"/>
        </w:rPr>
        <w:t xml:space="preserve">SkillSyncer. (Stand 5. Juli 2026). </w:t>
      </w:r>
      <w:r>
        <w:rPr>
          <w:rFonts w:ascii="Arial" w:hAnsi="Arial"/>
          <w:b w:val="0"/>
          <w:i/>
          <w:sz w:val="19"/>
        </w:rPr>
        <w:t>2026 Tech Layoffs Tracker — 185.894 Workers Impacted.</w:t>
      </w:r>
      <w:r>
        <w:rPr>
          <w:rFonts w:ascii="Arial" w:hAnsi="Arial"/>
          <w:b w:val="0"/>
          <w:i w:val="0"/>
          <w:sz w:val="19"/>
        </w:rPr>
        <w:t xml:space="preserve"> 267 Layoff-Ereignisse mit 185.894 betroffenen Beschäftigten (rund 999 Stellen pro Tag; +58.483 gegenüber dem 8. Mai 2026). https://skillsyncer.com/layoffs-tracker</w:t>
      </w:r>
    </w:p>
    <w:p>
      <w:pPr>
        <w:jc w:val="both"/>
      </w:pPr>
      <w:r>
        <w:rPr>
          <w:rFonts w:ascii="Arial" w:hAnsi="Arial"/>
          <w:b w:val="0"/>
          <w:i w:val="0"/>
          <w:sz w:val="19"/>
        </w:rPr>
        <w:t xml:space="preserve">TrueUp. (Jahresmitte 2026). </w:t>
      </w:r>
      <w:r>
        <w:rPr>
          <w:rFonts w:ascii="Arial" w:hAnsi="Arial"/>
          <w:b w:val="0"/>
          <w:i/>
          <w:sz w:val="19"/>
        </w:rPr>
        <w:t>Layoffs Tracker — All Tech and Startup Layoffs.</w:t>
      </w:r>
      <w:r>
        <w:rPr>
          <w:rFonts w:ascii="Arial" w:hAnsi="Arial"/>
          <w:b w:val="0"/>
          <w:i w:val="0"/>
          <w:sz w:val="19"/>
        </w:rPr>
        <w:t xml:space="preserve"> 435 Layoff-Ereignisse mit 164.971 betroffenen Beschäftigten (rund 887 Stellen pro Tag); Vergleichswert 2025: 783 Meldungen mit 245.953 Personen (rund 674 pro Tag) — 2026 kumuliert niedriger, tägliche Rate deutlich über Vorjahr. https://www.trueup.io/layoffs</w:t>
      </w:r>
    </w:p>
    <w:p>
      <w:pPr>
        <w:jc w:val="both"/>
      </w:pPr>
      <w:r>
        <w:rPr>
          <w:rFonts w:ascii="Arial" w:hAnsi="Arial"/>
          <w:b w:val="0"/>
          <w:i w:val="0"/>
          <w:sz w:val="19"/>
        </w:rPr>
        <w:t xml:space="preserve">Oracle Corp. (Juni 2026). </w:t>
      </w:r>
      <w:r>
        <w:rPr>
          <w:rFonts w:ascii="Arial" w:hAnsi="Arial"/>
          <w:b w:val="0"/>
          <w:i/>
          <w:sz w:val="19"/>
        </w:rPr>
        <w:t>Form 8-K — Fiscal Year 2026 Restructuring and Workforce Update.</w:t>
      </w:r>
      <w:r>
        <w:rPr>
          <w:rFonts w:ascii="Arial" w:hAnsi="Arial"/>
          <w:b w:val="0"/>
          <w:i w:val="0"/>
          <w:sz w:val="19"/>
        </w:rPr>
        <w:t xml:space="preserve"> Konzernabbau von rund 21.000 Stellen im FY2026 (ca. 13 % der Belegschaft; von 162.000 im Mai 2025 auf 141.000 im Mai 2026); Restrukturierungsaufwand ~1,8 Mrd. USD (FY2025: 374 Mio. USD); flankierendes KI- und Cloud-Investitionsvolumen ~50 Mrd. USD im Fiskaljahr; ergänzende Fachberichterstattung Bloomberg, CNBC und Forbes vom 22./23. Juni 2026. https://www.sec.gov/Archives/edgar/data/0001341439/000119312526265848/orcl-ex99_1.htm | https://www.cnbc.com/2026/06/23/oracle-ai-job-cuts-layoffs-21000.html | https://www.bloomberg.com/news/articles/2026-06-22/oracle-layoffs-fueled-by-ai-reduces-workforce-by-21-000</w:t>
      </w:r>
    </w:p>
    <w:p>
      <w:pPr>
        <w:jc w:val="both"/>
      </w:pPr>
      <w:r>
        <w:rPr>
          <w:rFonts w:ascii="Arial" w:hAnsi="Arial"/>
          <w:b w:val="0"/>
          <w:i w:val="0"/>
          <w:sz w:val="19"/>
        </w:rPr>
        <w:t xml:space="preserve">Yahoo Finance / GeekWire / TechTimes / Gamerant. (12. Juni – 1. Juli 2026). </w:t>
      </w:r>
      <w:r>
        <w:rPr>
          <w:rFonts w:ascii="Arial" w:hAnsi="Arial"/>
          <w:b w:val="0"/>
          <w:i/>
          <w:sz w:val="19"/>
        </w:rPr>
        <w:t>Microsoft layoffs 2026: cuts hitting sales, consulting, and Xbox / Microsoft set for new round of job cuts next week, spanning Xbox, sales and consulting / Xbox July Layoffs Confirmed as CEO Sharma Eyes Affordable Console Tier / Xbox Reportedly Planning „Significant" Layoffs in July 2026.</w:t>
      </w:r>
      <w:r>
        <w:rPr>
          <w:rFonts w:ascii="Arial" w:hAnsi="Arial"/>
          <w:b w:val="0"/>
          <w:i w:val="0"/>
          <w:sz w:val="19"/>
        </w:rPr>
        <w:t xml:space="preserve"> Bericht zu einem internen Xbox-Memo von CEO Asha Sharma und Content-Chief Matt Booty mit den harten Kennzahlen der Xbox-Bilanz: &gt; 20 Mrd. USD Investitionen in Content, Plattform und Hardware-Subventionen über fünf Jahre; jährlicher Umsatzrückgang rund 500 Mio. USD; Q1-2026-Ergebnis Gaming-Umsatz −7 % auf 5,3 Mrd. USD, Hardware −33 %, Content und Services −5 %; das Geschäft „kann so nicht weitergeführt werden" — Grundlage für die Xbox-Anteile am Fiskaljahresstart-Layoff als strategisch angetriebene Restrukturierung, nicht als reine KI-Substitution. https://finance.yahoo.com/markets/stocks/articles/microsoft-layoffs-2026-cuts-hitting-144856068.html | https://www.geekwire.com/2026/microsoft-set-to-cut-thousands-of-jobs-next-week-spanning-xbox-sales-and-consulting/ | https://www.techtimes.com/articles/318288/20260612/xbox-july-layoffs-confirmed-ceo-sharma-eyes-affordable-console-tier.htm | https://gamerant.com/xbox-layoffs-june-2026/</w:t>
      </w:r>
    </w:p>
    <w:p>
      <w:pPr>
        <w:jc w:val="both"/>
      </w:pPr>
      <w:r>
        <w:rPr>
          <w:rFonts w:ascii="Arial" w:hAnsi="Arial"/>
          <w:b w:val="0"/>
          <w:i w:val="0"/>
          <w:sz w:val="19"/>
        </w:rPr>
        <w:t xml:space="preserve">CNBC / GeekWire / NBC News / Thurrott / Republic World / TechCrunch. (6. Juli 2026). </w:t>
      </w:r>
      <w:r>
        <w:rPr>
          <w:rFonts w:ascii="Arial" w:hAnsi="Arial"/>
          <w:b w:val="0"/>
          <w:i/>
          <w:sz w:val="19"/>
        </w:rPr>
        <w:t>Microsoft cuts 4,800 jobs, as Xbox unit downsizes and plans to spin off four gaming studios / Microsoft cuts 4,800 jobs, about 2 % globally, revamps Salesforce and launches massive Xbox overhaul / Microsoft to cut 4,800 jobs, joining the wave of AI-driven tech layoffs / Microsoft Announces 4,800 Job Cuts, Including 3,200 at its Xbox Division / Microsoft Cuts 4,800 Jobs to Prioritise AI Growth, Xbox Hit Hardest / Every major tech layoff in 2026 that has name-checked AI.</w:t>
      </w:r>
      <w:r>
        <w:rPr>
          <w:rFonts w:ascii="Arial" w:hAnsi="Arial"/>
          <w:b w:val="0"/>
          <w:i w:val="0"/>
          <w:sz w:val="19"/>
        </w:rPr>
        <w:t xml:space="preserve"> Konkrete Layoff-Größen der am 6. Juli 2026 angekündigten Runde: rund 4.800 unmittelbare Streichungen (2,1 % einer weltweiten Belegschaft von rund 220.000), davon rund 1.600 in der Xbox-Sparte und rund 600 im US-Bundesstaat Washington; Xbox-Reduktionen im Fiskaljahr 2026 insgesamt rund 3.200 (etwa 20 % der globalen Xbox-Belegschaft); Ausgliederung von vier Gaming-Studios; Bestätigung der VRSAR-Annahmequote bei rund 30 % von rund 8.750 angebotsberechtigten US-Beschäftigten; Konzernbegründung „AI is changing how work gets done" bei zugleich Statement, die betroffenen Rollen würden nicht durch KI ersetzt — Illustration der Kausalattributionsproblematik nach § 9.1. https://www.cnbc.com/2026/07/06/microsoft-cuts-2point1percent-of-employees-as-xbox-unit-plans-to-spin-studios.html | https://www.geekwire.com/2026/microsoft-cuts-4800-jobs-about-2-globally-revamps-salesforce-and-launches-massive-xbox-overhaul/ | https://www.nbcnews.com/business/consumer/microsoft-layoffs-xbox-gaming-rcna353019 | https://www.thurrott.com/microsoft/338449/microsoft-announces-4800-job-cuts-including-3200-at-its-xbox-division | https://www.republicworld.com/tech/microsoft-cuts-4800-jobs-to-prioritise-ai-growth-xbox-hit-hardest-2026-07-06-131442 | https://techcrunch.com/2026/07/06/the-running-list-major-tech-layoffs-in-2026-where-employers-cited-ai/</w:t>
      </w:r>
    </w:p>
    <w:p>
      <w:pPr>
        <w:jc w:val="both"/>
      </w:pPr>
      <w:r>
        <w:rPr>
          <w:rFonts w:ascii="Arial" w:hAnsi="Arial"/>
          <w:b w:val="0"/>
          <w:i w:val="0"/>
          <w:sz w:val="19"/>
        </w:rPr>
        <w:t xml:space="preserve">CNBC / Tom's Hardware / The Next Web / Seeking Alpha. (6. Juli 2026). </w:t>
      </w:r>
      <w:r>
        <w:rPr>
          <w:rFonts w:ascii="Arial" w:hAnsi="Arial"/>
          <w:b w:val="0"/>
          <w:i/>
          <w:sz w:val="19"/>
        </w:rPr>
        <w:t>Nvidia's next-gen AI rack system delayed to 2028 on manufacturing snags, SemiAnalysis says / Nvidia's Kyber rack for Rubin Ultra reportedly delayed to 2028, stopgap solution also axed due to customer pushback / Nvidia's Kyber AI rack is delayed to 2028 / Nvidia next-gen 'Kyber' AI rack delayed to 2028 on manufacturing snags: report.</w:t>
      </w:r>
      <w:r>
        <w:rPr>
          <w:rFonts w:ascii="Arial" w:hAnsi="Arial"/>
          <w:b w:val="0"/>
          <w:i w:val="0"/>
          <w:sz w:val="19"/>
        </w:rPr>
        <w:t xml:space="preserve"> Analystenbericht </w:t>
      </w:r>
      <w:r>
        <w:rPr>
          <w:rFonts w:ascii="Arial" w:hAnsi="Arial"/>
          <w:b w:val="0"/>
          <w:i/>
          <w:sz w:val="19"/>
        </w:rPr>
        <w:t>SemiAnalysis</w:t>
      </w:r>
      <w:r>
        <w:rPr>
          <w:rFonts w:ascii="Arial" w:hAnsi="Arial"/>
          <w:b w:val="0"/>
          <w:i w:val="0"/>
          <w:sz w:val="19"/>
        </w:rPr>
        <w:t xml:space="preserve"> zur Verzögerung des NVIDIA-</w:t>
      </w:r>
      <w:r>
        <w:rPr>
          <w:rFonts w:ascii="Arial" w:hAnsi="Arial"/>
          <w:b w:val="0"/>
          <w:i/>
          <w:sz w:val="19"/>
        </w:rPr>
        <w:t>Kyber</w:t>
      </w:r>
      <w:r>
        <w:rPr>
          <w:rFonts w:ascii="Arial" w:hAnsi="Arial"/>
          <w:b w:val="0"/>
          <w:i w:val="0"/>
          <w:sz w:val="19"/>
        </w:rPr>
        <w:t>-Rack-Systems (NVL144 für 144 GPUs pro Rack) für die Rubin-Ultra-Chip-Generation um über zwölf Monate auf 2028 wegen PCB-Midplane-Fertigungsproblemen (78 Lagen, Toleranzen unter 25 μm, Impedanz-Toleranz 5 % für 448-Gb/s-Signalisierung); ablehnende Rückmeldung der Cloud-Kunden zur Notfall-Doppel-Rack-Lösung; laufende Oberon- und Rubin-Racks der aktuellen Generation unverändert für Herbst-Auslieferung an AWS, Microsoft Azure und Google Cloud vorgesehen; Wettbewerbsöffnung für AMD (MI455X, CDNA-5, 2 nm, 432 GB, 40 PFLOPS NVFP4) und Google TPU-Reihe am oberen Marktende. https://www.cnbc.com/2026/07/06/nvidia-kyber-rack-system-delays-manufacturing-taiwan-rubin-chips-.html | https://www.tomshardware.com/pc-components/gpus/nvidias-kyber-rack-for-rubin-ultra-slips-to-2028 | https://thenextweb.com/news/nvidia-kyber-rack-delay-2028 | https://seekingalpha.com/news/4611538-nvidia-next-gen-kyber-ai-rack-delayed-to-2028-on-manufacturing-snags</w:t>
      </w:r>
    </w:p>
    <w:p>
      <w:pPr>
        <w:jc w:val="both"/>
      </w:pPr>
      <w:r>
        <w:rPr>
          <w:rFonts w:ascii="Arial" w:hAnsi="Arial"/>
          <w:b w:val="0"/>
          <w:i w:val="0"/>
          <w:sz w:val="19"/>
        </w:rPr>
        <w:t xml:space="preserve">Fortune / BigGo Finance / HackerNoon / Bind AI / The Agent Report. (23. Juni – 8. Juli 2026). </w:t>
      </w:r>
      <w:r>
        <w:rPr>
          <w:rFonts w:ascii="Arial" w:hAnsi="Arial"/>
          <w:b w:val="0"/>
          <w:i/>
          <w:sz w:val="19"/>
        </w:rPr>
        <w:t>As top talent leaves Google DeepMind, some question if the lab can remain at the forefront of AI development / Google Delays Gemini 3.5 Pro Launch to July 17 for Full Architectural Rebuild / Google Delays Gemini 3.5 Pro to July 17: The Strategic Play Behind the Scrapped Base Model / Gemini 3.5 Pro Delayed to July 2026: What Developers Should Know / Google Gemini 3.5 Pro Delayed to July 2026: $225B Wiped Off Alphabet as DeepMind Talent Exodus Deepens.</w:t>
      </w:r>
      <w:r>
        <w:rPr>
          <w:rFonts w:ascii="Arial" w:hAnsi="Arial"/>
          <w:b w:val="0"/>
          <w:i w:val="0"/>
          <w:sz w:val="19"/>
        </w:rPr>
        <w:t xml:space="preserve"> Anfang Juli 2026 aufgegriffene Konsolidierung der DeepMind-Talent-Bewegungen (Noam Shazeer zu OpenAI, John Jumper / Jonas Adler / Alexander Pritzel zu Anthropic) mit einer Marktkapitalisierungs­einbuße von rund 225 bis 270 Mrd. USD und der Verschiebung von </w:t>
      </w:r>
      <w:r>
        <w:rPr>
          <w:rFonts w:ascii="Arial" w:hAnsi="Arial"/>
          <w:b w:val="0"/>
          <w:i/>
          <w:sz w:val="19"/>
        </w:rPr>
        <w:t>Gemini 3.5 Pro</w:t>
      </w:r>
      <w:r>
        <w:rPr>
          <w:rFonts w:ascii="Arial" w:hAnsi="Arial"/>
          <w:b w:val="0"/>
          <w:i w:val="0"/>
          <w:sz w:val="19"/>
        </w:rPr>
        <w:t xml:space="preserve"> zunächst auf den 17. Juli 2026 nach Vollumbau der bisherigen 2.5-Pro-Basisarchitektur (Ziel: Verbesserungen in mathematischem Reasoning, SVG-Generierung, Bildqualität). https://fortune.com/2026/06/23/google-deepmind-ai-researcher-departures-raise-doubts-about-ability-to-win-the-ai-race-shazeer-jumper-eye-on-ai/ | https://finance.biggo.com/news/6f0c6bb2-795f-4c57-9d09-6db691d7638a | https://hackernoon.com/google-delays-gemini-35-pro-to-july-17-the-strategic-play-behind-the-scrapped-base-model | https://blog.getbind.co/gemini-3-5-pro-slips-to-july-and-four-senior-google-researchers-just-left-for-anthropic/ | https://the-agent-report.com/2026/07/google-gemini-3-5-pro-delayed-july-2026/</w:t>
      </w:r>
    </w:p>
    <w:p>
      <w:pPr>
        <w:jc w:val="both"/>
      </w:pPr>
      <w:r>
        <w:rPr>
          <w:rFonts w:ascii="Arial" w:hAnsi="Arial"/>
          <w:b w:val="0"/>
          <w:i w:val="0"/>
          <w:sz w:val="19"/>
        </w:rPr>
        <w:t xml:space="preserve">SkillSyncer. (Stand 9. Juli 2026). </w:t>
      </w:r>
      <w:r>
        <w:rPr>
          <w:rFonts w:ascii="Arial" w:hAnsi="Arial"/>
          <w:b w:val="0"/>
          <w:i/>
          <w:sz w:val="19"/>
        </w:rPr>
        <w:t>2026 Tech Layoffs Tracker — 267 Events, 185.894 Workers, 56 % AI-attributed.</w:t>
      </w:r>
      <w:r>
        <w:rPr>
          <w:rFonts w:ascii="Arial" w:hAnsi="Arial"/>
          <w:b w:val="0"/>
          <w:i w:val="0"/>
          <w:sz w:val="19"/>
        </w:rPr>
        <w:t xml:space="preserve"> Aktualisierter Trackerstand mit erstmalig explizit ausgewiesener Aggregat-Kausalzuschreibung: 150 der 267 Layoff-Ereignisse (56 %) mit rund 156.270 betroffenen Beschäftigten (etwa 84 % der Tracker-Gesamtsumme) als KI-/Automatisierungs­getrieben klassifiziert; Durchschnitt rund 978 Stellen pro Tag. https://skillsyncer.com/layoffs-tracker</w:t>
      </w:r>
    </w:p>
    <w:p>
      <w:pPr>
        <w:jc w:val="both"/>
      </w:pPr>
      <w:r>
        <w:rPr>
          <w:rFonts w:ascii="Arial" w:hAnsi="Arial"/>
          <w:b w:val="0"/>
          <w:i w:val="0"/>
          <w:sz w:val="19"/>
        </w:rPr>
        <w:t xml:space="preserve">Wccftech / TradingKey / TechPowerUp / Introl. (Mai – Juli 2026). </w:t>
      </w:r>
      <w:r>
        <w:rPr>
          <w:rFonts w:ascii="Arial" w:hAnsi="Arial"/>
          <w:b w:val="0"/>
          <w:i/>
          <w:sz w:val="19"/>
        </w:rPr>
        <w:t>NVIDIA Squashes Vera Rubin Rumors, First Shipments Rolling Out In July To Major AI Customers With Mass Production In 2H 26 / Nvidia Vera Rubin Mass Production Finalized, July Delivery to North American Tech Giants / First Shipments of NVIDIA „Vera Rubin" AI Servers Expected Around Late Summer / NVIDIA Rubin Enters Full Production.</w:t>
      </w:r>
      <w:r>
        <w:rPr>
          <w:rFonts w:ascii="Arial" w:hAnsi="Arial"/>
          <w:b w:val="0"/>
          <w:i w:val="0"/>
          <w:sz w:val="19"/>
        </w:rPr>
        <w:t xml:space="preserve"> Konfiguration und Zeitachse der neuen NVIDIA-Vera-Rubin-Architektur: Full-Production-Freigabe an der GTC Taipei am 1. Juni 2026; erste Auslieferungen im Juli 2026 an fünf nordamerikanische Hyperscaler (Microsoft, Google, Amazon, Meta, Oracle); Volumen-Auslieferungen H2 2026 (Q3/Q4); Trainingsleistung nach Herstellerangaben rund 3,5-fach gegenüber Blackwell; Rack-Fertigung durch Foxconn, Quanta und Wistron; erster produktiver Vera-Rubin-Rack bei Microsoft Azure. Beleg für die geografische Konzentration der Compute-Erzeugung in § 8.2. https://wccftech.com/nvidia-squashes-vera-rubin-rumors-first-shipments-rolling-out-in-july-to-ai-customers/ | https://www.tradingkey.com/analysis/stocks/us-stocks/261879616-nvidia-vera-rubin-mass-production-confirmed-tradingkey | https://www.techpowerup.com/345358/first-shipments-of-nvidia-vera-rubin-ai-servers-expected-around-late-summer | https://introl.com/blog/nvidia-rubin-full-production-ces-2026-ai-infrastructure</w:t>
      </w:r>
    </w:p>
    <w:p>
      <w:pPr>
        <w:jc w:val="both"/>
      </w:pPr>
      <w:r>
        <w:rPr>
          <w:rFonts w:ascii="Arial" w:hAnsi="Arial"/>
          <w:b w:val="0"/>
          <w:i w:val="0"/>
          <w:sz w:val="19"/>
        </w:rPr>
        <w:t xml:space="preserve">OpenAI / Nextgov / Engadget / BigGo Finance / Value Add Pulse / techjacksolutions / Coursiv. (9. Juli 2026 und Folgeberichterstattung). </w:t>
      </w:r>
      <w:r>
        <w:rPr>
          <w:rFonts w:ascii="Arial" w:hAnsi="Arial"/>
          <w:b w:val="0"/>
          <w:i/>
          <w:sz w:val="19"/>
        </w:rPr>
        <w:t>Previewing GPT-5.6 Sol: a next-generation model / OpenAI's advanced GPT-5.6 models to be publicly released / OpenAI gets permission to roll out GPT-5.6 to the public on July 9 / GPT-5.6 Sol Debuts Tomorrow: Inference Speed Hits 750 Tokens/s as Cerebras Pours Billions into European Expansion / Cerebras Runs OpenAI GPT-5.6 Sol at 750 Tokens per Second, Setting a New Frontier-Model Speed Record / GPT-5.6 Pricing (2026): Sol, Terra &amp; Luna API Costs / OpenAI GPT-5.6 Sol: ChatGPT Release Date, Price &amp; Review.</w:t>
      </w:r>
      <w:r>
        <w:rPr>
          <w:rFonts w:ascii="Arial" w:hAnsi="Arial"/>
          <w:b w:val="0"/>
          <w:i w:val="0"/>
          <w:sz w:val="19"/>
        </w:rPr>
        <w:t xml:space="preserve"> Public Release der GPT-5.6-Reihe zum 9. Juli 2026 mit drei Modellstufen (Sol, Terra, Luna) nach vorheriger Preview-Kohorte ab 26. Juni 2026; Cerebras-Wafer-Scale-Deployment der Spitzenstufe Sol mit bis zu 750 Token pro Sekunde (rund zehnfach gegenüber typischer NVIDIA-GPU-Inferenz); Standard-API-Preise Sol 5 USD / 30 USD pro Million Input/Output-Token, Cache-Read 0,50 USD; Freigabe an einen 30-Tage-Sicherheitsvorlauf durch das White House gebunden (AI-Cybersecurity-Executive-Order, Juni 2026). https://openai.com/index/previewing-gpt-5-6-sol/ | https://www.nextgov.com/artificial-intelligence/2026/07/openais-advanced-gpt-56-models-be-available-public/414651/ | https://www.engadget.com/2210308/openai-rolls-out-gpt5-6-july-9/ | https://finance.biggo.com/news/8891f78a-c330-4652-bf49-ee1c3204e108 | https://valueaddvc.com/pulse/cerebras-openai-gpt-5-6-sol-750-tokens-2026 | https://techjacksolutions.com/ai-tools/chatgpt/gpt-5-6-pricing/ | https://coursiv.io/blog/chatgpt-5-6-sol</w:t>
      </w:r>
    </w:p>
    <w:p>
      <w:pPr>
        <w:jc w:val="both"/>
      </w:pPr>
      <w:r>
        <w:rPr>
          <w:rFonts w:ascii="Arial" w:hAnsi="Arial"/>
          <w:b w:val="0"/>
          <w:i w:val="0"/>
          <w:sz w:val="19"/>
        </w:rPr>
        <w:t xml:space="preserve">Anthropic / The New Stack / Gizmodo / Forbes / ExplainX. (30. Juni – 12. Juli 2026). </w:t>
      </w:r>
      <w:r>
        <w:rPr>
          <w:rFonts w:ascii="Arial" w:hAnsi="Arial"/>
          <w:b w:val="0"/>
          <w:i/>
          <w:sz w:val="19"/>
        </w:rPr>
        <w:t>Redeploying Claude Fable 5 / How Anthropic is bringing Fable 5 back — and when it'll cost you / Claude Fable 5 Will Be Back Online Wednesday, Anthropic Says / Claude Fable 5 Extends By Five More Days. 10 Moves To Make Now / Fable 5 Is Available Again — Ban Lifted July 1, 2026.</w:t>
      </w:r>
      <w:r>
        <w:rPr>
          <w:rFonts w:ascii="Arial" w:hAnsi="Arial"/>
          <w:b w:val="0"/>
          <w:i w:val="0"/>
          <w:sz w:val="19"/>
        </w:rPr>
        <w:t xml:space="preserve"> Ausfuhrkontrollen der US-Regierung auf Claude Fable 5 und Claude Mythos 5 vom 12. Juni 2026 nach Amazon-Sicherheitsbericht zur Umgehung eines Fable-5-Safeguards; weltweite Aussetzung durch Anthropic bis 30. Juni 2026; Redeployment ab 1. Juli 2026 mit gemeinsam mit CAISI trainierten Klassifikatoren (&gt;99 % Blockade der dokumentierten Umgehung, erhöhte Fehlalarmquote auf regulären Debugging-/Programmier-Prompts); Kontingent-Verlängerung auf kostenpflichtigen Tarifen bis 12. Juli 2026. Beleg für die exekutiv-sicherheitspolitische Vermittlung des Zugriffs auf importierte Frontier-Modelle (§ 4.5). https://www.anthropic.com/news/redeploying-fable-5 | https://thenewstack.io/how-anthropic-is-bringing-fable-5-back/ | https://gizmodo.com/claude-fable-5-will-be-back-online-wednesday-anthropic-says-2000779882 | https://www.forbes.com/sites/sandycarter/2026/07/07/claude-fable-5-extends-by-five-more-days-10-moves-to-make-now/ | https://explainx.ai/blog/is-fable-5-back-2026</w:t>
      </w:r>
    </w:p>
    <w:p>
      <w:pPr>
        <w:jc w:val="both"/>
      </w:pPr>
      <w:r>
        <w:rPr>
          <w:rFonts w:ascii="Arial" w:hAnsi="Arial"/>
          <w:b w:val="0"/>
          <w:i w:val="0"/>
          <w:sz w:val="19"/>
        </w:rPr>
        <w:t xml:space="preserve">Anthropic (Support) / DigitalApplied / TechTimes / Codersera / AndroidHeadlines / Webvise. (7.–13. Juli 2026). </w:t>
      </w:r>
      <w:r>
        <w:rPr>
          <w:rFonts w:ascii="Arial" w:hAnsi="Arial"/>
          <w:b w:val="0"/>
          <w:i/>
          <w:sz w:val="19"/>
        </w:rPr>
        <w:t>Claude Fable 5 Promotional Access — Extended to July 12 / Claude Fable 5 Pricing: The July 7 Usage-Credits Switch / Fable 5 Subscription Ends Tomorrow: Per-Token Costs and Who Gets Hit Hardest / Claude Fable 5 Usage Credits: What Changes After July 7, 2026 / Anthropic's Claude Fable 5 Now Requires Pay-Per-Use — Even for Pro Subscribers / Fable 5 Leaves Claude Subscriptions After July 12: What Usage Credits Cost and How to Adapt.</w:t>
      </w:r>
      <w:r>
        <w:rPr>
          <w:rFonts w:ascii="Arial" w:hAnsi="Arial"/>
          <w:b w:val="0"/>
          <w:i w:val="0"/>
          <w:sz w:val="19"/>
        </w:rPr>
        <w:t xml:space="preserve"> Umstellung der </w:t>
      </w:r>
      <w:r>
        <w:rPr>
          <w:rFonts w:ascii="Arial" w:hAnsi="Arial"/>
          <w:b w:val="0"/>
          <w:i/>
          <w:sz w:val="19"/>
        </w:rPr>
        <w:t>Claude Fable 5</w:t>
      </w:r>
      <w:r>
        <w:rPr>
          <w:rFonts w:ascii="Arial" w:hAnsi="Arial"/>
          <w:b w:val="0"/>
          <w:i w:val="0"/>
          <w:sz w:val="19"/>
        </w:rPr>
        <w:t xml:space="preserve">-Preisstruktur auf Nutzungsguthaben zum 13. Juli 2026 nach Verlängerung des Kontingents auf 12. Juli 2026 (23:59:59 PT): Standardpreis 10 US-Dollar pro Million Input- und 50 US-Dollar pro Million Output-Token; Prompt-Caching senkt Input-Kosten weiterhin um bis zu 90 %; wöchentlicher 50-%-Nutzungsdeckel auf Abonnementplänen bleibt bestehen; Rate entspricht dem doppelten Standardpreis von </w:t>
      </w:r>
      <w:r>
        <w:rPr>
          <w:rFonts w:ascii="Arial" w:hAnsi="Arial"/>
          <w:b w:val="0"/>
          <w:i/>
          <w:sz w:val="19"/>
        </w:rPr>
        <w:t>Claude Opus 4.8</w:t>
      </w:r>
      <w:r>
        <w:rPr>
          <w:rFonts w:ascii="Arial" w:hAnsi="Arial"/>
          <w:b w:val="0"/>
          <w:i w:val="0"/>
          <w:sz w:val="19"/>
        </w:rPr>
        <w:t xml:space="preserve"> (5 / 25 US-Dollar) und ist die höchste je durch Anthropic öffentlich gelistete Kategorie. Ergänzung zur Fable-5-Episode (§ 4.5): Präzisierung der differenzierten Preisdynamik zwischen supply-constrained Frontier-Klasse (aufwärts) und Workhorse-Klasse (abwärts) für § 8.2. https://www.digitalapplied.com/blog/anthropic-fable-5-access-extended-july-12-2026 | https://www.digitalapplied.com/blog/claude-fable-5-usage-credits-july-7-pricing-guide-2026 | https://www.techtimes.com/articles/319767/20260706/fable-5-subscription-ends-tomorrow-per-token-costs-who-gets-hit-hardest.htm | https://codersera.com/blog/claude-fable-5-usage-credits-july-2026/ | https://www.androidheadlines.com/2026/07/claude-fable-5-drops-subscriptions-pay-per-use-credits.html | https://www.webvise.io/blog/fable-5-leaves-subscriptions-usage-credits</w:t>
      </w:r>
    </w:p>
    <w:p>
      <w:pPr>
        <w:jc w:val="both"/>
      </w:pPr>
      <w:r>
        <w:rPr>
          <w:rFonts w:ascii="Arial" w:hAnsi="Arial"/>
          <w:b w:val="0"/>
          <w:i w:val="0"/>
          <w:sz w:val="19"/>
        </w:rPr>
        <w:t xml:space="preserve">Financial Times / CNBC / Fortune / Forbes / TechCrunch / Technology.org / TheAIInsider. (2./3. Juli 2026). </w:t>
      </w:r>
      <w:r>
        <w:rPr>
          <w:rFonts w:ascii="Arial" w:hAnsi="Arial"/>
          <w:b w:val="0"/>
          <w:i/>
          <w:sz w:val="19"/>
        </w:rPr>
        <w:t>OpenAI proposes handing 5 % of its equity to a US sovereign wealth fund / OpenAI proposes 5 % stake to Trump administration to ease Washington pressure / OpenAI Proposes Handing 5 % of Its Equity to a U.S. Sovereign Wealth Fund / OpenAI Reportedly Pitches Granting U.S. Government 5 % Stake / OpenAI proposed donating 5 % of its equity to a US sovereign wealth fund / OpenAI's Altman Proposes 5 % Equity Stake in U.S. Sovereign Wealth Fund Amid Broader AI Ownership Debate.</w:t>
      </w:r>
      <w:r>
        <w:rPr>
          <w:rFonts w:ascii="Arial" w:hAnsi="Arial"/>
          <w:b w:val="0"/>
          <w:i w:val="0"/>
          <w:sz w:val="19"/>
        </w:rPr>
        <w:t xml:space="preserve"> Berichterstattung zu Sam Altmans Vorschlag, 5 % der OpenAI-Anteile (~42,6 Mrd. USD bei $852 Mrd. Bewertung März 2026) an einen US-Souveränen KI-Beteiligungsfonds nach dem Modell </w:t>
      </w:r>
      <w:r>
        <w:rPr>
          <w:rFonts w:ascii="Arial" w:hAnsi="Arial"/>
          <w:b w:val="0"/>
          <w:i/>
          <w:sz w:val="19"/>
        </w:rPr>
        <w:t>Alaska Permanent Fund</w:t>
      </w:r>
      <w:r>
        <w:rPr>
          <w:rFonts w:ascii="Arial" w:hAnsi="Arial"/>
          <w:b w:val="0"/>
          <w:i w:val="0"/>
          <w:sz w:val="19"/>
        </w:rPr>
        <w:t xml:space="preserve"> abzutreten und andere führende US-Anbieter (Anthropic, Alphabet/Google, Meta, xAI) zu einer spiegelbildlichen 5-%-Beteiligung einzuladen; informelle Gespräche mit Präsident Trump, Handelsminister Howard Lutnick und Finanzminister Scott Bessent; direkter Bezugspunkt zum am 18. Juni 2026 eingebrachten </w:t>
      </w:r>
      <w:r>
        <w:rPr>
          <w:rFonts w:ascii="Arial" w:hAnsi="Arial"/>
          <w:b w:val="0"/>
          <w:i/>
          <w:sz w:val="19"/>
        </w:rPr>
        <w:t>American A.I. Sovereign Wealth Fund Act</w:t>
      </w:r>
      <w:r>
        <w:rPr>
          <w:rFonts w:ascii="Arial" w:hAnsi="Arial"/>
          <w:b w:val="0"/>
          <w:i w:val="0"/>
          <w:sz w:val="19"/>
        </w:rPr>
        <w:t xml:space="preserve"> (S. 4825, 50 % Zwangsabgabe). Konzeptioneller Konter- und Ergänzungsvorschlag für § 4.5. https://techcrunch.com/2026/07/02/openai-proposed-donating-5-of-its-equity-to-a-us-sovereign-wealth-fund/ | https://www.cnbc.com/2026/07/02/openai-proposes-us-government-own-5percent-stake-to-address-political-blowback.html | https://www.forbes.com/sites/siladityaray/2026/07/02/openai-reportedly-pitches-granting-us-government-5-stake/ | https://www.technology.org/2026/07/03/openai-5-percent-us-sovereign-wealth-fund/ | https://theaiinsider.tech/2026/07/03/openais-altman-proposes-5-equity-stake-in-u-s-sovereign-wealth-fund-amid-broader-ai-ownership-debate/</w:t>
      </w:r>
    </w:p>
    <w:p>
      <w:pPr>
        <w:jc w:val="both"/>
      </w:pPr>
      <w:r>
        <w:rPr>
          <w:rFonts w:ascii="Arial" w:hAnsi="Arial"/>
          <w:b w:val="0"/>
          <w:i w:val="0"/>
          <w:sz w:val="19"/>
        </w:rPr>
        <w:t xml:space="preserve">Bundesrat / Deutsches Ärzteblatt / DATEV-Magazin / STB Treuhand / ZDFheute. (10. Juli 2026). </w:t>
      </w:r>
      <w:r>
        <w:rPr>
          <w:rFonts w:ascii="Arial" w:hAnsi="Arial"/>
          <w:b w:val="0"/>
          <w:i/>
          <w:sz w:val="19"/>
        </w:rPr>
        <w:t>GKV-Reform passiert Bundesrat, Entlastung für Kliniken und Pharma versprochen / Bundesrat billigt Reform der gesetzlichen Krankenkassen / Beschlüsse aus Berlin: Von Gesundheitsreform bis E-Scooter-Regeln.</w:t>
      </w:r>
      <w:r>
        <w:rPr>
          <w:rFonts w:ascii="Arial" w:hAnsi="Arial"/>
          <w:b w:val="0"/>
          <w:i w:val="0"/>
          <w:sz w:val="19"/>
        </w:rPr>
        <w:t xml:space="preserve"> Zweiter Bundesratsdurchgang des </w:t>
      </w:r>
      <w:r>
        <w:rPr>
          <w:rFonts w:ascii="Arial" w:hAnsi="Arial"/>
          <w:b w:val="0"/>
          <w:i/>
          <w:sz w:val="19"/>
        </w:rPr>
        <w:t>GKV-Beitragssatzstabilisierungsgesetzes</w:t>
      </w:r>
      <w:r>
        <w:rPr>
          <w:rFonts w:ascii="Arial" w:hAnsi="Arial"/>
          <w:b w:val="0"/>
          <w:i w:val="0"/>
          <w:sz w:val="19"/>
        </w:rPr>
        <w:t xml:space="preserve"> am 10. Juli 2026; der von sechs Ländern (Saarland, Bremen, Hamburg, Mecklenburg-Vorpommern, Niedersachsen, Sachsen-Anhalt) gestellte Antrag auf Anrufung des Vermittlungsausschusses scheitert an der Zweidrittelmehrheit; Bundesregierung sichert in Protokollerklärung Zugeständnisse zu (~550 Mio. EUR zusätzliche Krankenhausmittel — davon 100 Mio. EUR Universitätskliniken ab 2027 und 450 Mio. EUR erhöhter Rechnungszuschlag —, Angleichung der Kostenaufwuchsgrenze 2027–2029, Abbau PPR 2.0 und Pflegepersonaluntergrenzen, Ausnahmen vom 15,5-%-Herstellerabschlag bis Januar 2027, interministerielles Fachgremium bis Ende September 2026). Vervollständigt den Gesetzgebungspfad der GKV-Reform in § 5.2. https://www.aerzteblatt.de/news/gkv-reform-passiert-bundesrat-entlastung-fur-kliniken-und-pharma-versprochen-9999ba6d-930c-46a0-b239-34417cf620ec | https://www.datev-magazin.de/nachrichten-steuern-recht/recht/bundesrat-billigt-reform-der-gesetzlichen-krankenkassen-147794 | https://stb-treuhand.de/blog/bundesrat-billigt-reform-der-gesetzlichen-krankenkassen/ | https://www.zdfheute.de/politik/deutschland/bundestag-bundesrat-entscheidungen-ueberblick-100.html</w:t>
      </w:r>
    </w:p>
    <w:p>
      <w:pPr>
        <w:jc w:val="both"/>
      </w:pPr>
      <w:r>
        <w:rPr>
          <w:rFonts w:ascii="Arial" w:hAnsi="Arial"/>
          <w:b w:val="0"/>
          <w:i w:val="0"/>
          <w:sz w:val="19"/>
        </w:rPr>
        <w:t xml:space="preserve">Bundestag (BT-Drs. Kalenderwoche 28) / BMG / Pharma Deutschland / abgeordnetenwatch / transkript. (10. Juli 2026). </w:t>
      </w:r>
      <w:r>
        <w:rPr>
          <w:rFonts w:ascii="Arial" w:hAnsi="Arial"/>
          <w:b w:val="0"/>
          <w:i/>
          <w:sz w:val="19"/>
        </w:rPr>
        <w:t>Bundestag verabschiedet GKV-Beitragssatzstabilisierungsgesetz — 2./3. Lesung; namentliche Abstimmung 318 zu 284 Stimmen / Bundestag beschließt GKV-Beitragssatzstabilisierungsgesetz.</w:t>
      </w:r>
      <w:r>
        <w:rPr>
          <w:rFonts w:ascii="Arial" w:hAnsi="Arial"/>
          <w:b w:val="0"/>
          <w:i w:val="0"/>
          <w:sz w:val="19"/>
        </w:rPr>
        <w:t xml:space="preserve"> Zweiter und dritter Lesung des Kabinettsentwurfs vom 29. April 2026 (erste Lesung 12. Juni 2026) mit namentlicher Abstimmung in der 28. Kalenderwoche 2026; Konsolidierungspfad rund 15 bis 19,6 Milliarden Euro für 2027 bis rund 42,8 Milliarden Euro bis 2030; parlamentarische Fortsetzung im zweiten Bundesratsdurchgang angekündigt. Beleg für die Fortsetzung der GKV-Reformschiene in § 5.2. https://www.bundesgesundheitsministerium.de/ministerium/meldungen/bundestag-beschliesst-gkv-beitragssatzstabilisierunggesetz-pm-10-07-2026 | https://www.bundestag.de/dokumente/textarchiv/2026/kw28-de-gkv-1184352 | https://www.pharmadeutschland.de/newsroom/news/gkv-beitragssatzstabilisierungsgesetz-im-bundestag-beschlossen/ | https://www.abgeordnetenwatch.de/bundestag/21/abstimmungen/gkv-reform | https://transkript.de/artikel/2026/bundestag-beschliesst-gkv-beitragssatzstabilisierungsgesetz/</w:t>
      </w:r>
    </w:p>
    <w:p>
      <w:pPr>
        <w:jc w:val="both"/>
      </w:pPr>
      <w:r>
        <w:rPr>
          <w:rFonts w:ascii="Arial" w:hAnsi="Arial"/>
          <w:b w:val="0"/>
          <w:i w:val="0"/>
          <w:sz w:val="19"/>
        </w:rPr>
        <w:t xml:space="preserve">Apple Inc. v. OpenAI, OpenAI OpCo LLC &amp; io Products, Inc. / Bloomberg / CNBC / Axios / TechCrunch / Engadget / Cybersecurity News. (10. Juli 2026). </w:t>
      </w:r>
      <w:r>
        <w:rPr>
          <w:rFonts w:ascii="Arial" w:hAnsi="Arial"/>
          <w:b w:val="0"/>
          <w:i/>
          <w:sz w:val="19"/>
        </w:rPr>
        <w:t>Complaint filed in the United States District Court for the Northern District of California / Apple sues OpenAI alleging trade secret theft, says scheme was „at every level" / Apple Sues OpenAI for Trade Secret Theft Over AI Hardware Designs / Apple sues OpenAI for trade secret theft / Apple sues OpenAI over alleged trade secret theft / Apple calls OpenAI's hardware business „rotten to its core" in trade secret theft lawsuit / Apple Sues OpenAI and Former Employees for Alleged Theft of Trade Secrets.</w:t>
      </w:r>
      <w:r>
        <w:rPr>
          <w:rFonts w:ascii="Arial" w:hAnsi="Arial"/>
          <w:b w:val="0"/>
          <w:i w:val="0"/>
          <w:sz w:val="19"/>
        </w:rPr>
        <w:t xml:space="preserve"> 41-seitige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wegen systematischer Aneignung von Trade Secrets „at every level, from members of technical staff to its Chief Hardware Officer, and in coordination with business partners"; Apple gibt an, dass über 400 ehemalige Apple-Beschäftigte inzwischen bei OpenAI arbeiten und nennt Show-and-Tell-Interviews mit „actual parts", Fortbestehen eines Apple-Notebooks nach Beschäftigungsende sowie Weitergabe eines Apple-Offboarding-Dokuments zur Umgehung der Exit-Sicherheitskontrollen. Ergänzt die rechtliche Dimension der DeepMind-Talent-Bestandsdimension in § 8.2. https://www.bloomberg.com/news/articles/2026-07-10/apple-sues-openai-for-trade-secret-theft-in-blockbuster-case | https://www.cnbc.com/2026/07/10/apple-openai-lawsuit-trade-secrets.html | https://www.axios.com/2026/07/10/apple-sues-openai-trade-secret-theft | https://techcrunch.com/2026/07/10/apple-sues-openai-over-alleged-trade-secret-theft/ | https://www.engadget.com/2212759/apple-calls-openais-hardware-business-rotten-to-its-core-in-trade-secret-theft-lawsuit/ | https://cybersecuritynews.com/apple-sues-openai/</w:t>
      </w:r>
    </w:p>
    <w:p>
      <w:pPr>
        <w:jc w:val="both"/>
      </w:pPr>
      <w:r>
        <w:rPr>
          <w:rFonts w:ascii="Arial" w:hAnsi="Arial"/>
          <w:b w:val="0"/>
          <w:i w:val="0"/>
          <w:sz w:val="19"/>
        </w:rPr>
        <w:t xml:space="preserve">SpaceXAI / Bloomberg / TechCrunch / Axios / MarkTechPost / Memeburn / FourWeekMBA / Cursor. (8. Juli 2026). </w:t>
      </w:r>
      <w:r>
        <w:rPr>
          <w:rFonts w:ascii="Arial" w:hAnsi="Arial"/>
          <w:b w:val="0"/>
          <w:i/>
          <w:sz w:val="19"/>
        </w:rPr>
        <w:t>Introducing Grok 4.5 · Cursor / SpaceXAI Releases Grok 4.5, a Cursor-Trained Model for Coding, Agentic Tasks, and Knowledge Work at $2/M Input / SpaceXAI, Cursor Launch Grok 4.5 AI Model for Finance, Legal Applications / SpaceXAI releases Grok 4.5, which Elon describes as an 'Opus-class model' / Scoop: Musk's SpaceXAI releases new model, Grok 4.5 / Grok 4.5 Launches With Budget Pricing and Cursor Integration / Cursor Grok 4.5 Pricing: $2 Cost &amp; Opus-Class Power.</w:t>
      </w:r>
      <w:r>
        <w:rPr>
          <w:rFonts w:ascii="Arial" w:hAnsi="Arial"/>
          <w:b w:val="0"/>
          <w:i w:val="0"/>
          <w:sz w:val="19"/>
        </w:rPr>
        <w:t xml:space="preserve"> Öffentliche Freigabe des gemeinsam mit Cursor trainierten Mixture-of-Experts-Modells </w:t>
      </w:r>
      <w:r>
        <w:rPr>
          <w:rFonts w:ascii="Arial" w:hAnsi="Arial"/>
          <w:b w:val="0"/>
          <w:i/>
          <w:sz w:val="19"/>
        </w:rPr>
        <w:t>Grok 4.5</w:t>
      </w:r>
      <w:r>
        <w:rPr>
          <w:rFonts w:ascii="Arial" w:hAnsi="Arial"/>
          <w:b w:val="0"/>
          <w:i w:val="0"/>
          <w:sz w:val="19"/>
        </w:rPr>
        <w:t xml:space="preserve"> aus dem SpaceX-Konzernverbund über Grok Build, Cursor und SpaceXAI-API zum 8. Juli 2026; API-Preise 2 US-Dollar Input / 6 US-Dollar Output pro Million Token für die Standardvariante, 4 / 18 US-Dollar für die schnellere Variante, Cache-Read 0,50 US-Dollar; „Opus-Klasse"-Positionierung durch Elon Musk. Beleg für die Preisspreizung an der US-Frontier zwischen supply-constrained Frontier-Klasse und Workhorse-Klasse (§ 8.2). https://cursor.com/blog/grok-4-5 | https://www.marktechpost.com/2026/07/08/spacexai-releases-grok-4-5/ | https://www.bloomberg.com/news/articles/2026-07-08/spacexai-cursor-unveil-grok-ai-model-for-legal-finance-tasks | https://techcrunch.com/2026/07/08/spacexai-releases-grok-4-5-which-elon-describes-as-an-opus-class-model/ | https://www.axios.com/2026/07/08/spacexai-grok-new-model</w:t>
      </w:r>
    </w:p>
    <w:p>
      <w:pPr>
        <w:jc w:val="both"/>
      </w:pPr>
      <w:r>
        <w:rPr>
          <w:rFonts w:ascii="Arial" w:hAnsi="Arial"/>
          <w:b w:val="0"/>
          <w:i w:val="0"/>
          <w:sz w:val="19"/>
        </w:rPr>
        <w:t xml:space="preserve">The Register / TechTimes / Reuters. (14. Juli 2026). </w:t>
      </w:r>
      <w:r>
        <w:rPr>
          <w:rFonts w:ascii="Arial" w:hAnsi="Arial"/>
          <w:b w:val="0"/>
          <w:i/>
          <w:sz w:val="19"/>
        </w:rPr>
        <w:t>Musk promises purge after Grok Build caught sending entire repos to the cloud / Grok Build Shipped Entire Codebases to xAI Cloud; Privacy Toggle Did Nothing / Grok 4.5 tops Long-Horizon Terminal-Bench.</w:t>
      </w:r>
      <w:r>
        <w:rPr>
          <w:rFonts w:ascii="Arial" w:hAnsi="Arial"/>
          <w:b w:val="0"/>
          <w:i w:val="0"/>
          <w:sz w:val="19"/>
        </w:rPr>
        <w:t xml:space="preserve"> Bericht­erstattung zum unautorisierten Upload ganzer Nutzer-Codebasen aus Grok Build in die SpaceXAI-Cloud (Server-Abschaltung nach Frontpage-Meldung Hacker News; öffentliche Zusage der vollständigen Löschung) und zur Bench-Führung von Grok 4.5 im Long-Horizon Terminal-Bench. Ergänzt die in § 8.2 dokumentierten Robustheits­anforderungen an importierte Frontier-Modelle (§ 8.3). https://www.theregister.com/ai-and-ml/2026/07/14/musk-promises-purge-after-grok-build-caught-sending-entire-repos-to-the-cloud/5271123 | https://www.techtimes.com/articles/320420/20260714/grok-build-shipped-entire-codebases-xai-cloud-privacy-toggle-did-nothing.htm</w:t>
      </w:r>
    </w:p>
    <w:p>
      <w:pPr>
        <w:jc w:val="both"/>
      </w:pPr>
      <w:r>
        <w:rPr>
          <w:rFonts w:ascii="Arial" w:hAnsi="Arial"/>
          <w:b w:val="0"/>
          <w:i w:val="0"/>
          <w:sz w:val="19"/>
        </w:rPr>
        <w:t xml:space="preserve">TechCrunch (Bellan). (14. Juli 2026). </w:t>
      </w:r>
      <w:r>
        <w:rPr>
          <w:rFonts w:ascii="Arial" w:hAnsi="Arial"/>
          <w:b w:val="0"/>
          <w:i/>
          <w:sz w:val="19"/>
        </w:rPr>
        <w:t>The real AI race may no longer be at the frontier.</w:t>
      </w:r>
      <w:r>
        <w:rPr>
          <w:rFonts w:ascii="Arial" w:hAnsi="Arial"/>
          <w:b w:val="0"/>
          <w:i w:val="0"/>
          <w:sz w:val="19"/>
        </w:rPr>
        <w:t xml:space="preserve"> Marktstruktur-Beitrag mit Zahlen zur Verlagerung produktiver KI-Nutzung auf Open-Weight-Modelle: rund 41 % der Hugging-Face-Modell-Downloads im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(Tencent, Xiaomi, DeepSeek, MiniMax, Z.ai) Open-Weight-basiert, </w:t>
      </w:r>
      <w:r>
        <w:rPr>
          <w:rFonts w:ascii="Arial" w:hAnsi="Arial"/>
          <w:b w:val="0"/>
          <w:i/>
          <w:sz w:val="19"/>
        </w:rPr>
        <w:t>Claude Opus 4.7</w:t>
      </w:r>
      <w:r>
        <w:rPr>
          <w:rFonts w:ascii="Arial" w:hAnsi="Arial"/>
          <w:b w:val="0"/>
          <w:i w:val="0"/>
          <w:sz w:val="19"/>
        </w:rPr>
        <w:t xml:space="preserve"> nur auf Platz 7; drei Millionen öffentlich gelistete Modelle auf Hugging Face; Zitate von Hugging-Face-CEO Clem Delangue und Microsoft-CEO Satya Nadella. Ergänzt die Rohstoff-Analogie um die Marktverschiebung der produktiven Nutzung (§ 8.2) und stützt die Veredelungslogik der Deutschland-These (§ 8.3). https://techcrunch.com/2026/07/14/the-real-ai-race-may-no-longer-be-at-the-frontier-open-models-hugging-face/</w:t>
      </w:r>
    </w:p>
    <w:p>
      <w:pPr>
        <w:jc w:val="both"/>
      </w:pPr>
      <w:r>
        <w:rPr>
          <w:rFonts w:ascii="Arial" w:hAnsi="Arial"/>
          <w:b w:val="0"/>
          <w:i w:val="0"/>
          <w:sz w:val="19"/>
        </w:rPr>
        <w:t xml:space="preserve">Bloomberg / Moonberg / Polymarket / GuruFocus. (15. Juli 2026). </w:t>
      </w:r>
      <w:r>
        <w:rPr>
          <w:rFonts w:ascii="Arial" w:hAnsi="Arial"/>
          <w:b w:val="0"/>
          <w:i/>
          <w:sz w:val="19"/>
        </w:rPr>
        <w:t>Anthropic Is Said to Plan IPO Investor Meetings as Listing Nears / Anthropic stock: valuation &amp; IPO odds 2026 / Anthropic Prepares for Potential IPO, Outpacing OpenAI / Anthropic IPO by __? Predictions &amp; Odds 2026.</w:t>
      </w:r>
      <w:r>
        <w:rPr>
          <w:rFonts w:ascii="Arial" w:hAnsi="Arial"/>
          <w:b w:val="0"/>
          <w:i w:val="0"/>
          <w:sz w:val="19"/>
        </w:rPr>
        <w:t xml:space="preserve"> Vorbereitung einer IPO-Investoren­meetings-Serie durch Anthropic; Sekundärmarkt-Bewertung 1,11–1,14 Bio. USD (Stand 14. Juli 2026); Prognose­plattform-Wahrscheinlichkeiten für IPO-Ticker $ANTH 46–48 %, IPO im Q4 2026 rund 78 %, Lead-Underwriter Goldman Sachs 52–55 %; erwartetes Emissions­volumen &gt; 60 Mrd. USD. Aufnahme in § 5.4 mit Rückwirkung auf § 8.3 (fiskalische Volatilität bestands­orientierter Umverteilungs­logik). https://moonberg.xyz/anthropic/ | https://polymarket.com/event/anthropic-ipo-by | https://www.gurufocus.com/news/8960658/anthropic-prepares-for-potential-ipo-outpacing-openai</w:t>
      </w:r>
    </w:p>
    <w:p>
      <w:pPr>
        <w:jc w:val="both"/>
      </w:pPr>
      <w:r>
        <w:rPr>
          <w:rFonts w:ascii="Arial" w:hAnsi="Arial"/>
          <w:b w:val="0"/>
          <w:i w:val="0"/>
          <w:sz w:val="19"/>
        </w:rPr>
        <w:t xml:space="preserve">Alphabet Inc. / CNBC / Investing.com / TheStreet / Yahoo Finance / The Motley Fool. (22.–23. Juli 2026). </w:t>
      </w:r>
      <w:r>
        <w:rPr>
          <w:rFonts w:ascii="Arial" w:hAnsi="Arial"/>
          <w:b w:val="0"/>
          <w:i/>
          <w:sz w:val="19"/>
        </w:rPr>
        <w:t>Alphabet earnings takeaways: Q2 revenue beats, GOOGL stock sinks on 2026 capex hike / Earnings call transcript: Alphabet beats Q2 2026 estimates, shares fall on capex surge / Alphabet Inc. Q2 2026 Earnings Call: Recap of $GOOGL Earnings, Outlook / Alphabet nearly doubles capital spending as AI push powers Q2 growth / Alphabet Inc (GOOG) Q2 2026 Earnings Call Highlights: Record Revenue Growth and AI Innovations.</w:t>
      </w:r>
      <w:r>
        <w:rPr>
          <w:rFonts w:ascii="Arial" w:hAnsi="Arial"/>
          <w:b w:val="0"/>
          <w:i w:val="0"/>
          <w:sz w:val="19"/>
        </w:rPr>
        <w:t xml:space="preserve"> Konzernumsatz 119,8 Mrd. USD (+24 % gegenüber Vorjahr); Google-Cloud-Umsatz 24,8 Mrd. USD (+82 %) mit Auftragsbestand 514 Mrd. USD und Pichai-Zitat, existierende Kunden überträfen ihre Verpflichtungen um mehr als 50 %; operatives Ergebnis +30 %, operative Marge 34 %; verwässertes Ergebnis je Aktie 9,11 USD (Konsens 2,88 USD). Q2-2026-Kapitalausgaben 44,9 Mrd. USD (Q1 2026: 36 Mrd. USD); Free Cashflow Q2 −5,9 Mrd. USD (erstmals negativ seit ~10 Jahren); rund 60 % der Capex in Server, 40 % in Rechenzentren/Netzwerk. Full-Year-Capex-Guidance 2026 von zuvor 180–190 Mrd. USD auf 195–205 Mrd. USD angehoben (+15 Mrd. USD in einem Quartal). Nach-börsliche Aktienreaktion rund −7 %. Aufnahme in § 1.1 und § 8.2 als Verdichtung der Compute-Rohstoff-Konzentrations- und Nachfrage­überhitzungs-These sowie als weiteres Datum der Asymmetrie zwischen Personalreduktion und Capex-Ausbau. https://www.cnbc.com/2026/07/22/google-earnings-q2-goog-live-updates.html | https://www.investing.com/news/earnings/alphabet-nearly-doubles-capital-spending-as-ai-push-powers-q2-growth-4806860 | https://www.thestreet.com/latest-news/alphabet-inc-googl-q2-2026-earnings-call-updates | https://finance.yahoo.com/technology/ai/articles/alphabet-inc-goog-q2-2026-050111614.html</w:t>
      </w:r>
    </w:p>
    <w:p>
      <w:pPr>
        <w:jc w:val="both"/>
      </w:pPr>
      <w:r>
        <w:rPr>
          <w:rFonts w:ascii="Arial" w:hAnsi="Arial"/>
          <w:b w:val="0"/>
          <w:i w:val="0"/>
          <w:sz w:val="19"/>
        </w:rPr>
        <w:t xml:space="preserve">Intel Corp. / Yahoo Finance / CNBC / BigGo Finance / TradingKey / Shane the Gamer. (23. Juli 2026). </w:t>
      </w:r>
      <w:r>
        <w:rPr>
          <w:rFonts w:ascii="Arial" w:hAnsi="Arial"/>
          <w:b w:val="0"/>
          <w:i/>
          <w:sz w:val="19"/>
        </w:rPr>
        <w:t>Intel Q2 2026 earnings: revenue up 25%, fastest growth since 2011 / Intel (INTC) earnings report Q2 2026 / Intel Q2 Earnings Call Highlights / [INTC Q2 2026 Earnings Call] Intel Blows Past Estimates with $16.1B Revenue, Record Server Growth 59% on AI Boom; CapEx Surge to Over $20B / Intel Q2 Net Profit Swings to Profit YoY, Adjusted EPS Doubles Estimates / Intel Q2 Earnings Crush Forecasts, Stock Jumps on AI-Fuelled Chip Demand.</w:t>
      </w:r>
      <w:r>
        <w:rPr>
          <w:rFonts w:ascii="Arial" w:hAnsi="Arial"/>
          <w:b w:val="0"/>
          <w:i w:val="0"/>
          <w:sz w:val="19"/>
        </w:rPr>
        <w:t xml:space="preserve"> Konzernumsatz 16,1 Mrd. USD (+25 % gegenüber Vorjahr; stärkstes Quartalswachstum seit über 15 Jahren); Segment Data Center and AI +59 % auf 6,3 Mrd. USD; Client Computing +13 % auf 8,9 Mrd. USD (AI-PCs rund zwei Drittel des Umsatzes); Foundry +31 % auf 5,8 Mrd. USD. Non-GAAP-EPS 0,42 USD gegenüber 0,20 USD Konzern-Guidance; Bruttomarge 41,8 % (+2,8 Pp. über Guidance); GAAP-Ergebnis −2,16 USD je Aktie infolge eines einmaligen 12,5 Mrd. USD Mark-to-Market-Verlusts auf treuhänderisch gehaltene CHIPS-Act-Anteile; operativer Cashflow 7 Mrd. USD. Konzernaussage: „AI-driven compute continues to strengthen" (CFO Dave Zinsner); Server-Produkt-Bestellungen können gegenwärtig nicht vollständig erfüllt werden, 10 langfristige Verträge mit Server-CPU-Großkunden geschlossen. Full-Year-Capex-Guidance 2026 von rund 17 auf über 20 Mrd. USD angehoben; 2027 „significantly above" 2026-Niveau projiziert; Tooling-Ausgaben +40 %. Q3-2026-Guidance: 15,8–16,8 Mrd. USD Umsatz, 42 % Bruttomarge, 0,38 USD Non-GAAP-EPS. Aufnahme in § 1.1 und § 8.2 als Hardware-seitige Bestätigung der Compute-Nachfrage­überhitzung und als Fortschreibung der Capex-Ausweitungs-Diagnose. https://finance.yahoo.com/markets/stocks/articles/intel-q2-2026-earnings-revenue-205531105.html | https://www.cnbc.com/2026/07/23/intel-intc-earnings-report-q2-2026.html | https://finance.biggo.com/news/US_INTC_2026-07-23 | https://www.tradingkey.com/analysis/stocks/us-stocks/262050823-intel-earnings-report-q2-2026-intc-ai-data-center-intel-foundry-tradingkey</w:t>
      </w:r>
    </w:p>
    <w:p>
      <w:pPr>
        <w:jc w:val="both"/>
      </w:pPr>
      <w:r>
        <w:rPr>
          <w:rFonts w:ascii="Arial" w:hAnsi="Arial"/>
          <w:b w:val="0"/>
          <w:i w:val="0"/>
          <w:sz w:val="19"/>
        </w:rPr>
        <w:t xml:space="preserve">Intel Corp. (WARN-Notice) / KATU / KOIN / KGW / Data Center Dynamics / byteiota. (15. Juli 2026). </w:t>
      </w:r>
      <w:r>
        <w:rPr>
          <w:rFonts w:ascii="Arial" w:hAnsi="Arial"/>
          <w:b w:val="0"/>
          <w:i/>
          <w:sz w:val="19"/>
        </w:rPr>
        <w:t>Intel now to lay off nearly 2,400 employees in Oregon / Intel layoffs: Tech giant now expected to lay off over 2K Oregon workers / Intel to lay off nearly 530 workers in Oregon starting in July / Fresh Intel layoffs impact almost 2,400 Oregon workers, more cuts expected globally / Intel Layoffs Jump 5x to 2,400 Workers in 2026 Chip Crisis.</w:t>
      </w:r>
      <w:r>
        <w:rPr>
          <w:rFonts w:ascii="Arial" w:hAnsi="Arial"/>
          <w:b w:val="0"/>
          <w:i w:val="0"/>
          <w:sz w:val="19"/>
        </w:rPr>
        <w:t xml:space="preserve"> Manufacturing-Layoff-Runde mit Wirksamkeit zum 15. Juli 2026 an vier Oregon-Standorten (Aloha, Ronler Acres, Hawthorne Farms, Jones Farm); 2.392 Beschäftigte, davon 412 Module Equipment Technicians, 307 Module Development Engineers, 148 Module Engineers plus Process Integration Engineers und Manufacturing Technicians; neun Wochen Gehalt und Leistungen; Restrukturierungs­kontext CEO Lip-Bu Tan (Personalbestand ~125.000 → unter 100.000, +1 Mrd. USD Betriebskosten­kürzung 2026); Foundry-Verlust ~3 Mrd. USD Q2 2025; AI-Chip-Marktanteil Intel ~1 % vs. NVIDIA ~92 %. Aufnahme in § 1.1 als Hardware-seitige Personalreduktion und Ergänzung zur Asymmetrie Hyperscaler-Capex/Personalreduktion (§ 8.2). https://katu.com/news/local/intel-now-to-lay-off-nearly-2400-employees-in-oregon | https://www.koin.com/local/washington-county/intel-now-expected-to-lay-off-over-2000-oregon-employees/ | https://www.kgw.com/article/money/business/intel-layoff-nearly-530-people-oregon-july-start/283-4fb7e7f8-3d58-4753-9bd1-1d058d1f7f9c | https://byteiota.com/intel-layoffs-jump-5x-to-2400-workers-in-2026-chip-crisis/</w:t>
      </w:r>
    </w:p>
    <w:p>
      <w:pPr>
        <w:jc w:val="both"/>
      </w:pPr>
      <w:r>
        <w:rPr>
          <w:rFonts w:ascii="Arial" w:hAnsi="Arial"/>
          <w:b w:val="0"/>
          <w:i w:val="0"/>
          <w:sz w:val="19"/>
        </w:rPr>
        <w:t xml:space="preserve">Thomson Reuters / Reuters / Silicon Republic / US News / The Next Web / Seeking Alpha / GuruFocus. (13. Juli 2026). </w:t>
      </w:r>
      <w:r>
        <w:rPr>
          <w:rFonts w:ascii="Arial" w:hAnsi="Arial"/>
          <w:b w:val="0"/>
          <w:i/>
          <w:sz w:val="19"/>
        </w:rPr>
        <w:t>Thomson Reuters cuts 500 jobs as AI adoption deepens / Thomson Reuters to cut up to 500 engineering roles: report / Thomson Reuters to Cut 'Small Number' of Engineering Jobs / Thomson Reuters is cutting engineers and hiring AI-native ones / Thomson Reuters (TRI) to Cut 500 Engineering Jobs Amid AI Expansion.</w:t>
      </w:r>
      <w:r>
        <w:rPr>
          <w:rFonts w:ascii="Arial" w:hAnsi="Arial"/>
          <w:b w:val="0"/>
          <w:i w:val="0"/>
          <w:sz w:val="19"/>
        </w:rPr>
        <w:t xml:space="preserve"> Konzernmitteilung zu einer Reduktion von bis zu 500 Engineering-Stellen (rund 1,8 % der weltweit 27.100 Beschäftigten, rund 5,2 % der 9.400 Beschäftigten in der Operations-and-Technology-Division); explizite Umschichtung „hin zu KI-nativen Rollen" bei zugleich Q1-FY-2026-Umsatzplus von rund 10 %. Aufnahme in § 1.1 als weitere Illustration der Ausweitung der KI-Restrukturierung auf Legal-/Tax-/Regulatory-Segmentanbieter. https://www.siliconrepublic.com/business/reuters-ai-job-cuts-thomson-engineering-technology | https://seekingalpha.com/news/4613381-thomson-reuters-to-cut-up-to-500-engineering-roles | https://money.usnews.com/investing/news/articles/2026-07-13/thomson-reuters-to-cut-small-number-of-engineering-jobs | https://thenextweb.com/news/thomson-reuters-engineering-layoffs-ai | https://www.gurufocus.com/news/8956161/thomson-reuters-tri-to-cut-500-engineering-jobs-amid-ai-expansion</w:t>
      </w:r>
    </w:p>
    <w:p>
      <w:pPr>
        <w:jc w:val="both"/>
      </w:pPr>
      <w:r>
        <w:rPr>
          <w:rFonts w:ascii="Arial" w:hAnsi="Arial"/>
          <w:b w:val="0"/>
          <w:i w:val="0"/>
          <w:sz w:val="19"/>
        </w:rPr>
        <w:t xml:space="preserve">Sprout Social, Inc. (SEC-8-K) / Crain's Chicago Business / American Bazaar / Investing.com / Stocktitan / Stifel. (15. Juli 2026). </w:t>
      </w:r>
      <w:r>
        <w:rPr>
          <w:rFonts w:ascii="Arial" w:hAnsi="Arial"/>
          <w:b w:val="0"/>
          <w:i/>
          <w:sz w:val="19"/>
        </w:rPr>
        <w:t>Sprout Social cuts 20 % of workforce in restructuring plan / Sprout Social to lay off 20 % of its staff / Sprout Social to cut 260 jobs as AI reshapes software industry / Stifel reiterates Sprout Social stock rating after workforce cuts / Sprout Social (NASDAQ: SPT) cuts 20 % of staff, sees high-end Q2 outlook.</w:t>
      </w:r>
      <w:r>
        <w:rPr>
          <w:rFonts w:ascii="Arial" w:hAnsi="Arial"/>
          <w:b w:val="0"/>
          <w:i w:val="0"/>
          <w:sz w:val="19"/>
        </w:rPr>
        <w:t xml:space="preserve"> SEC-8-K-Meldung zu einer Reduktion von rund 260 Positionen (20 % der Belegschaft), Board-Beschluss 8. Juli 2026, Mitarbeiter-Notifikation ab 15. Juli 2026; Restrukturierungs­aufwand 18–20 Mio. USD (überwiegend Cash-Abfindungen und Leistungen);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Q2-2026-Vorabergebnis am oberen Rand der bisherigen Bandbreite (endgültige Zahlen 6. August 2026). Aufnahme in § 1.1 als Enterprise-Software-/SaaS-Beleg für die Ausweitung der KI-Restrukturierung. https://www.stocktitan.net/sec-filings/SPT/8-k-sprout-social-inc-reports-material-event-9b53701928d6.html | https://www.chicagobusiness.com/technology/ccb-sprout-social-layoffs-ai-20260715/ | https://americanbazaaronline.com/2026/07/15/sprout-social-to-cut-260-jobs-as-ai-reshapes-software-industry-484641/ | https://www.investing.com/news/stock-market-news/sprout-social-cuts-20-of-workforce-in-restructuring-plan-93CH-4793486 | https://www.investing.com/news/analyst-ratings/stifel-reiterates-sprout-social-stock-rating-after-workforce-cuts-93CH-4793837</w:t>
      </w:r>
    </w:p>
    <w:p>
      <w:pPr>
        <w:jc w:val="both"/>
      </w:pPr>
      <w:r>
        <w:rPr>
          <w:rFonts w:ascii="Arial" w:hAnsi="Arial"/>
          <w:b w:val="0"/>
          <w:i w:val="0"/>
          <w:sz w:val="19"/>
        </w:rPr>
        <w:t xml:space="preserve">Google DeepMind / TechTimes / BigGo Finance / HackerNoon / Enterprise DNA / ZoomBangla / Memeburn / Coursiv / Developers Digest / Startup Fortune. (13.–17. Juli 2026). </w:t>
      </w:r>
      <w:r>
        <w:rPr>
          <w:rFonts w:ascii="Arial" w:hAnsi="Arial"/>
          <w:b w:val="0"/>
          <w:i/>
          <w:sz w:val="19"/>
        </w:rPr>
        <w:t>Gemini 3.5 Pro Targets July 17 After Full Rebuild: Every Spec Remains Unconfirmed / Google Delays Gemini 3.5 Pro Launch to July 17 for Full Architectural Rebuild / Gemini 3.5 Pro Launch — 2M Context, Deep Think, Ultra Tier / Google Launches Gemini 3.5 Pro with 2-Million Token Context Window / Gemini 3.5 Pro: 2M Tokens, Deep Think, and the 10x Pricing Problem / Gemini 3.5 Pro Developer Guide: 2M Context Window and Deep Think Mode.</w:t>
      </w:r>
      <w:r>
        <w:rPr>
          <w:rFonts w:ascii="Arial" w:hAnsi="Arial"/>
          <w:b w:val="0"/>
          <w:i w:val="0"/>
          <w:sz w:val="19"/>
        </w:rPr>
        <w:t xml:space="preserve"> Berichterstattung zur Freigabe von </w:t>
      </w:r>
      <w:r>
        <w:rPr>
          <w:rFonts w:ascii="Arial" w:hAnsi="Arial"/>
          <w:b w:val="0"/>
          <w:i/>
          <w:sz w:val="19"/>
        </w:rPr>
        <w:t>Gemini 3.5 Pro</w:t>
      </w:r>
      <w:r>
        <w:rPr>
          <w:rFonts w:ascii="Arial" w:hAnsi="Arial"/>
          <w:b w:val="0"/>
          <w:i w:val="0"/>
          <w:sz w:val="19"/>
        </w:rPr>
        <w:t xml:space="preserve"> zum 17. Juli 2026 nach Vollumbau der Gemini-2.5-Pro-Basisarchitektur;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(250 US-Dollar / Monat), autonomes Werkzeug- und Coding-Verhalten; Zeitpunkt und Spezifikationen zum Stand der Berichterstattung nicht durch offizielle Google-Mitteilung bestätigt (Konjunktiv). Aufnahme in § 8.2 als weitere Frontier-Freigabe im Juli-2026-Zeitfenster und als Beispiel der Preisspreizung am oberen Rand (250 USD/Monat </w:t>
      </w:r>
      <w:r>
        <w:rPr>
          <w:rFonts w:ascii="Arial" w:hAnsi="Arial"/>
          <w:b w:val="0"/>
          <w:i/>
          <w:sz w:val="19"/>
        </w:rPr>
        <w:t>Deep Think</w:t>
      </w:r>
      <w:r>
        <w:rPr>
          <w:rFonts w:ascii="Arial" w:hAnsi="Arial"/>
          <w:b w:val="0"/>
          <w:i w:val="0"/>
          <w:sz w:val="19"/>
        </w:rPr>
        <w:t>). https://www.techtimes.com/articles/320308/20260713/gemini-35-pro-targets-july-17-after-full-rebuild-every-spec-remains-unconfirmed.htm | https://finance.biggo.com/news/6f0c6bb2-795f-4c57-9d09-6db691d7638a | https://hackernoon.com/google-delays-gemini-35-pro-to-july-17-the-strategic-play-behind-the-scrapped-base-model | https://enterprisedna.co/resources/news/gemini-35-pro-july-17-rebuild-vs-deepseek-v4-2026/ | https://inews.zoombangla.com/google-gemini-3-5-pro-launch-july-2026/ | https://memeburn.com/gemini-3-5-pro-targets-july-17-with-2m-token-context/ | https://coursiv.io/blog/gemini-3-5-pro | https://www.developersdigest.tech/blog/gemini-3-5-pro-developer-guide-2026 | https://startupfortune.com/google-delays-gemini-35-pro-launch-to-july-17-after-scrapping-its-base-model/</w:t>
      </w:r>
    </w:p>
    <w:p>
      <w:pPr>
        <w:jc w:val="both"/>
      </w:pPr>
      <w:r>
        <w:rPr>
          <w:rFonts w:ascii="Arial" w:hAnsi="Arial"/>
          <w:b w:val="0"/>
          <w:i w:val="0"/>
          <w:sz w:val="19"/>
        </w:rPr>
        <w:t xml:space="preserve">Meta Platforms / Reuters / CNBC / DataCenterDynamics / Yahoo Finance / TechTimes / The Motley Fool. (9./17. Juli 2026). </w:t>
      </w:r>
      <w:r>
        <w:rPr>
          <w:rFonts w:ascii="Arial" w:hAnsi="Arial"/>
          <w:b w:val="0"/>
          <w:i/>
          <w:sz w:val="19"/>
        </w:rPr>
        <w:t>Meta to start production of Iris AI chip in September 2026 / Meta to put AI chip into production in September as it looks to double computing capacity, Reuters reports / Meta's Iris AI Chip Passes Testing: Broadcom Now Designs Chips for Three Rivals / Meta could start production of Iris AI chip in September – report / Broadcom Builds Custom Chips for Google, Meta, Anthropic, and OpenAI.</w:t>
      </w:r>
      <w:r>
        <w:rPr>
          <w:rFonts w:ascii="Arial" w:hAnsi="Arial"/>
          <w:b w:val="0"/>
          <w:i w:val="0"/>
          <w:sz w:val="19"/>
        </w:rPr>
        <w:t xml:space="preserve"> Intern reviewtes Reuters-Memo zur Ankündigung des Meta-V3-MTIA-Chips </w:t>
      </w:r>
      <w:r>
        <w:rPr>
          <w:rFonts w:ascii="Arial" w:hAnsi="Arial"/>
          <w:b w:val="0"/>
          <w:i/>
          <w:sz w:val="19"/>
        </w:rPr>
        <w:t>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mit Serien­fertigung ab September 2026 durch TSMC nach rund sechswöchiger Bug-Testphase; Design­partner </w:t>
      </w:r>
      <w:r>
        <w:rPr>
          <w:rFonts w:ascii="Arial" w:hAnsi="Arial"/>
          <w:b w:val="0"/>
          <w:i/>
          <w:sz w:val="19"/>
        </w:rPr>
        <w:t>Broadcom</w:t>
      </w:r>
      <w:r>
        <w:rPr>
          <w:rFonts w:ascii="Arial" w:hAnsi="Arial"/>
          <w:b w:val="0"/>
          <w:i w:val="0"/>
          <w:sz w:val="19"/>
        </w:rPr>
        <w:t xml:space="preserve"> — parallel Custom-AI-ASIC-Design für Google (</w:t>
      </w:r>
      <w:r>
        <w:rPr>
          <w:rFonts w:ascii="Arial" w:hAnsi="Arial"/>
          <w:b w:val="0"/>
          <w:i/>
          <w:sz w:val="19"/>
        </w:rPr>
        <w:t>TPU</w:t>
      </w:r>
      <w:r>
        <w:rPr>
          <w:rFonts w:ascii="Arial" w:hAnsi="Arial"/>
          <w:b w:val="0"/>
          <w:i w:val="0"/>
          <w:sz w:val="19"/>
        </w:rPr>
        <w:t>), Meta (</w:t>
      </w:r>
      <w:r>
        <w:rPr>
          <w:rFonts w:ascii="Arial" w:hAnsi="Arial"/>
          <w:b w:val="0"/>
          <w:i/>
          <w:sz w:val="19"/>
        </w:rPr>
        <w:t>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mit </w:t>
      </w:r>
      <w:r>
        <w:rPr>
          <w:rFonts w:ascii="Arial" w:hAnsi="Arial"/>
          <w:b w:val="0"/>
          <w:i/>
          <w:sz w:val="19"/>
        </w:rPr>
        <w:t>Broadcom</w:t>
      </w:r>
      <w:r>
        <w:rPr>
          <w:rFonts w:ascii="Arial" w:hAnsi="Arial"/>
          <w:b w:val="0"/>
          <w:i w:val="0"/>
          <w:sz w:val="19"/>
        </w:rPr>
        <w:t xml:space="preserve"> am 24. Juni 2026 vorgestellt); </w:t>
      </w:r>
      <w:r>
        <w:rPr>
          <w:rFonts w:ascii="Arial" w:hAnsi="Arial"/>
          <w:b w:val="0"/>
          <w:i/>
          <w:sz w:val="19"/>
        </w:rPr>
        <w:t>Anthropic</w:t>
      </w:r>
      <w:r>
        <w:rPr>
          <w:rFonts w:ascii="Arial" w:hAnsi="Arial"/>
          <w:b w:val="0"/>
          <w:i w:val="0"/>
          <w:sz w:val="19"/>
        </w:rPr>
        <w:t xml:space="preserve"> verhandelt Anfang Juli 2026 mit </w:t>
      </w:r>
      <w:r>
        <w:rPr>
          <w:rFonts w:ascii="Arial" w:hAnsi="Arial"/>
          <w:b w:val="0"/>
          <w:i/>
          <w:sz w:val="19"/>
        </w:rPr>
        <w:t>Samsung Foundry</w:t>
      </w:r>
      <w:r>
        <w:rPr>
          <w:rFonts w:ascii="Arial" w:hAnsi="Arial"/>
          <w:b w:val="0"/>
          <w:i w:val="0"/>
          <w:sz w:val="19"/>
        </w:rPr>
        <w:t xml:space="preserve"> über einen 2-nm-Custom-Chip,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und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arbeiten mit </w:t>
      </w:r>
      <w:r>
        <w:rPr>
          <w:rFonts w:ascii="Arial" w:hAnsi="Arial"/>
          <w:b w:val="0"/>
          <w:i/>
          <w:sz w:val="19"/>
        </w:rPr>
        <w:t>Marvell</w:t>
      </w:r>
      <w:r>
        <w:rPr>
          <w:rFonts w:ascii="Arial" w:hAnsi="Arial"/>
          <w:b w:val="0"/>
          <w:i w:val="0"/>
          <w:sz w:val="19"/>
        </w:rPr>
        <w:t xml:space="preserve">;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meldet FY-2026-Q2 rund 10,8 Mrd. USD AI-Halbleiter-Umsatz (+143 % gegenüber Vorjahresquartal). Zwei-Stufen-Infrastrukturausbau nach Reuters-Memo: 7 GW Rechenleistung 2026, 14 GW ab 2027. Aufnahme in § 8.2 als Custom-Silicon-Konzentrations­dimension der Rohstoff-Analogie und als zusätzliche Volatilitäts­schicht gegenüber marktkapitalisierungs­bezogenen Zugriffs­modellen (§ 8.3). https://finance.yahoo.com/technology/ai/articles/meta-start-production-iris-ai-122141801.html | https://www.cnbc.com/2026/07/09/meta-to-put-ai-chip-into-production-in-september-report.html | https://www.datacenterdynamics.com/en/news/meta-could-start-production-of-iris-ai-chip-in-september-report/ | https://www.techtimes.com/articles/320839/20260717/metas-iris-ai-chip-passes-testing-broadcom-now-designs-chips-three-rivals.htm | https://finance.yahoo.com/technology/ai/articles/broadcom-builds-custom-chips-google-215000298.html</w:t>
      </w:r>
    </w:p>
    <w:p>
      <w:pPr>
        <w:jc w:val="both"/>
      </w:pPr>
      <w:r>
        <w:rPr>
          <w:rFonts w:ascii="Arial" w:hAnsi="Arial"/>
          <w:b w:val="0"/>
          <w:i w:val="0"/>
          <w:sz w:val="19"/>
        </w:rPr>
        <w:t xml:space="preserve">SkillSyncer. (Stand 19. Juli 2026). </w:t>
      </w:r>
      <w:r>
        <w:rPr>
          <w:rFonts w:ascii="Arial" w:hAnsi="Arial"/>
          <w:b w:val="0"/>
          <w:i/>
          <w:sz w:val="19"/>
        </w:rPr>
        <w:t>2026 Tech Layoffs Tracker — 302 Events, 201.754 Workers, 164 AI-attributed (~54 %).</w:t>
      </w:r>
      <w:r>
        <w:rPr>
          <w:rFonts w:ascii="Arial" w:hAnsi="Arial"/>
          <w:b w:val="0"/>
          <w:i w:val="0"/>
          <w:sz w:val="19"/>
        </w:rPr>
        <w:t xml:space="preserve"> Aktualisierter Tracker­stand: 302 Layoff-Ereignisse mit 201.754 betroffenen Beschäftigten (rund 1.024 Stellen pro Tag); 164 KI-attribuierte Einzel­ereignisse mit rund 168.770 betroffenen Beschäftigten (etwa 54 % der Ereignisse und 84 % der Betroffenen). Fortschreibung des 267/185.894/56%-Stands vom 9. Juli 2026 um +35 Ereignisse (+13 %) und +15.860 Betroffene (+8,5 %); die Aggregat-KI-Kausalquote sinkt tendenziell von 56 auf 54 %, während die Zahl der KI-attribuierten Betroffenen von 156.270 auf 168.770 steigt. Aufnahme in § 1.1 als Aggregat-Beleg der weiterhin beschleunigenden Tech-Restrukturierung und als Präzisierung der KI-Kausalquote (§ 9.1). https://skillsyncer.com/layoffs-tracker</w:t>
      </w:r>
    </w:p>
    <w:p>
      <w:pPr>
        <w:jc w:val="both"/>
      </w:pPr>
      <w:r>
        <w:rPr>
          <w:rFonts w:ascii="Arial" w:hAnsi="Arial"/>
          <w:b w:val="0"/>
          <w:i w:val="0"/>
          <w:sz w:val="19"/>
        </w:rPr>
        <w:t xml:space="preserve">Moonshot AI / VentureBeat / Fortune / TechCrunch / People's Daily Online / Warp2Search / MLQ News / The Decoder / Simon Willison / Decrypt / Techloy / Codersera / kie.ai / Trilogy AI. (16. Juli 2026). </w:t>
      </w:r>
      <w:r>
        <w:rPr>
          <w:rFonts w:ascii="Arial" w:hAnsi="Arial"/>
          <w:b w:val="0"/>
          <w:i/>
          <w:sz w:val="19"/>
        </w:rPr>
        <w:t>Introducing Kimi K3 / China's Moonshot AI releases Kimi K3, the largest open-source model ever, rivaling top U.S. systems / Moonshot's Kimi K3 pushes Chinese AI into Fable-level territory / Moonshot's upcoming Kimi 3 is expected to close the gap with Anthropic's Opus 4.8 / Chinese company releases world's largest open-source AI model / Moonshot AI Releases Kimi K3: First Open 3-Trillion-Parameter-Class AI Model / Moonshot AI Releases Kimi K3, a 2.8-Trillion-Parameter Open-Weight Model Rivaling Top U.S. Systems / Kimis open model K3 nears GPT-5.6 Sol and Fable 5 while signaling the end of super cheap Chinese AI / Kimi K3, and what we can still learn from the pelican benchmark / China's Kimi K3 Is Out—And Beats Claude Fable and GPT 5.6 Sol on Key Benchmarks / Kimi K3 Beats Claude Opus 4.8, But Not Fable 5 or GPT 5.6 Sol / Kimi K3: Specs, Pricing &amp; Release (2026) / Kimi K3 vs Claude: 2.8T Open Model vs Opus 4.8 / Kimi K3 Is Live: Pricing, Benchmarks, and the Wait for Public Weights.</w:t>
      </w:r>
      <w:r>
        <w:rPr>
          <w:rFonts w:ascii="Arial" w:hAnsi="Arial"/>
          <w:b w:val="0"/>
          <w:i w:val="0"/>
          <w:sz w:val="19"/>
        </w:rPr>
        <w:t xml:space="preserve"> Öffentliche Freigabe des Mixture-of-Experts-Modells </w:t>
      </w:r>
      <w:r>
        <w:rPr>
          <w:rFonts w:ascii="Arial" w:hAnsi="Arial"/>
          <w:b w:val="0"/>
          <w:i/>
          <w:sz w:val="19"/>
        </w:rPr>
        <w:t>Kimi K3</w:t>
      </w:r>
      <w:r>
        <w:rPr>
          <w:rFonts w:ascii="Arial" w:hAnsi="Arial"/>
          <w:b w:val="0"/>
          <w:i w:val="0"/>
          <w:sz w:val="19"/>
        </w:rPr>
        <w:t xml:space="preserve"> mit rund 2,8 Billionen Gesamtparametern durch Moonshot AI (Peking) am 16. Juli 2026 als bislang größtes offen zugängliches („first open 3-trillion-parameter-class") KI-Modell;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Open-Weight-Release für den 27. Juli 2026 angekündigt. Artificial-Analysis-Intelligence-Index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OpenAI 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pro Million Input-Token und 15 US-Dollar pro Million Output-Token, Cache-Read 0,30 US-Dollar (90-%-Nachlass) — Preisniveau des </w:t>
      </w:r>
      <w:r>
        <w:rPr>
          <w:rFonts w:ascii="Arial" w:hAnsi="Arial"/>
          <w:b w:val="0"/>
          <w:i/>
          <w:sz w:val="19"/>
        </w:rPr>
        <w:t>Anthropic 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„signaling the end of super cheap Chinese AI"). Aufnahme in § 8.2 als weitere Frontier-Freigabe der Juli-2026-Serie und als Beleg für die Preis-Konvergenz chinesischer Open-Weight-Anbieter Richtung US-Workhorse-Niveau. https://venturebeat.com/technology/chinas-moonshot-ai-releases-kimi-k3-the-largest-open-source-model-ever-rivaling-top-u-s-systems | https://fortune.com/2026/07/16/moonshots-kimi-k3-pushes-chinese-ai-into-fable-level-territory/ | https://techcrunch.com/2026/07/16/moonshots-upcoming-kimi-3-is-expected-to-close-the-gap-with-anthropics-opus-4-8/ | http://en.people.cn/n3/2026/0717/c90000-20478901.html | https://www.warp2search.net/story/moonshot-ai-releases-kimi-k3-first-open-3trillionparameterclass-ai-model | https://mlq.ai/news/moonshot-ai-releases-kimi-k3-a-28-trillion-parameter-open-weight-model-rivaling-top-us-systems/ | https://the-decoder.com/kimis-open-model-k3-nears-gpt-5-6-sol-and-fable-5-while-signaling-the-end-of-super-cheap-chinese-ai/ | https://simonwillison.net/2026/Jul/16/kimi-k3/ | https://decrypt.co/373716/china-kimi-k3-largest-open-source-ai-model-ever-beats-claude-fable-gpt-5-6-sol | https://www.techloy.com/kimi-k3-vs-opus-4-8-fable-5-gpt-5-6-sol/ | https://codersera.com/blog/kimi-k3-complete-guide-2026/ | https://kie.ai/blog/kimi-k3-vs-claude | https://trilogyai.substack.com/p/kimi-k3-is-live-pricing-benchmarks</w:t>
      </w:r>
    </w:p>
    <w:p>
      <w:pPr>
        <w:jc w:val="both"/>
      </w:pPr>
      <w:r>
        <w:rPr>
          <w:rFonts w:ascii="Arial" w:hAnsi="Arial"/>
          <w:b w:val="0"/>
          <w:i w:val="0"/>
          <w:sz w:val="19"/>
        </w:rPr>
        <w:t xml:space="preserve">Meta / Fortune / CNBC / TechCrunch / TechTimes / Quartz / DataCamp / AI Weekly / Storyboard18 / cxotoday. (9. Juli 2026). </w:t>
      </w:r>
      <w:r>
        <w:rPr>
          <w:rFonts w:ascii="Arial" w:hAnsi="Arial"/>
          <w:b w:val="0"/>
          <w:i/>
          <w:sz w:val="19"/>
        </w:rPr>
        <w:t>Introducing Muse Spark 1.1 / Meta releases latest update of AI model Muse Spark as tech giant accelerates AI push under Alexandr Wang / Meta jumps into AI coding market in effort to chase Anthropic and OpenAI / Meta enters the crowded AI coding battle with Muse Spark 1.1 / Meta's Muse Spark 1.1 Opens Paid API at One-Quarter of Anthropic, OpenAI Rates / Meta launches paid Muse Spark 1.1 API to compete with OpenAI, Anthropic / Muse Spark 1.1: Meta's Agentic Model and API / Meta prices Muse Spark 1.1 API at $1.25/$4.25 per M tokens / What is Muse Spark 1.1? Meta's new AI model takes on OpenAI and Anthropic with agentic computing / After SpaceX, Meta Now Launches Muse Spark 1.1 Model, to Begin AI Chip Production in Sept.</w:t>
      </w:r>
      <w:r>
        <w:rPr>
          <w:rFonts w:ascii="Arial" w:hAnsi="Arial"/>
          <w:b w:val="0"/>
          <w:i w:val="0"/>
          <w:sz w:val="19"/>
        </w:rPr>
        <w:t xml:space="preserve"> Öffentliche Freigabe des agentischen Multimodalmodells </w:t>
      </w:r>
      <w:r>
        <w:rPr>
          <w:rFonts w:ascii="Arial" w:hAnsi="Arial"/>
          <w:b w:val="0"/>
          <w:i/>
          <w:sz w:val="19"/>
        </w:rPr>
        <w:t>Muse Spark 1.1</w:t>
      </w:r>
      <w:r>
        <w:rPr>
          <w:rFonts w:ascii="Arial" w:hAnsi="Arial"/>
          <w:b w:val="0"/>
          <w:i w:val="0"/>
          <w:sz w:val="19"/>
        </w:rPr>
        <w:t xml:space="preserve"> über die kostenpflichtige </w:t>
      </w:r>
      <w:r>
        <w:rPr>
          <w:rFonts w:ascii="Arial" w:hAnsi="Arial"/>
          <w:b w:val="0"/>
          <w:i/>
          <w:sz w:val="19"/>
        </w:rPr>
        <w:t>Meta Model API</w:t>
      </w:r>
      <w:r>
        <w:rPr>
          <w:rFonts w:ascii="Arial" w:hAnsi="Arial"/>
          <w:b w:val="0"/>
          <w:i w:val="0"/>
          <w:sz w:val="19"/>
        </w:rPr>
        <w:t xml:space="preserve"> zum 9. Juli 2026 aus dem </w:t>
      </w:r>
      <w:r>
        <w:rPr>
          <w:rFonts w:ascii="Arial" w:hAnsi="Arial"/>
          <w:b w:val="0"/>
          <w:i/>
          <w:sz w:val="19"/>
        </w:rPr>
        <w:t>Meta Superintelligence Labs</w:t>
      </w:r>
      <w:r>
        <w:rPr>
          <w:rFonts w:ascii="Arial" w:hAnsi="Arial"/>
          <w:b w:val="0"/>
          <w:i w:val="0"/>
          <w:sz w:val="19"/>
        </w:rPr>
        <w:t xml:space="preserve"> unter Alexandr Wang (Kontextfenster 1 Million Token mit aktivem Kontextmanagement, Fortschritte in Werkzeug- und Rechnerbedienung, Programmieren und multimodalem Verständnis; Einstiegspreis 1,25 US-Dollar Input / 4,25 US-Dollar Output pro Million Token, 20 US-Dollar Startguthaben — rund ein Viertel bis ein Drittel des Anthropic-/OpenAI-Preisniveaus). Weitere strategische Einordnung: Meta-Chip-Produktion ab September 2026 angekündigt. Beleg für die deflationäre Preisdynamik der Frontier-Inferenz und die Verdichtung der Angebotsseite an der US-Frontier (§ 8.2). https://ai.meta.com/blog/introducing-muse-spark-meta-model-api/ | https://fortune.com/2026/07/09/meta-muse-spark-1-1-release-alexandr-wang-superintelligence-labs-mark-zuckerberg/ | https://www.cnbc.com/2026/07/09/meta-jumps-into-ai-coding-market-to-chase-anthropic-and-openai.html | https://techcrunch.com/2026/07/09/meta-enters-the-crowded-ai-coding-battle-with-muse-spark-1-1/ | https://www.techtimes.com/articles/320088/20260710/metas-muse-spark-11-opens-paid-api-one-quarter-anthropic-openai-rates.htm | https://qz.com/meta-muse-spark-api-developers-paid-anthropic-openai-070926 | https://www.datacamp.com/blog/muse-spark-1-1 | https://aiweekly.co/alerts/meta-prices-muse-spark-11-api-at-125425-per-m-tokens | https://www.storyboard18.com/digital/what-is-muse-spark-1-1-metas-new-ai-model-takes-on-openai-and-anthropic-with-agentic-computing-103831.htm | https://cxotoday.com/big-tech/after-spacex-meta-now-launches-muse-spark-1-1-model-to-begin-ai-chip-production-in-sept/</w:t>
      </w:r>
    </w:p>
    <w:p>
      <w:pPr>
        <w:jc w:val="both"/>
      </w:pPr>
      <w:r>
        <w:rPr>
          <w:rFonts w:ascii="Arial" w:hAnsi="Arial"/>
          <w:b/>
          <w:i w:val="0"/>
          <w:sz w:val="19"/>
        </w:rPr>
        <w:t>Hinweis zur Aktualität:</w:t>
      </w:r>
      <w:r>
        <w:rPr>
          <w:rFonts w:ascii="Arial" w:hAnsi="Arial"/>
          <w:b w:val="0"/>
          <w:i w:val="0"/>
          <w:sz w:val="19"/>
        </w:rPr>
        <w:t xml:space="preserve"> Dieses Arbeitspapier gibt den Stand Ende Juli 2026 (Schnitt am 25. Juli 2026 — Lauf 001 vom 25. Juli 2026)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des am 18. Juni 2026 von Senator Bernie Sanders eingebrachten </w:t>
      </w:r>
      <w:r>
        <w:rPr>
          <w:rFonts w:ascii="Arial" w:hAnsi="Arial"/>
          <w:b w:val="0"/>
          <w:i/>
          <w:sz w:val="19"/>
        </w:rPr>
        <w:t>American A.I. Sovereign Wealth Fund Act</w:t>
      </w:r>
      <w:r>
        <w:rPr>
          <w:rFonts w:ascii="Arial" w:hAnsi="Arial"/>
          <w:b w:val="0"/>
          <w:i w:val="0"/>
          <w:sz w:val="19"/>
        </w:rPr>
        <w:t xml:space="preserve"> (einmalige 50-%-Aktien-Abgabe für AI-Unternehmen mit ≥ 200 Mio. USD KI-Jahresumsatz zur Speisung eines rund 7 Bio. USD schweren Souveränen KI-Beteiligungsfonds, </w:t>
      </w:r>
      <w:r>
        <w:rPr>
          <w:rFonts w:ascii="Arial" w:hAnsi="Arial"/>
          <w:b w:val="0"/>
          <w:i/>
          <w:sz w:val="19"/>
        </w:rPr>
        <w:t>Independent Commission for Democratic AI</w:t>
      </w:r>
      <w:r>
        <w:rPr>
          <w:rFonts w:ascii="Arial" w:hAnsi="Arial"/>
          <w:b w:val="0"/>
          <w:i w:val="0"/>
          <w:sz w:val="19"/>
        </w:rPr>
        <w:t xml:space="preserve">, jährliche Dividende ~1.000 USD pro US-Bürger), des am 26. Juni 2026 veröffentlichten sechsten </w:t>
      </w:r>
      <w:r>
        <w:rPr>
          <w:rFonts w:ascii="Arial" w:hAnsi="Arial"/>
          <w:b w:val="0"/>
          <w:i/>
          <w:sz w:val="19"/>
        </w:rPr>
        <w:t>Anthropic-Economic-Index</w:t>
      </w:r>
      <w:r>
        <w:rPr>
          <w:rFonts w:ascii="Arial" w:hAnsi="Arial"/>
          <w:b w:val="0"/>
          <w:i w:val="0"/>
          <w:sz w:val="19"/>
        </w:rPr>
        <w:t xml:space="preserve">-Berichts </w:t>
      </w:r>
      <w:r>
        <w:rPr>
          <w:rFonts w:ascii="Arial" w:hAnsi="Arial"/>
          <w:b w:val="0"/>
          <w:i/>
          <w:sz w:val="19"/>
        </w:rPr>
        <w:t>„Cadences"</w:t>
      </w:r>
      <w:r>
        <w:rPr>
          <w:rFonts w:ascii="Arial" w:hAnsi="Arial"/>
          <w:b w:val="0"/>
          <w:i w:val="0"/>
          <w:sz w:val="19"/>
        </w:rPr>
        <w:t xml:space="preserve"> (~9.700 Claude-Nutzerinnen und -Nutzer, rund 50 % erwarten KI könne ≥ 50 % ihrer Aufgaben übernehmen, ~10 % Verlust­erwartung; Delegationsanteil korreliert positiv mit Arbeitszufriedenheit über sechs Wirkungsdimensionen), des am 29. Juni 2026 durch den Rat der EU final gebilligten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xml:space="preserve"> (Anwendungsdaten Hochrisiko 2. Dezember 2027 Anhang III bzw. 2. August 2028 Anhang I; Sandbox-Frist 2. August 2027; verkürzte Transparenz-Übergangsfrist Art. 50; Erweiterung Art. 5 um Verbot nicht-einvernehmlicher intimer KI-Inhalte und CSAM; GPAI-Durchsetzungsbefugnisse ab 2. August 2026 wie vorgesehen) sowie des am 2. Juli 2026 durch </w:t>
      </w:r>
      <w:r>
        <w:rPr>
          <w:rFonts w:ascii="Arial" w:hAnsi="Arial"/>
          <w:b w:val="0"/>
          <w:i/>
          <w:sz w:val="19"/>
        </w:rPr>
        <w:t>Microsoft</w:t>
      </w:r>
      <w:r>
        <w:rPr>
          <w:rFonts w:ascii="Arial" w:hAnsi="Arial"/>
          <w:b w:val="0"/>
          <w:i w:val="0"/>
          <w:sz w:val="19"/>
        </w:rPr>
        <w:t xml:space="preserve"> zum Fiskaljahresstart bekanntgegebenen Stellenabbaus von rund 9.000 Positionen (&lt; 4 % globale Belegschaft, Sales/Consulting/Xbox; teilweise durch Vorziehung über das im Mai angebotene VRSAR-Buyout-Programm reduziert) und der </w:t>
      </w:r>
      <w:r>
        <w:rPr>
          <w:rFonts w:ascii="Arial" w:hAnsi="Arial"/>
          <w:b w:val="0"/>
          <w:i/>
          <w:sz w:val="19"/>
        </w:rPr>
        <w:t>Challenger, Gray &amp; Christmas</w:t>
      </w:r>
      <w:r>
        <w:rPr>
          <w:rFonts w:ascii="Arial" w:hAnsi="Arial"/>
          <w:b w:val="0"/>
          <w:i w:val="0"/>
          <w:sz w:val="19"/>
        </w:rPr>
        <w:t xml:space="preserve">-Reports für Mai (97.006 US-Streichungen +16 % gegenüber April; KI 38.579 = 40 % — Rekord seit Kategorisierungsbeginn 2023; YTD-KI 87.714 = 22 %) und Juni 2026 (45.849 Streichungen −53 % gegenüber Mai; KI 14.029 = 31 %, vierten Monat in Folge Nr. 1; YTD-KI 101.743 = 23 % und damit im ersten Halbjahr bereits rund 86 % über der Gesamtjahressumme 2025). Ergänzt wird der Stand um drei Fortschreibungen aus Lauf 002 vom 4. Juli 2026: die Bill-Nummer </w:t>
      </w:r>
      <w:r>
        <w:rPr>
          <w:rFonts w:ascii="Arial" w:hAnsi="Arial"/>
          <w:b w:val="0"/>
          <w:i/>
          <w:sz w:val="19"/>
        </w:rPr>
        <w:t>S. 4825</w:t>
      </w:r>
      <w:r>
        <w:rPr>
          <w:rFonts w:ascii="Arial" w:hAnsi="Arial"/>
          <w:b w:val="0"/>
          <w:i w:val="0"/>
          <w:sz w:val="19"/>
        </w:rPr>
        <w:t xml:space="preserve"> (119. Kongress) zum </w:t>
      </w:r>
      <w:r>
        <w:rPr>
          <w:rFonts w:ascii="Arial" w:hAnsi="Arial"/>
          <w:b w:val="0"/>
          <w:i/>
          <w:sz w:val="19"/>
        </w:rPr>
        <w:t>American A.I. Sovereign Wealth Fund Act</w:t>
      </w:r>
      <w:r>
        <w:rPr>
          <w:rFonts w:ascii="Arial" w:hAnsi="Arial"/>
          <w:b w:val="0"/>
          <w:i w:val="0"/>
          <w:sz w:val="19"/>
        </w:rPr>
        <w:t xml:space="preserve">, die Präzisierung der Microsoft-Layoff-Größenordnung Anfang Juli 2026 durch TechRepublic und Yahoo Finance (jenseits der bereits angenommenen VRSAR-Austritte voraussichtlich weniger als 5.500 Beschäftigte beziehungsweise unter 2,5 % der weltweiten Belegschaft) sowie den am 30. Juni 2026 durch Anthropic angekündigten Preis für </w:t>
      </w:r>
      <w:r>
        <w:rPr>
          <w:rFonts w:ascii="Arial" w:hAnsi="Arial"/>
          <w:b w:val="0"/>
          <w:i/>
          <w:sz w:val="19"/>
        </w:rPr>
        <w:t>Claude Sonnet 5</w:t>
      </w:r>
      <w:r>
        <w:rPr>
          <w:rFonts w:ascii="Arial" w:hAnsi="Arial"/>
          <w:b w:val="0"/>
          <w:i w:val="0"/>
          <w:sz w:val="19"/>
        </w:rPr>
        <w:t xml:space="preserve"> (Einführungspreis 2 US-Dollar pro Million Input- und 10 US-Dollar pro Million Output-Token bis 31. August 2026, Standardpreis ab 1. September 2026 bei 3 beziehungsweise 15 US-Dollar) als aktueller Beleg für die in § 8.2 aufgenommene deflationäre Preisdynamik bei Frontier-Inferenz. Lauf 001 vom 5. Juli 2026 ergänzt vier weitere Fortschreibungen: die Aktualisierung der Tech-Layoff-Trackerstände (SkillSyncer 185.894 Beschäftigte aus 267 Layoff-Ereignissen mit rund 999 Stellen pro Tag zum 5. Juli 2026; TrueUp zur Jahresmitte 164.971 Personen aus 435 Meldungen mit rund 887 pro Tag, im Vergleich 2025 gesamt 783 Meldungen / 245.953 Personen / rund 674 pro Tag); die im Oracle-Konzern-8-K (Juni 2026) publizierte FY2026-Aggregatzahl von rund 21.000 Stellenreduktionen (13 % der Belegschaft; von 162.000 auf 141.000; Restrukturierungsaufwand von 374 Mio. auf 1,8 Mrd. USD; flankierendes KI-Investitionsvolumen ~50 Mrd. USD); die am 1. Juli 2026 von </w:t>
      </w:r>
      <w:r>
        <w:rPr>
          <w:rFonts w:ascii="Arial" w:hAnsi="Arial"/>
          <w:b w:val="0"/>
          <w:i/>
          <w:sz w:val="19"/>
        </w:rPr>
        <w:t>CNBC</w:t>
      </w:r>
      <w:r>
        <w:rPr>
          <w:rFonts w:ascii="Arial" w:hAnsi="Arial"/>
          <w:b w:val="0"/>
          <w:i w:val="0"/>
          <w:sz w:val="19"/>
        </w:rPr>
        <w:t xml:space="preserve"> zusammengeführte Rebound-Berichterstattung (Ford: 350 wiedereingestellte Ingenieure, JD Power 2026 U.S. Initial Quality Study Platz 1 mit 152 Fehlern pro 100 Fahrzeugen und ~1 Mrd. USD erwarteter Kostenersparnis; IBM: Verdreifachung der Berufseinsteiger-Einstellungen 2026; Commonwealth Bank of Australia: &gt; 40 wiederaufgebaute Kundenservicestellen) sowie die zugehörige Empirie aus der Orgvue-Vitreous-World-Erhebung (1.163 Senior Decision-Makers; 39 % KI-bedingte Personalreduktionen, davon 55 % im Nachhinein bereuend, 23 % ohne rollenbezogene Analyse entschieden) und der Robert-Half-Rückholrate (32 % der US-Hiring-Manager mussten primär KI-bedingt gestrichene Rollen wiederbesetzen — Finance 44 %, HR 35 %, Technology 32 %). Lauf 001 vom 6. Juli 2026 ergänzt drei weitere Fortschreibungen: die deutsche KI-MIG-Umsetzung (Bundestag 11. Juni 2026; Bundesrat 1067. Sitzung 10. Juli 2026 mit Ausschussempfehlung vom 30. Juni 2026 zur Anrufung des Vermittlungsausschusses wegen zersplitterter Marktüberwachungsarchitektur zwischen Bundesnetzagentur und Ländern — § 4.4); die Präzisierung der Xbox-Komponente des Microsoft-Fiskaljahresstart-Layoffs anhand des internen Memos von CEO Asha Sharma und Content-Chef Matt Booty (&gt; 20 Mrd. USD Investment in Content/Plattform/Hardware-Subventionen über fünf Jahre bei jährlichem Umsatzrückgang ~500 Mio. USD; Q1-2026 Gaming −7 %, Hardware −33 %, Content und Services −5 %; Yahoo Finance/GeekWire 1. Juli 2026 — § 1.1); sowie die Auslieferung der ersten NVIDIA-Vera-Rubin-Systeme im Juli 2026 an fünf nordamerikanische Hyperscaler (Microsoft, Google, Amazon, Meta, Oracle) mit Full-Production-Freigabe an der GTC Taipei am 1. Juni 2026 und Trainingsleistung rund 3,5-fach gegenüber Blackwell als weiterer Beleg für die geografische Konzentration der Compute-Erzeugung (§ 8.2). Lauf 001 vom 7. Juli 2026 ergänzt zwei weitere Fortschreibungen: die Konkretisierung der am 6. Juli 2026 angekündigten Microsoft-Layoff-Runde (rund 4.800 unmittelbare Streichungen = 2,1 % einer weltweiten Belegschaft von ~220.000, davon ~1.600 Xbox und ~600 in Washington State; Xbox-FY-2026-Gesamtreduktion ~3.200 = ~20 % der globalen Xbox-Belegschaft; Ausgliederung von vier Gaming-Studios; bestätigte VRSAR-Annahmequote rund 30 % von ~8.750 US-Angebotsberechtigten — § 1.1) sowie den am 7. Juli 2026 durch OECD-Generalsekretär Mathias Cormann und Acting Director Mark Pearson vorgelegten </w:t>
      </w:r>
      <w:r>
        <w:rPr>
          <w:rFonts w:ascii="Arial" w:hAnsi="Arial"/>
          <w:b w:val="0"/>
          <w:i/>
          <w:sz w:val="19"/>
        </w:rPr>
        <w:t>OECD Employment Outlook 2026 — Geographic Disparities in Jobs and Incomes</w:t>
      </w:r>
      <w:r>
        <w:rPr>
          <w:rFonts w:ascii="Arial" w:hAnsi="Arial"/>
          <w:b w:val="0"/>
          <w:i w:val="0"/>
          <w:sz w:val="19"/>
        </w:rPr>
        <w:t xml:space="preserve"> mit Fokus auf regional asymmetrische Anpassungen an KI-/Technologie- und Handelsschocks (Anpassung überwiegend über den Weg in vorübergehende Arbeitslosigkeit und neue Einstiegskohorten; dauerhafte Einkommensnachteile für Verdrängte; Ausbreitung von Non-Compete-Klauseln auf bis zu ein Viertel der Beschäftigten in einigen OECD-Mitgliedsländern; erwerbsfähige Bevölkerung −8 % bis 2060 als Anlass verstärkter Qualifikationspolitik — § 3.5, § 11.3). Lauf 001 vom 8. Juli 2026 ergänzt zwei weitere Fortschreibungen: die am 6. Juli 2026 durch </w:t>
      </w:r>
      <w:r>
        <w:rPr>
          <w:rFonts w:ascii="Arial" w:hAnsi="Arial"/>
          <w:b w:val="0"/>
          <w:i/>
          <w:sz w:val="19"/>
        </w:rPr>
        <w:t>SemiAnalysis</w:t>
      </w:r>
      <w:r>
        <w:rPr>
          <w:rFonts w:ascii="Arial" w:hAnsi="Arial"/>
          <w:b w:val="0"/>
          <w:i w:val="0"/>
          <w:sz w:val="19"/>
        </w:rPr>
        <w:t xml:space="preserve"> (aufgegriffen von CNBC, Tom's Hardware, The Next Web und Seeking Alpha) berichtete Verzögerung des NVIDIA-</w:t>
      </w:r>
      <w:r>
        <w:rPr>
          <w:rFonts w:ascii="Arial" w:hAnsi="Arial"/>
          <w:b w:val="0"/>
          <w:i/>
          <w:sz w:val="19"/>
        </w:rPr>
        <w:t>Kyber</w:t>
      </w:r>
      <w:r>
        <w:rPr>
          <w:rFonts w:ascii="Arial" w:hAnsi="Arial"/>
          <w:b w:val="0"/>
          <w:i w:val="0"/>
          <w:sz w:val="19"/>
        </w:rPr>
        <w:t xml:space="preserve">-Rack-Systems (NVL144) für die Rubin-Ultra-Generation um über zwölf Monate auf 2028 wegen PCB-Midplane-Fertigungsproblemen samt gestrichenem Notfall-Doppel-Rack-Plan und Öffnung für AMD (MI455X, CDNA-5, 432 GB, 40 PFLOPS NVFP4) und Google TPUs am oberen Marktende (§ 8.2); die am 7. Juli 2026 nachgereichten OECD-Länderdateien </w:t>
      </w:r>
      <w:r>
        <w:rPr>
          <w:rFonts w:ascii="Arial" w:hAnsi="Arial"/>
          <w:b w:val="0"/>
          <w:i/>
          <w:sz w:val="19"/>
        </w:rPr>
        <w:t>Employment Outlook 2026 — Country Note Germany</w:t>
      </w:r>
      <w:r>
        <w:rPr>
          <w:rFonts w:ascii="Arial" w:hAnsi="Arial"/>
          <w:b w:val="0"/>
          <w:i w:val="0"/>
          <w:sz w:val="19"/>
        </w:rPr>
        <w:t xml:space="preserve"> (6 Seiten) und </w:t>
      </w:r>
      <w:r>
        <w:rPr>
          <w:rFonts w:ascii="Arial" w:hAnsi="Arial"/>
          <w:b w:val="0"/>
          <w:i/>
          <w:sz w:val="19"/>
        </w:rPr>
        <w:t>Non-compete and related agreements: Germany</w:t>
      </w:r>
      <w:r>
        <w:rPr>
          <w:rFonts w:ascii="Arial" w:hAnsi="Arial"/>
          <w:b w:val="0"/>
          <w:i w:val="0"/>
          <w:sz w:val="19"/>
        </w:rPr>
        <w:t xml:space="preserve"> (8 Seiten, mit dem Befund, dass im 15-Länder-Mittel rund 30 % der Beschäftigten durch Nach-Vertragsbindungen gebunden sind, mit hemmender Wirkung auf Mobilität, Löhne und Produktivität — § 3.5, § 11.3). Lauf 001 vom 9. Juli 2026 ergänzt zwei weitere Fortschreibungen: die Anfang Juli 2026 konsolidierte Berichterstattung (Fortune, BigGo Finance, Bind AI, HackerNoon, The Agent Report) zur DeepMind-Talent-Abwanderung binnen einer Woche — Noam Shazeer zu OpenAI, John Jumper (AlphaFold-Nobelpreis 2024), Jonas Adler und Alexander Pritzel zu Anthropic — und zur zeitgleichen Verschiebung von </w:t>
      </w:r>
      <w:r>
        <w:rPr>
          <w:rFonts w:ascii="Arial" w:hAnsi="Arial"/>
          <w:b w:val="0"/>
          <w:i/>
          <w:sz w:val="19"/>
        </w:rPr>
        <w:t>Gemini 3.5 Pro</w:t>
      </w:r>
      <w:r>
        <w:rPr>
          <w:rFonts w:ascii="Arial" w:hAnsi="Arial"/>
          <w:b w:val="0"/>
          <w:i w:val="0"/>
          <w:sz w:val="19"/>
        </w:rPr>
        <w:t xml:space="preserve"> auf den 17. Juli 2026 nach Vollumbau der 2.5-Pro-Basisarchitektur bei einer Marktkapitalisierungs­einbuße Alphabets von rund 225 bis 270 Milliarden US-Dollar (§ 8.2 als Ergänzung der Rohstoff-Analogie um die </w:t>
      </w:r>
      <w:r>
        <w:rPr>
          <w:rFonts w:ascii="Arial" w:hAnsi="Arial"/>
          <w:b w:val="0"/>
          <w:i/>
          <w:sz w:val="19"/>
        </w:rPr>
        <w:t>humane Talent-Bestands­dimension</w:t>
      </w:r>
      <w:r>
        <w:rPr>
          <w:rFonts w:ascii="Arial" w:hAnsi="Arial"/>
          <w:b w:val="0"/>
          <w:i w:val="0"/>
          <w:sz w:val="19"/>
        </w:rPr>
        <w:t xml:space="preserve"> und als Volatilitätsargument gegen bestandsorientierte Umverteilungs­ansätze, die an aktuellen Marktkapitalisierungen einzelner Frontier-Anbieter anknüpfen — vgl. § 8.3); sowie die zum 9. Juli 2026 vom Layoff-Tracker </w:t>
      </w:r>
      <w:r>
        <w:rPr>
          <w:rFonts w:ascii="Arial" w:hAnsi="Arial"/>
          <w:b w:val="0"/>
          <w:i/>
          <w:sz w:val="19"/>
        </w:rPr>
        <w:t>SkillSyncer</w:t>
      </w:r>
      <w:r>
        <w:rPr>
          <w:rFonts w:ascii="Arial" w:hAnsi="Arial"/>
          <w:b w:val="0"/>
          <w:i w:val="0"/>
          <w:sz w:val="19"/>
        </w:rPr>
        <w:t xml:space="preserve"> erstmals ausgewiesene explizite Aggregat-Kausalzuschreibung von 150 der 267 Layoff-Ereignisse (56 %) mit rund 156.270 betroffenen Beschäftigten (rund 84 % der Tracker-Gesamtsumme) als KI-/Automatisierungs­getrieben — eine Aggregat-Kausalquote, die das in § 9.1 dokumentierte Attributions­problem auf der Aggregat-Ebene teilweise reduziert,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bleibt (§ 1.1, § 11.5). Lauf 001 vom 10. Juli 2026 ergänzt zwei weitere Fortschreibungen: die öffentliche Freigabe der </w:t>
      </w:r>
      <w:r>
        <w:rPr>
          <w:rFonts w:ascii="Arial" w:hAnsi="Arial"/>
          <w:b w:val="0"/>
          <w:i/>
          <w:sz w:val="19"/>
        </w:rPr>
        <w:t>OpenAI-GPT-5.6</w:t>
      </w:r>
      <w:r>
        <w:rPr>
          <w:rFonts w:ascii="Arial" w:hAnsi="Arial"/>
          <w:b w:val="0"/>
          <w:i w:val="0"/>
          <w:sz w:val="19"/>
        </w:rPr>
        <w:t xml:space="preserve">-Reihe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w:t>
      </w:r>
      <w:r>
        <w:rPr>
          <w:rFonts w:ascii="Arial" w:hAnsi="Arial"/>
          <w:b w:val="0"/>
          <w:i/>
          <w:sz w:val="19"/>
        </w:rPr>
        <w:t>Luna</w:t>
      </w:r>
      <w:r>
        <w:rPr>
          <w:rFonts w:ascii="Arial" w:hAnsi="Arial"/>
          <w:b w:val="0"/>
          <w:i w:val="0"/>
          <w:sz w:val="19"/>
        </w:rPr>
        <w:t xml:space="preserve">) am 9. Juli 2026 nach vorheriger Preview-Kohorte ab 26. Juni 2026 und einer 30-tägigen Sicherheitsvor­prüfung durch die US-Bundesregierung (AI-Cybersecurity-Executive-Order Juni 2026); Cerebras-Wafer-Scale-Deployment der Spitzenstufe </w:t>
      </w:r>
      <w:r>
        <w:rPr>
          <w:rFonts w:ascii="Arial" w:hAnsi="Arial"/>
          <w:b w:val="0"/>
          <w:i/>
          <w:sz w:val="19"/>
        </w:rPr>
        <w:t>Sol</w:t>
      </w:r>
      <w:r>
        <w:rPr>
          <w:rFonts w:ascii="Arial" w:hAnsi="Arial"/>
          <w:b w:val="0"/>
          <w:i w:val="0"/>
          <w:sz w:val="19"/>
        </w:rPr>
        <w:t xml:space="preserve"> mit bis zu 750 Token pro Sekunde (rund zehnfach gegenüber typischer NVIDIA-GPU-Inferenz produktiver Frontier-Modelle) und Standard-API-Preise Sol 5/30 US-Dollar pro Million Input-/Output-Token; für § 8.2 als Fortschreibung der deflationären Preisdynamik und für § 4.5 als Beleg einer sich etablierenden </w:t>
      </w:r>
      <w:r>
        <w:rPr>
          <w:rFonts w:ascii="Arial" w:hAnsi="Arial"/>
          <w:b w:val="0"/>
          <w:i/>
          <w:sz w:val="19"/>
        </w:rPr>
        <w:t>US-Vor-Freigabe-Praxis</w:t>
      </w:r>
      <w:r>
        <w:rPr>
          <w:rFonts w:ascii="Arial" w:hAnsi="Arial"/>
          <w:b w:val="0"/>
          <w:i w:val="0"/>
          <w:sz w:val="19"/>
        </w:rPr>
        <w:t xml:space="preserve"> aufgenommen; sowie die Fable-5-Episode (Anthropic): Ausfuhrkontrollen der US-Regierung vom 12. Juni 2026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nach dokumentiertem Amazon-Umgehungsverfahren, weltweite Aussetzung durch Anthropic, Redeployment ab 1. Juli 2026 mit gemeinsam mit dem US Center for AI Safety Institute (CAISI) trainierten Klassifikatoren (&gt;99 % Blockade der Umgehungsroutine, erhöhte Fehlalarmquote auf regulären Debugging-/Programmier-Prompts); Kontingent-Verlängerung auf kostenpflichtigen Tarifen bis 12. Juli 2026 — Aufnahme in § 4.5 (US-Vor-Freigabe-Regime, exekutiv-sicherheitspolitische Vermittlung des Zugriffs auf Frontier-Modelle) und Rückwirkung auf § 8.3 (Robustheits­anforderungen an Wertschöpfungsabgabe und Fondslogik gegenüber Verfügbarkeits­störungen der Basismodelle). Lauf 001 vom 11. Juli 2026 ergänzt zwei weitere Fortschreibungen: die Verabschiedung des </w:t>
      </w:r>
      <w:r>
        <w:rPr>
          <w:rFonts w:ascii="Arial" w:hAnsi="Arial"/>
          <w:b w:val="0"/>
          <w:i/>
          <w:sz w:val="19"/>
        </w:rPr>
        <w:t>KI-MIG</w:t>
      </w:r>
      <w:r>
        <w:rPr>
          <w:rFonts w:ascii="Arial" w:hAnsi="Arial"/>
          <w:b w:val="0"/>
          <w:i w:val="0"/>
          <w:sz w:val="19"/>
        </w:rPr>
        <w:t xml:space="preserve"> durch den Bundesrat am 10. Juli 2026 in seiner 1067. Sitzung (Ausschussempfehlung des </w:t>
      </w:r>
      <w:r>
        <w:rPr>
          <w:rFonts w:ascii="Arial" w:hAnsi="Arial"/>
          <w:b w:val="0"/>
          <w:i/>
          <w:sz w:val="19"/>
        </w:rPr>
        <w:t>Ausschusses für Digitalisierung und Staatsmodernisierung</w:t>
      </w:r>
      <w:r>
        <w:rPr>
          <w:rFonts w:ascii="Arial" w:hAnsi="Arial"/>
          <w:b w:val="0"/>
          <w:i w:val="0"/>
          <w:sz w:val="19"/>
        </w:rPr>
        <w:t xml:space="preserve"> vom 30. Juni 2026 zur Anrufung des Vermittlungsausschusses fand im Plenum keine Mehrheit; das Gesetz kann ohne weiteres parlamentarisches Verfahren in Kraft treten — Bundesnetzagentur als zentrale Marktüberwachungs- und Anlaufstelle mit Koordinierungs- und Kompetenzzentrum, gebündelter KI-Expertise, zentraler Beschwerdestelle für Bürgerinnen und Bürger und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 § 4.4); sowie die am 9. Juli 2026 durch </w:t>
      </w:r>
      <w:r>
        <w:rPr>
          <w:rFonts w:ascii="Arial" w:hAnsi="Arial"/>
          <w:b w:val="0"/>
          <w:i/>
          <w:sz w:val="19"/>
        </w:rPr>
        <w:t>Meta Superintelligence Labs</w:t>
      </w:r>
      <w:r>
        <w:rPr>
          <w:rFonts w:ascii="Arial" w:hAnsi="Arial"/>
          <w:b w:val="0"/>
          <w:i w:val="0"/>
          <w:sz w:val="19"/>
        </w:rPr>
        <w:t xml:space="preserve"> freigegebene kostenpflichtige </w:t>
      </w:r>
      <w:r>
        <w:rPr>
          <w:rFonts w:ascii="Arial" w:hAnsi="Arial"/>
          <w:b w:val="0"/>
          <w:i/>
          <w:sz w:val="19"/>
        </w:rPr>
        <w:t>Meta Model API</w:t>
      </w:r>
      <w:r>
        <w:rPr>
          <w:rFonts w:ascii="Arial" w:hAnsi="Arial"/>
          <w:b w:val="0"/>
          <w:i w:val="0"/>
          <w:sz w:val="19"/>
        </w:rPr>
        <w:t xml:space="preserve"> für das agentische Multimodalmodell </w:t>
      </w:r>
      <w:r>
        <w:rPr>
          <w:rFonts w:ascii="Arial" w:hAnsi="Arial"/>
          <w:b w:val="0"/>
          <w:i/>
          <w:sz w:val="19"/>
        </w:rPr>
        <w:t>Muse Spark 1.1</w:t>
      </w:r>
      <w:r>
        <w:rPr>
          <w:rFonts w:ascii="Arial" w:hAnsi="Arial"/>
          <w:b w:val="0"/>
          <w:i w:val="0"/>
          <w:sz w:val="19"/>
        </w:rPr>
        <w:t xml:space="preserve"> (Kontextfenster 1 Million Token mit aktivem Kontextmanagement; Einstiegspreis 1,25 US-Dollar Input / 4,25 US-Dollar Output pro Million Token, 20 US-Dollar Startguthaben — rund ein Viertel bis ein Drittel des Anthropic-/OpenAI-Preisniveaus; angekündigte Meta-Chip-Produktion ab September 2026) als weiterer Beleg der Preisdeflation an der Inferenzfront und der Verdichtung der Angebotsseite an der US-Frontier — Aufnahme in § 8.2 mit Rückwirkung auf § 8.3 (Zugriffspfade und Robustheits­anforderungen gegenüber Verfügbarkeits­störungen). Lauf 001 vom 12. Juli 2026 ergänzt zwei weitere Fortschreibungen: den Vollzug der Anthropic-</w:t>
      </w:r>
      <w:r>
        <w:rPr>
          <w:rFonts w:ascii="Arial" w:hAnsi="Arial"/>
          <w:b w:val="0"/>
          <w:i/>
          <w:sz w:val="19"/>
        </w:rPr>
        <w:t>Fable 5</w:t>
      </w:r>
      <w:r>
        <w:rPr>
          <w:rFonts w:ascii="Arial" w:hAnsi="Arial"/>
          <w:b w:val="0"/>
          <w:i w:val="0"/>
          <w:sz w:val="19"/>
        </w:rPr>
        <w:t xml:space="preserve">-Umstellung auf Nutzungsguthaben zum 13. Juli 2026 (Kontingent auf Abonnementplänen abgelaufen zum 12. Juli 2026 23:59:59 PT; Standardpreis 10 US-Dollar pro Million Input- und 50 US-Dollar pro Million Output-Token — doppelter </w:t>
      </w:r>
      <w:r>
        <w:rPr>
          <w:rFonts w:ascii="Arial" w:hAnsi="Arial"/>
          <w:b w:val="0"/>
          <w:i/>
          <w:sz w:val="19"/>
        </w:rPr>
        <w:t>Claude-Opus-4.8</w:t>
      </w:r>
      <w:r>
        <w:rPr>
          <w:rFonts w:ascii="Arial" w:hAnsi="Arial"/>
          <w:b w:val="0"/>
          <w:i w:val="0"/>
          <w:sz w:val="19"/>
        </w:rPr>
        <w:t xml:space="preserve">-Standardpreis und höchste je durch Anthropic öffentlich gelistete Kategorie; 90-%-Prompt-Caching-Rabatt bleibt bestehen; wöchentlicher 50-%-Nutzungsdeckel weiter unverändert) mit differenzierender Fortschreibung der § 8.2-Preisdynamik zwischen supply-constrained Frontier-Klasse (aufwärts, hier </w:t>
      </w:r>
      <w:r>
        <w:rPr>
          <w:rFonts w:ascii="Arial" w:hAnsi="Arial"/>
          <w:b w:val="0"/>
          <w:i/>
          <w:sz w:val="19"/>
        </w:rPr>
        <w:t>Fable 5</w:t>
      </w:r>
      <w:r>
        <w:rPr>
          <w:rFonts w:ascii="Arial" w:hAnsi="Arial"/>
          <w:b w:val="0"/>
          <w:i w:val="0"/>
          <w:sz w:val="19"/>
        </w:rPr>
        <w:t xml:space="preserve">) und Workhorse-Klasse (abwärts, </w:t>
      </w:r>
      <w:r>
        <w:rPr>
          <w:rFonts w:ascii="Arial" w:hAnsi="Arial"/>
          <w:b w:val="0"/>
          <w:i/>
          <w:sz w:val="19"/>
        </w:rPr>
        <w:t>Claude Sonnet 5</w:t>
      </w:r>
      <w:r>
        <w:rPr>
          <w:rFonts w:ascii="Arial" w:hAnsi="Arial"/>
          <w:b w:val="0"/>
          <w:i w:val="0"/>
          <w:sz w:val="19"/>
        </w:rPr>
        <w:t xml:space="preserve">, Meta </w:t>
      </w:r>
      <w:r>
        <w:rPr>
          <w:rFonts w:ascii="Arial" w:hAnsi="Arial"/>
          <w:b w:val="0"/>
          <w:i/>
          <w:sz w:val="19"/>
        </w:rPr>
        <w:t>Muse Spark 1.1</w:t>
      </w:r>
      <w:r>
        <w:rPr>
          <w:rFonts w:ascii="Arial" w:hAnsi="Arial"/>
          <w:b w:val="0"/>
          <w:i w:val="0"/>
          <w:sz w:val="19"/>
        </w:rPr>
        <w:t xml:space="preserve">); sowie den Anfang Juli 2026 (Financial Times 2. Juli 2026, aufgegriffen von CNBC, Fortune, Forbes, TechCrunch, Reuters, Technology.org und </w:t>
      </w:r>
      <w:r>
        <w:rPr>
          <w:rFonts w:ascii="Arial" w:hAnsi="Arial"/>
          <w:b w:val="0"/>
          <w:i/>
          <w:sz w:val="19"/>
        </w:rPr>
        <w:t>TheAIInsider</w:t>
      </w:r>
      <w:r>
        <w:rPr>
          <w:rFonts w:ascii="Arial" w:hAnsi="Arial"/>
          <w:b w:val="0"/>
          <w:i w:val="0"/>
          <w:sz w:val="19"/>
        </w:rPr>
        <w:t xml:space="preserve"> am 2./3. Juli 2026) berichteten Gegenvorschlag von OpenAI-CEO Sam Altman zum am 18. Juni 2026 eingebrachten Sanders-</w:t>
      </w:r>
      <w:r>
        <w:rPr>
          <w:rFonts w:ascii="Arial" w:hAnsi="Arial"/>
          <w:b w:val="0"/>
          <w:i/>
          <w:sz w:val="19"/>
        </w:rPr>
        <w:t>American A.I. Sovereign Wealth Fund Act</w:t>
      </w:r>
      <w:r>
        <w:rPr>
          <w:rFonts w:ascii="Arial" w:hAnsi="Arial"/>
          <w:b w:val="0"/>
          <w:i w:val="0"/>
          <w:sz w:val="19"/>
        </w:rPr>
        <w:t xml:space="preserve"> (S. 4825): freiwillige 5-%-Equity-Dotierung (~42,6 Mrd. USD bei 852 Mrd. USD Bewertung nach der März-2026-Finanzierungsrunde) an einen US-Souveränen KI-Beteiligungsfonds nach dem </w:t>
      </w:r>
      <w:r>
        <w:rPr>
          <w:rFonts w:ascii="Arial" w:hAnsi="Arial"/>
          <w:b w:val="0"/>
          <w:i/>
          <w:sz w:val="19"/>
        </w:rPr>
        <w:t>Alaska-Permanent-Fund</w:t>
      </w:r>
      <w:r>
        <w:rPr>
          <w:rFonts w:ascii="Arial" w:hAnsi="Arial"/>
          <w:b w:val="0"/>
          <w:i w:val="0"/>
          <w:sz w:val="19"/>
        </w:rPr>
        <w:t xml:space="preserve">-Modell mit Aufforderung an Anthropic, Alphabet/Google, Meta und xAI zu einer spiegelbildlichen 5-%-Beteiligung; informelle Gespräche mit Präsident Trump, Handelsminister Lutnick und Finanzminister Bessent — Aufnahme in § 4.5 (Fenstererweiterung wegen § 4.5-Kohärenz mit dem bereits eingearbeiteten Sanders-SWF-Act) als konzeptioneller Konter- und Ergänzungsvorschlag mit deutlich reduzierter Dotierung, freiwilliger Trägerlogik und offener institutioneller Kontrolle. Lauf 001 vom 13. Juli 2026 ergänzt zwei weitere Fortschreibungen: die zweite und dritte Lesung des </w:t>
      </w:r>
      <w:r>
        <w:rPr>
          <w:rFonts w:ascii="Arial" w:hAnsi="Arial"/>
          <w:b w:val="0"/>
          <w:i/>
          <w:sz w:val="19"/>
        </w:rPr>
        <w:t>GKV-Beitragssatzstabilisierungsgesetzes</w:t>
      </w:r>
      <w:r>
        <w:rPr>
          <w:rFonts w:ascii="Arial" w:hAnsi="Arial"/>
          <w:b w:val="0"/>
          <w:i w:val="0"/>
          <w:sz w:val="19"/>
        </w:rPr>
        <w:t xml:space="preserve"> im Bundestag am 10. Juli 2026 (namentliche Abstimmung 318 zu 284 Stimmen in Kalenderwoche 28; erste Lesung 12. Juni 2026, Kabinettsbeschluss 29. April 2026, erster Bundesratsdurchgang 8. Mai 2026 — 1065. Sitzung; zweiter Bundesratsdurchgang steht noch aus — die Beitragsseite bleibt ausdrücklich unberührt, das Gesetz zielt ausgaben- und strukturseitig auf einen Konsolidierungspfad von rund 15 bis 19,6 Mrd. Euro für 2027 mit einer Steigerung auf rund 42,8 Mrd. Euro bis 2030 — § 5.2); sowie die am 10. Juli 2026 vor dem </w:t>
      </w:r>
      <w:r>
        <w:rPr>
          <w:rFonts w:ascii="Arial" w:hAnsi="Arial"/>
          <w:b w:val="0"/>
          <w:i/>
          <w:sz w:val="19"/>
        </w:rPr>
        <w:t>United States District Court for the Northern District of California</w:t>
      </w:r>
      <w:r>
        <w:rPr>
          <w:rFonts w:ascii="Arial" w:hAnsi="Arial"/>
          <w:b w:val="0"/>
          <w:i w:val="0"/>
          <w:sz w:val="19"/>
        </w:rPr>
        <w:t xml:space="preserve"> eingereichte 41-seitige Klageschrift </w:t>
      </w:r>
      <w:r>
        <w:rPr>
          <w:rFonts w:ascii="Arial" w:hAnsi="Arial"/>
          <w:b w:val="0"/>
          <w:i/>
          <w:sz w:val="19"/>
        </w:rPr>
        <w:t>Apple Inc. v. OpenAI, OpenAI OpCo LLC &amp; io Products, Inc.</w:t>
      </w:r>
      <w:r>
        <w:rPr>
          <w:rFonts w:ascii="Arial" w:hAnsi="Arial"/>
          <w:b w:val="0"/>
          <w:i w:val="0"/>
          <w:sz w:val="19"/>
        </w:rPr>
        <w:t xml:space="preserve"> (Bloomberg, CNBC, Axios, Engadget, TechCrunch, Cybersecurity News) mit dem Vorwurf systematischer Aneignung von Trade Secrets „at every level, from members of technical staff to its Chief Hardware Officer, and in coordination with business partners"; Apple gibt an, dass inzwischen über 400 ehemalige Apple-Beschäftigte bei OpenAI arbeiten, benannt sind unter anderem der OpenAI </w:t>
      </w:r>
      <w:r>
        <w:rPr>
          <w:rFonts w:ascii="Arial" w:hAnsi="Arial"/>
          <w:b w:val="0"/>
          <w:i/>
          <w:sz w:val="19"/>
        </w:rPr>
        <w:t>Chief Hardware Officer</w:t>
      </w:r>
      <w:r>
        <w:rPr>
          <w:rFonts w:ascii="Arial" w:hAnsi="Arial"/>
          <w:b w:val="0"/>
          <w:i w:val="0"/>
          <w:sz w:val="19"/>
        </w:rPr>
        <w:t xml:space="preserve"> Tang Yew Tan (früher Vice President bei Apple) sowie der frühere </w:t>
      </w:r>
      <w:r>
        <w:rPr>
          <w:rFonts w:ascii="Arial" w:hAnsi="Arial"/>
          <w:b w:val="0"/>
          <w:i/>
          <w:sz w:val="19"/>
        </w:rPr>
        <w:t>Senior Systems Electrical Engineer</w:t>
      </w:r>
      <w:r>
        <w:rPr>
          <w:rFonts w:ascii="Arial" w:hAnsi="Arial"/>
          <w:b w:val="0"/>
          <w:i w:val="0"/>
          <w:sz w:val="19"/>
        </w:rPr>
        <w:t xml:space="preserve"> Chang Liu — Aufnahme in § 8.2 als </w:t>
      </w:r>
      <w:r>
        <w:rPr>
          <w:rFonts w:ascii="Arial" w:hAnsi="Arial"/>
          <w:b w:val="0"/>
          <w:i/>
          <w:sz w:val="19"/>
        </w:rPr>
        <w:t>rechtsförmige</w:t>
      </w:r>
      <w:r>
        <w:rPr>
          <w:rFonts w:ascii="Arial" w:hAnsi="Arial"/>
          <w:b w:val="0"/>
          <w:i w:val="0"/>
          <w:sz w:val="19"/>
        </w:rPr>
        <w:t xml:space="preserve"> Fortschreibung der DeepMind-Talent-Bestandsdimension aus Version 29.0 und als weiteres Volatilitätsargument gegen eine bestandsorientierte Umverteilungs­logik (§ 8.3). Lauf 001 vom 14. Juli 2026 ergänzt eine weitere Fortschreibung: den Vollzug des zweiten Bundesratsdurchgangs des </w:t>
      </w:r>
      <w:r>
        <w:rPr>
          <w:rFonts w:ascii="Arial" w:hAnsi="Arial"/>
          <w:b w:val="0"/>
          <w:i/>
          <w:sz w:val="19"/>
        </w:rPr>
        <w:t>GKV-Beitragssatzstabilisierungsgesetzes</w:t>
      </w:r>
      <w:r>
        <w:rPr>
          <w:rFonts w:ascii="Arial" w:hAnsi="Arial"/>
          <w:b w:val="0"/>
          <w:i w:val="0"/>
          <w:sz w:val="19"/>
        </w:rPr>
        <w:t xml:space="preserve"> am 10. Juli 2026 (Deutsches Ärzteblatt, DATEV-Magazin, STB Treuhand, ZDFheute); der Antrag von sechs Ländern (Saarland, Bremen, Hamburg, Mecklenburg-Vorpommern, Niedersachsen, Sachsen-Anhalt) auf Anrufung des Vermittlungsausschusses scheitert an der Zweidrittelmehrheit, nachdem die Bundesregierung in einer Protokollerklärung Zugeständnisse zusichert — rund 550 Millionen Euro zusätzliche Krankenhausmittel (davon 100 Millionen Euro für Universitätskliniken ab 2027 und 450 Millionen Euro über einen erhöhten Rechnungszuschlag), Angleichung der Kostenaufwuchsgrenze 2027–2029, Abbau von Bürokratie einschließlich PPR 2.0 und Pflegepersonaluntergrenzen, erweiterte Ausnahmen vom 15,5-%-Herstellerabschlag im Pharmabereich bis Januar 2027 sowie ein interministerielles Fachgremium bis Ende September 2026; das Gesetz kann damit ohne weitere parlamentarische Behandlung in Kraft treten und schließt damit die in § 5.2 dokumentierte GKV-Reformschiene ab. Lauf 001 vom 15. Juli 2026 ergänzt zwei weitere Fortschreibungen: die Regierungserklärung des Bundeskanzlers Friedrich Merz in der 89. Sitzung des 21. Bundestages am 9. Juli 2026 („Regierungserklärung zur aktuellen politischen Lage") mit Zwischenbilanz nach 14 Monaten und Verankerung des 34-Punkte-Koalitionsausschuss-Programms vom 1./2. Juli 2026 („für Aufschwung und Beschäftigung"); Merz zitiert Startup-Verband-Zahlen für das erste Halbjahr 2026 (&gt; 3.000 neue Unternehmen, nahezu Vorjahres­gesamtwert; &gt; 1/3 mit direktem KI-Bezug) und verweist auf die Inbetriebnahme der Halbleiterproduktion in Dresden, formuliert die vollständige und zeitnahe Umsetzung der 33 Empfehlungen der Alterssicherungskommission (Bericht 23. Juni 2026) bis Ende 2026 als Ziel und ordnet Steuer-, Renten-, Gesundheits- und Arbeitsmarktreform als kohärentes Reformpaket ein — Aufnahme in § 5.2 (Reformprozess und deutsche Startup-/Wertschöpfungs­einordnung; Rückwirkung auf § 8.2 Deutschland-These/Veredelungsstrategie); sowie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mit dem amtlichen Standbericht zum Arbeitsmarkt (Erwerbstätigkeit −8.000 im Mai 2026, sozialversicherungspflichtige Beschäftigung −5.000 im April 2026, „noch keine Verbesserung der Arbeitsmarktperspektiven"), zur strukturellen Rolle künstlicher Intelligenz („zunehmende Bedeutung künstlicher Intelligenz und demografischer Wandel" als strukturelle Herausforderungen) und zur asiatisch-getriebenen KI-Handelsdynamik (Exporte Datenverarbeitungsgeräte +2,3 % im Mai 2026) — Aufnahme in § 1.1 als amtlicher, kurzfristig konjunkturstützender KI-Befund parallel zu den Trackerständen und Layoff-Aggregaten. Lauf 001 vom 16. Juli 2026 ergänzt drei weitere Fortschreibungen: die öffentliche Freigabe des Modells </w:t>
      </w:r>
      <w:r>
        <w:rPr>
          <w:rFonts w:ascii="Arial" w:hAnsi="Arial"/>
          <w:b w:val="0"/>
          <w:i/>
          <w:sz w:val="19"/>
        </w:rPr>
        <w:t>Grok 4.5</w:t>
      </w:r>
      <w:r>
        <w:rPr>
          <w:rFonts w:ascii="Arial" w:hAnsi="Arial"/>
          <w:b w:val="0"/>
          <w:i w:val="0"/>
          <w:sz w:val="19"/>
        </w:rPr>
        <w:t xml:space="preserve"> durch </w:t>
      </w:r>
      <w:r>
        <w:rPr>
          <w:rFonts w:ascii="Arial" w:hAnsi="Arial"/>
          <w:b w:val="0"/>
          <w:i/>
          <w:sz w:val="19"/>
        </w:rPr>
        <w:t>SpaceXAI</w:t>
      </w:r>
      <w:r>
        <w:rPr>
          <w:rFonts w:ascii="Arial" w:hAnsi="Arial"/>
          <w:b w:val="0"/>
          <w:i w:val="0"/>
          <w:sz w:val="19"/>
        </w:rPr>
        <w:t xml:space="preserve"> (Rebrand xAI → SpaceXAI Februar 2026) zum 8. Juli 2026 (Bloomberg, TechCrunch, Axios, MarkTechPost, Memeburn, FourWeekMBA) als „Opus-Klasse"-Modell mit Preispunkten 2/6 US-Dollar Input/Output pro Million Token (schnelle Variante 4/18 US-Dollar; Cache-Read 0,50 US-Dollar) über Grok Build, Cursor und SpaceXAI-API; ergänzt um den </w:t>
      </w:r>
      <w:r>
        <w:rPr>
          <w:rFonts w:ascii="Arial" w:hAnsi="Arial"/>
          <w:b w:val="0"/>
          <w:i/>
          <w:sz w:val="19"/>
        </w:rPr>
        <w:t>Grok-Build</w:t>
      </w:r>
      <w:r>
        <w:rPr>
          <w:rFonts w:ascii="Arial" w:hAnsi="Arial"/>
          <w:b w:val="0"/>
          <w:i w:val="0"/>
          <w:sz w:val="19"/>
        </w:rPr>
        <w:t xml:space="preserve">-Zwischenfall vom 14. Juli 2026 (The Register, TechTimes: unautorisierter Upload ganzer Nutzer-Codebasen, Server-Abschaltung, öffentliche Zusage der Löschung) und die am 14. Juli 2026 gemeldete Führung im Long-Horizon Terminal-Bench — Aufnahme in § 8.2 (differenzierte Preisspreizung zwischen supply-constrained Frontier-Klasse und Workhorse-Klasse; Robustheits­anforderungen an importierte Frontier-Modelle mit Rückwirkung auf § 8.3); die am 14. Juli 2026 durch TechCrunch (Rebecca Bellan, </w:t>
      </w:r>
      <w:r>
        <w:rPr>
          <w:rFonts w:ascii="Arial" w:hAnsi="Arial"/>
          <w:b w:val="0"/>
          <w:i/>
          <w:sz w:val="19"/>
        </w:rPr>
        <w:t>„The real AI race may no longer be at the frontier"</w:t>
      </w:r>
      <w:r>
        <w:rPr>
          <w:rFonts w:ascii="Arial" w:hAnsi="Arial"/>
          <w:b w:val="0"/>
          <w:i w:val="0"/>
          <w:sz w:val="19"/>
        </w:rPr>
        <w:t xml:space="preserve">) verdichtete Marktstruktur-Beobachtung zur Verlagerung produktiver KI-Nutzung auf Open-Weight-Modelle (rund 41 % der Hugging-Face-Downloads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Open-Weight-basiert — Tencent, Xiaomi, DeepSeek, MiniMax, Z.ai; drei Millionen öffentlich gelistete Modelle auf Hugging Face; Anthropic </w:t>
      </w:r>
      <w:r>
        <w:rPr>
          <w:rFonts w:ascii="Arial" w:hAnsi="Arial"/>
          <w:b w:val="0"/>
          <w:i/>
          <w:sz w:val="19"/>
        </w:rPr>
        <w:t>Claude Opus 4.7</w:t>
      </w:r>
      <w:r>
        <w:rPr>
          <w:rFonts w:ascii="Arial" w:hAnsi="Arial"/>
          <w:b w:val="0"/>
          <w:i w:val="0"/>
          <w:sz w:val="19"/>
        </w:rPr>
        <w:t xml:space="preserve"> nur Platz 7; Zitate CEO Clem Delangue und Microsoft-CEO Nadella) — Aufnahme in § 8.2 als Ergänzung der Rohstoff-Analogie um die Verschiebung der produktiven Nutzung mit Rückwirkung auf § 8.3 (verminderte direkte Abschöpfungs­fläche über Anbieter-Umsätze und Stützung der Veredelungs­logik); die Bloomberg-Bericht­erstattung vom 15. Juli 2026 zur </w:t>
      </w:r>
      <w:r>
        <w:rPr>
          <w:rFonts w:ascii="Arial" w:hAnsi="Arial"/>
          <w:b w:val="0"/>
          <w:i/>
          <w:sz w:val="19"/>
        </w:rPr>
        <w:t>Anthropic-IPO-Vorbereitung</w:t>
      </w:r>
      <w:r>
        <w:rPr>
          <w:rFonts w:ascii="Arial" w:hAnsi="Arial"/>
          <w:b w:val="0"/>
          <w:i w:val="0"/>
          <w:sz w:val="19"/>
        </w:rPr>
        <w:t xml:space="preserve"> (Investoren­meetings-Serie; Sekundärmarkt-Bewertung 1,11–1,14 Bio. USD zum 14. Juli 2026 nach 96,5 Mrd. USD im Mai 2026; Ticker-Prognose $ANTH 46–48 %, IPO im Q4 2026 rund 78 %, Lead-Underwriter Goldman Sachs 52–55 %, Emissions­volumen &gt; 60 Mrd. USD) — Aufnahme in § 5.4 mit Rückwirkung auf § 8.3 (fiskalische Volatilität einer bestands­orientierten Umverteilungs­logik gegenüber einer wertschöpfungs­bezogenen Zugriffsarchitektur); sowie die am 15. Juli 2026 mit WARN-Notice wirksam werdende </w:t>
      </w:r>
      <w:r>
        <w:rPr>
          <w:rFonts w:ascii="Arial" w:hAnsi="Arial"/>
          <w:b w:val="0"/>
          <w:i/>
          <w:sz w:val="19"/>
        </w:rPr>
        <w:t>Intel-Manufacturing-Layoff-Runde</w:t>
      </w:r>
      <w:r>
        <w:rPr>
          <w:rFonts w:ascii="Arial" w:hAnsi="Arial"/>
          <w:b w:val="0"/>
          <w:i w:val="0"/>
          <w:sz w:val="19"/>
        </w:rPr>
        <w:t xml:space="preserve"> an vier Oregon-Standorten (Aloha, Ronler Acres, Hawthorne Farms, Jones Farm) mit 2.392 Beschäftigten — davon 412 Module Equipment Technicians, 307 Module Development Engineers, 148 Module Engineers plus Process Integration Engineers und Manufacturing Technicians — als Hardware-seitige Personalreduktion im Restrukturierungs­rahmen CEO Lip-Bu Tan (Personalbestand ~125.000 → unter 100.000, zusätzliche 1 Milliarde US-Dollar Betriebskosten­kürzung 2026; Foundry-Verlust ~3 Milliarden US-Dollar Q2 2025; AI-Chip-Marktanteil Intel ~1 % vs. NVIDIA ~92 %) — Aufnahme in § 1.1 als weitere Illustration der in § 8.2 dokumentierten Asymmetrie zwischen Hyperscaler-Capex und Personalreduktion und als Erweiterung des Layoff-Aggregats um die vorgelagerte Halbleiter­produktionsschicht. Lauf 001 vom 17. Juli 2026 ergänzt vier weitere Fortschreibungen: den Kabinettsbeschluss des Bundesministeriums für Gesundheit vom 15. Juli 2026 zum </w:t>
      </w:r>
      <w:r>
        <w:rPr>
          <w:rFonts w:ascii="Arial" w:hAnsi="Arial"/>
          <w:b w:val="0"/>
          <w:i/>
          <w:sz w:val="19"/>
        </w:rPr>
        <w:t>Gesetz für Daten und digitale Innovation im Gesundheitswesen</w:t>
      </w:r>
      <w:r>
        <w:rPr>
          <w:rFonts w:ascii="Arial" w:hAnsi="Arial"/>
          <w:b w:val="0"/>
          <w:i w:val="0"/>
          <w:sz w:val="19"/>
        </w:rPr>
        <w:t xml:space="preserve"> (GeDIG) — KI-gestützte Krankenkassen-Angebote in der ePA (versichertenverständliche Aufbereitung von Befunden, individualisierte Beipackzettel), zeitlich befristete Reallabore für Krankenkassen, direkte Marktbeschaffung durch die gematik, Volltextsuche in der ePA ab Anfang 2027, digitale Impfnachweise ab Mitte 2027, verpflichtender TI-Anschluss bis 1. September 2029; rund 445 Millionen Euro jährliche Entlastungswirkung — bricht die über achtzehn Läufe dokumentierte Serie ohne KI-spezifischen G-BA-/gematik-/BfArM-Beschluss und wird in § 7.3 aufgenommen; die Konzernmitteilung von </w:t>
      </w:r>
      <w:r>
        <w:rPr>
          <w:rFonts w:ascii="Arial" w:hAnsi="Arial"/>
          <w:b w:val="0"/>
          <w:i/>
          <w:sz w:val="19"/>
        </w:rPr>
        <w:t>Thomson Reuters</w:t>
      </w:r>
      <w:r>
        <w:rPr>
          <w:rFonts w:ascii="Arial" w:hAnsi="Arial"/>
          <w:b w:val="0"/>
          <w:i w:val="0"/>
          <w:sz w:val="19"/>
        </w:rPr>
        <w:t xml:space="preserve"> vom 13. Juli 2026 mit einer Reduktion von bis zu 500 Engineering-Stellen (rund 1,8 % von 27.100 Beschäftigten, rund 5,2 % der 9.400 Beschäftigten in Operations-and-Technology) und expliziter Umschichtung „hin zu KI-nativen Rollen" bei zugleich Q1-FY-2026-Umsatzplus von rund 10 %; die SEC-8-K-Meldung von </w:t>
      </w:r>
      <w:r>
        <w:rPr>
          <w:rFonts w:ascii="Arial" w:hAnsi="Arial"/>
          <w:b w:val="0"/>
          <w:i/>
          <w:sz w:val="19"/>
        </w:rPr>
        <w:t>Sprout Social</w:t>
      </w:r>
      <w:r>
        <w:rPr>
          <w:rFonts w:ascii="Arial" w:hAnsi="Arial"/>
          <w:b w:val="0"/>
          <w:i w:val="0"/>
          <w:sz w:val="19"/>
        </w:rPr>
        <w:t xml:space="preserve"> (NASDAQ: SPT) vom 15. Juli 2026 mit einer Reduktion von rund 260 Positionen (20 % der Belegschaft; Board-Beschluss 8. Juli 2026), Restrukturierungs­aufwand 18–20 Millionen US-Dollar und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 beide Ankündigungen werden in § 1.1 als Ausweitung der KI-Restrukturierung auf Enterprise-Software-, Analytics- und Legal-/Tax-/Regulatory-Segmentanbieter aufgenommen; sowie die zum 17. Juli 2026 avisierte Freigabe von </w:t>
      </w:r>
      <w:r>
        <w:rPr>
          <w:rFonts w:ascii="Arial" w:hAnsi="Arial"/>
          <w:b w:val="0"/>
          <w:i/>
          <w:sz w:val="19"/>
        </w:rPr>
        <w:t>Gemini 3.5 Pro</w:t>
      </w:r>
      <w:r>
        <w:rPr>
          <w:rFonts w:ascii="Arial" w:hAnsi="Arial"/>
          <w:b w:val="0"/>
          <w:i w:val="0"/>
          <w:sz w:val="19"/>
        </w:rPr>
        <w:t xml:space="preserve"> durch Google DeepMind nach Vollumbau der 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zum monatlichen Preis von 250 US-Dollar, autonomes Werkzeug- und Coding-Verhalten; TechTimes 13. Juli 2026, BigGo Finance 13. Juli 2026, HackerNoon 13. Juli 2026, Enterprise DNA, ZoomBangla, Memeburn — Zeitpunkt und Spezifikationen zum Zeitpunkt der Berichterstattung nicht durch offizielle Google-Mitteilung bestätigt) — Aufnahme in § 8.2 als weitere Frontier-Freigabe innerhalb der zehntägigen Juli-2026-Serie (Grok 4.5 8. Juli, GPT-5.6 und Muse Spark 1.1 9. Juli, Gemini 3.5 Pro 17. Juli) und als Illustration der aufwärts gerichteten Preisspreizung am oberen Ende (Deep-Think-Modus 250 USD/Monat) neben der abwärts gerichteten Workhorse-Deflation. Lauf 001 vom 18. Juli 2026 ergänzt eine weitere Fortschreibung: die am 16. Juli 2026 durch das chinesische Unternehmen </w:t>
      </w:r>
      <w:r>
        <w:rPr>
          <w:rFonts w:ascii="Arial" w:hAnsi="Arial"/>
          <w:b w:val="0"/>
          <w:i/>
          <w:sz w:val="19"/>
        </w:rPr>
        <w:t>Moonshot AI</w:t>
      </w:r>
      <w:r>
        <w:rPr>
          <w:rFonts w:ascii="Arial" w:hAnsi="Arial"/>
          <w:b w:val="0"/>
          <w:i w:val="0"/>
          <w:sz w:val="19"/>
        </w:rPr>
        <w:t xml:space="preserve"> (Peking) vollzogene Freigabe des Modells </w:t>
      </w:r>
      <w:r>
        <w:rPr>
          <w:rFonts w:ascii="Arial" w:hAnsi="Arial"/>
          <w:b w:val="0"/>
          <w:i/>
          <w:sz w:val="19"/>
        </w:rPr>
        <w:t>Kimi K3</w:t>
      </w:r>
      <w:r>
        <w:rPr>
          <w:rFonts w:ascii="Arial" w:hAnsi="Arial"/>
          <w:b w:val="0"/>
          <w:i w:val="0"/>
          <w:sz w:val="19"/>
        </w:rPr>
        <w:t xml:space="preserve"> (VentureBeat, Fortune, TechCrunch, People's Daily, Warp2Search, MLQ News, The Decoder, Simon Willison) als „first open 3-trillion-parameter-class AI model" mit rund 2,8 Billionen Gesamtparametern in einer Mixture-of-Experts-Architektur — dem bislang größten offen zugänglichen KI-Modell überhaupt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vollständige Open-Weight-Veröffentlichung für den 27. Juli 2026 angekündigt); </w:t>
      </w:r>
      <w:r>
        <w:rPr>
          <w:rFonts w:ascii="Arial" w:hAnsi="Arial"/>
          <w:b w:val="0"/>
          <w:i/>
          <w:sz w:val="19"/>
        </w:rPr>
        <w:t>Artificial-Analysis-Intelligence-Index</w:t>
      </w:r>
      <w:r>
        <w:rPr>
          <w:rFonts w:ascii="Arial" w:hAnsi="Arial"/>
          <w:b w:val="0"/>
          <w:i w:val="0"/>
          <w:sz w:val="19"/>
        </w:rPr>
        <w:t xml:space="preserve">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Input / 15 US-Dollar Output pro Million Token, Cache-Read 0,30 US-Dollar — Preisniveau des </w:t>
      </w:r>
      <w:r>
        <w:rPr>
          <w:rFonts w:ascii="Arial" w:hAnsi="Arial"/>
          <w:b w:val="0"/>
          <w:i/>
          <w:sz w:val="19"/>
        </w:rPr>
        <w:t>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xml:space="preserve">: „signaling the end of super cheap Chinese AI"). Aufnahme in § 8.2 als Ergänzung der Rohstoff-Analogie um die Präzisierung, dass die Open-Weight-Verlagerung nicht mehr allein über Preisunterbietung, sondern zunehmend über Kapazitätsführerschaft auf einer bislang den US-Frontier-Anbietern vorbehaltenen Ebene erfolgt, und als Beleg für die Preis-Konvergenz chinesischer Open-Weight-Anbieter Richtung US-Workhorse-Niveau — Rückwirkung auf § 8.3 (Zugriffspfade auf inländische KI-Wertschöpfung gewinnen an Substanz, verlassen sich aber nicht mehr auf eine dauerhaft günstige Import-Ökonomie chinesischer Modelle). Lauf 001 vom 19. Juli 2026 ergänzt zwei weitere Fortschreibungen: die durch das intern reviewte Reuters-Memo (aufgegriffen von CNBC am 9. Juli 2026, DataCenterDynamics und Yahoo Finance) und die vertiefende Berichterstattung von </w:t>
      </w:r>
      <w:r>
        <w:rPr>
          <w:rFonts w:ascii="Arial" w:hAnsi="Arial"/>
          <w:b w:val="0"/>
          <w:i/>
          <w:sz w:val="19"/>
        </w:rPr>
        <w:t>TechTimes</w:t>
      </w:r>
      <w:r>
        <w:rPr>
          <w:rFonts w:ascii="Arial" w:hAnsi="Arial"/>
          <w:b w:val="0"/>
          <w:i w:val="0"/>
          <w:sz w:val="19"/>
        </w:rPr>
        <w:t xml:space="preserve"> vom 17. Juli 2026 („Meta's Iris AI Chip Passes Testing: Broadcom Now Designs Chips for Three Rivals") verdichtete Custom-Silicon-Konzentrations­dimension der Rohstoff-Analogie (§ 8.2) — Meta </w:t>
      </w:r>
      <w:r>
        <w:rPr>
          <w:rFonts w:ascii="Arial" w:hAnsi="Arial"/>
          <w:b w:val="0"/>
          <w:i/>
          <w:sz w:val="19"/>
        </w:rPr>
        <w:t>V3 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schließt die Bug-Testphase innerhalb von rund sechs Wochen ab, TSMC-Serien­fertigung ab September 2026 avisiert; Design­partner </w:t>
      </w:r>
      <w:r>
        <w:rPr>
          <w:rFonts w:ascii="Arial" w:hAnsi="Arial"/>
          <w:b w:val="0"/>
          <w:i/>
          <w:sz w:val="19"/>
        </w:rPr>
        <w:t>Broadcom</w:t>
      </w:r>
      <w:r>
        <w:rPr>
          <w:rFonts w:ascii="Arial" w:hAnsi="Arial"/>
          <w:b w:val="0"/>
          <w:i w:val="0"/>
          <w:sz w:val="19"/>
        </w:rPr>
        <w:t xml:space="preserve"> entwirft parallel Custom-AI-ASICs für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während </w:t>
      </w:r>
      <w:r>
        <w:rPr>
          <w:rFonts w:ascii="Arial" w:hAnsi="Arial"/>
          <w:b w:val="0"/>
          <w:i/>
          <w:sz w:val="19"/>
        </w:rPr>
        <w:t>Anthropic</w:t>
      </w:r>
      <w:r>
        <w:rPr>
          <w:rFonts w:ascii="Arial" w:hAnsi="Arial"/>
          <w:b w:val="0"/>
          <w:i w:val="0"/>
          <w:sz w:val="19"/>
        </w:rPr>
        <w:t xml:space="preserve"> mit </w:t>
      </w:r>
      <w:r>
        <w:rPr>
          <w:rFonts w:ascii="Arial" w:hAnsi="Arial"/>
          <w:b w:val="0"/>
          <w:i/>
          <w:sz w:val="19"/>
        </w:rPr>
        <w:t>Samsung Foundry</w:t>
      </w:r>
      <w:r>
        <w:rPr>
          <w:rFonts w:ascii="Arial" w:hAnsi="Arial"/>
          <w:b w:val="0"/>
          <w:i w:val="0"/>
          <w:sz w:val="19"/>
        </w:rPr>
        <w:t xml:space="preserve"> über einen 2-nm-Chip verhandelt und </w:t>
      </w:r>
      <w:r>
        <w:rPr>
          <w:rFonts w:ascii="Arial" w:hAnsi="Arial"/>
          <w:b w:val="0"/>
          <w:i/>
          <w:sz w:val="19"/>
        </w:rPr>
        <w:t>Amazon</w:t>
      </w:r>
      <w:r>
        <w:rPr>
          <w:rFonts w:ascii="Arial" w:hAnsi="Arial"/>
          <w:b w:val="0"/>
          <w:i w:val="0"/>
          <w:sz w:val="19"/>
        </w:rPr>
        <w:t>/</w:t>
      </w:r>
      <w:r>
        <w:rPr>
          <w:rFonts w:ascii="Arial" w:hAnsi="Arial"/>
          <w:b w:val="0"/>
          <w:i/>
          <w:sz w:val="19"/>
        </w:rPr>
        <w:t>Microsoft</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FY-2026-Q2-Umsatz 10,8 Mrd. USD (+143 % gegenüber Vorjahresquartal); Aufnahme in § 8.2 als Design­partner-Konzentrations­befund parallel zur </w:t>
      </w:r>
      <w:r>
        <w:rPr>
          <w:rFonts w:ascii="Arial" w:hAnsi="Arial"/>
          <w:b w:val="0"/>
          <w:i/>
          <w:sz w:val="19"/>
        </w:rPr>
        <w:t>Kyber</w:t>
      </w:r>
      <w:r>
        <w:rPr>
          <w:rFonts w:ascii="Arial" w:hAnsi="Arial"/>
          <w:b w:val="0"/>
          <w:i w:val="0"/>
          <w:sz w:val="19"/>
        </w:rPr>
        <w:t xml:space="preserve">-Rack-Verzögerung und als Volatilitätsargument gegen bestandsorientierte Umverteilungslogik (§ 8.3); sowie die Fortschreibung des </w:t>
      </w:r>
      <w:r>
        <w:rPr>
          <w:rFonts w:ascii="Arial" w:hAnsi="Arial"/>
          <w:b w:val="0"/>
          <w:i/>
          <w:sz w:val="19"/>
        </w:rPr>
        <w:t>SkillSyncer</w:t>
      </w:r>
      <w:r>
        <w:rPr>
          <w:rFonts w:ascii="Arial" w:hAnsi="Arial"/>
          <w:b w:val="0"/>
          <w:i w:val="0"/>
          <w:sz w:val="19"/>
        </w:rPr>
        <w:t xml:space="preserve">-Layoff-Trackers zum 19. Juli 2026 (302 Layoff-Ereignisse, 201.754 betroffene Beschäftigte, 164 KI-attribuierte Ereignisse mit rund 168.770 KI-attribuierten Personen; +35 Ereignisse und +15.860 Personen gegenüber dem 9. Juli 2026; die Aggregat-KI-Kausalquote sinkt tendenziell von 56 auf 54 %) als Aggregat-Beleg der beschleunigenden Tech-Restrukturierung und als Präzisierung der KI-Kausalquote (§ 1.1, § 9.1). Lauf 001 vom 20. Juli 2026 ergänzt eine weitere Fortschreibung: die im NBER-Working-Paper-Katalog vom Juli 2026 aufgeführte szenariogestützte Fiskalanalyse von Karen Dynan (Harvard), Douglas Elmendorf (Harvard, früherer CBO-Direktor) und Louise Sheiner (Brookings, Hutchins Center) mit dem Titel </w:t>
      </w:r>
      <w:r>
        <w:rPr>
          <w:rFonts w:ascii="Arial" w:hAnsi="Arial"/>
          <w:b w:val="0"/>
          <w:i/>
          <w:sz w:val="19"/>
        </w:rPr>
        <w:t>„How Might Fiscal Policy Respond to the Rise of Artificial Intelligence?"</w:t>
      </w:r>
      <w:r>
        <w:rPr>
          <w:rFonts w:ascii="Arial" w:hAnsi="Arial"/>
          <w:b w:val="0"/>
          <w:i w:val="0"/>
          <w:sz w:val="19"/>
        </w:rPr>
        <w:t xml:space="preserve"> (NBER Working Paper 35437, vorbereitet für die Brookings-Konferenz </w:t>
      </w:r>
      <w:r>
        <w:rPr>
          <w:rFonts w:ascii="Arial" w:hAnsi="Arial"/>
          <w:b w:val="0"/>
          <w:i/>
          <w:sz w:val="19"/>
        </w:rPr>
        <w:t>„The Forces Shaping America's Fiscal Future"</w:t>
      </w:r>
      <w:r>
        <w:rPr>
          <w:rFonts w:ascii="Arial" w:hAnsi="Arial"/>
          <w:b w:val="0"/>
          <w:i w:val="0"/>
          <w:sz w:val="19"/>
        </w:rPr>
        <w:t xml:space="preserve"> im Juni 2026; öffentliche Rezeption unter anderem in </w:t>
      </w:r>
      <w:r>
        <w:rPr>
          <w:rFonts w:ascii="Arial" w:hAnsi="Arial"/>
          <w:b w:val="0"/>
          <w:i/>
          <w:sz w:val="19"/>
        </w:rPr>
        <w:t>Wyoming News Now</w:t>
      </w:r>
      <w:r>
        <w:rPr>
          <w:rFonts w:ascii="Arial" w:hAnsi="Arial"/>
          <w:b w:val="0"/>
          <w:i w:val="0"/>
          <w:sz w:val="19"/>
        </w:rPr>
        <w:t xml:space="preserve"> / Franchise Group vom 14. Juli 2026): Bei einem aktuellen US-Schuldenstand von rund 101 % des Bruttoinlandsprodukts und einer CBO-Baseline-Projektion von rund 175 % bis 2056 modellieren die Autoren vier Langfristszenarien (schnelleres Produktivitätswachstum, größere Einkommensungleichheit, dauerhafte Beschäftigungs­verdrängung, höherer Kapitalanteil am Einkommen) und finden im Worst-Case-KI-Szenario (permanente Arbeitsplatz­verluste, Einkommensverschiebung zu Kapitalbesitzern) eine 2056er-Schulden­quote von nur noch rund 126 % — eine Reduktion um 49 Prozentpunkte gegenüber der Baseline, allerdings zum Preis einer erheblichen Verteilungsverschiebung. Die Autoren würden die aktuelle CBO-Annahme von +0,1 Prozentpunkten zusätzlichem jährlichen KI-Produktivitätswachstum sinngemäß als zu konservativ bezeichnen (Elmendorf: „einen größeren Schub" einzukalkulieren), betonen aber die Prognoseunsicherheit; ihre politikrobuste Empfehlung ist ein Instrumentenmix aus wachstumsfördernden Maßnahmen, Umverteilung, breit angelegter Arbeitsvermittlung/Qualifizierung (statt KI-spezifischer Programme) sowie Kapital­besteuerung und Eigentums­fragen. Aufnahme in § 3.3 als quantitative Szenariomatrix, die den Korinek-Lockwood-Rahmen ergänzt, und mit Rückwirkung auf § 3.5 als weitere empirisch-quantitative Stütze der szenariorobusten steuerpolitischen Auslegung. Lauf 001 vom 21. Juli 2026 ergänzt eine weitere Fortschreibung: die am 13. Juli 2026 durch das </w:t>
      </w:r>
      <w:r>
        <w:rPr>
          <w:rFonts w:ascii="Arial" w:hAnsi="Arial"/>
          <w:b w:val="0"/>
          <w:i/>
          <w:sz w:val="19"/>
        </w:rPr>
        <w:t>Stanford Digital Economy Lab</w:t>
      </w:r>
      <w:r>
        <w:rPr>
          <w:rFonts w:ascii="Arial" w:hAnsi="Arial"/>
          <w:b w:val="0"/>
          <w:i w:val="0"/>
          <w:sz w:val="19"/>
        </w:rPr>
        <w:t xml:space="preserve"> veröffentlichte Erklärung </w:t>
      </w:r>
      <w:r>
        <w:rPr>
          <w:rFonts w:ascii="Arial" w:hAnsi="Arial"/>
          <w:b w:val="0"/>
          <w:i/>
          <w:sz w:val="19"/>
        </w:rPr>
        <w:t>„We Must Act Now: A Statement on AI's Transformation of the Economy"</w:t>
      </w:r>
      <w:r>
        <w:rPr>
          <w:rFonts w:ascii="Arial" w:hAnsi="Arial"/>
          <w:b w:val="0"/>
          <w:i w:val="0"/>
          <w:sz w:val="19"/>
        </w:rPr>
        <w:t xml:space="preserve"> mit ausführlicher Rezeption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w:t>
      </w:r>
      <w:r>
        <w:rPr>
          <w:rFonts w:ascii="Arial" w:hAnsi="Arial"/>
          <w:b w:val="0"/>
          <w:i/>
          <w:sz w:val="19"/>
        </w:rPr>
        <w:t>NBC News</w:t>
      </w:r>
      <w:r>
        <w:rPr>
          <w:rFonts w:ascii="Arial" w:hAnsi="Arial"/>
          <w:b w:val="0"/>
          <w:i w:val="0"/>
          <w:sz w:val="19"/>
        </w:rPr>
        <w:t xml:space="preserve">, </w:t>
      </w:r>
      <w:r>
        <w:rPr>
          <w:rFonts w:ascii="Arial" w:hAnsi="Arial"/>
          <w:b w:val="0"/>
          <w:i/>
          <w:sz w:val="19"/>
        </w:rPr>
        <w:t>The Hill</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Breitbart</w:t>
      </w:r>
      <w:r>
        <w:rPr>
          <w:rFonts w:ascii="Arial" w:hAnsi="Arial"/>
          <w:b w:val="0"/>
          <w:i w:val="0"/>
          <w:sz w:val="19"/>
        </w:rPr>
        <w:t xml:space="preserve"> (14./15. Juli 2026) und einer UVA-Darden-Erläuterung zur Rolle Korineks vom 15. Juli 2026, organisiert von Erik Brynjolfsson (Stanford), Ajay Agrawal (Toronto), Anton Korinek (UVA / Anthropic) und Tom Cunningham (METR) und zum Startzeitpunkt von mehr als 200 Ökonominnen, Ökonomen und KI-Forschenden unterzeichnet — darunter sechzehn Nobelpreisträger (u. a. Daron Acemoglu, Simon Johnson, Joseph Stiglitz, Paul Krugman, Michael Spence, Ben Bernanke) und Vertreter aus KI-Unternehmen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Aufnahme in § 3.3 als politisch-institutionelle Verankerung des Korinek-Lockwood-Rahmens und als dokumentierte Positionsbewegung von Acemoglu/Johnson mit Rückwirkung auf § 3.5 und § 11.3. Mit Schnitt am 22. Juli 2026 (Lauf 001 vom 22. Juli 2026) tritt Version 42.0 hinzu und ergänzt zwei belegbare Fortschreibungen aus dem 7-Tage-Fenster bzw. 48-Stunden-Fenster für Cluster F: die am 20. Juli 2026 durch US-Bezirksrichterin Araceli Martinez-Olguin (in Nachfolge des in den Ruhestand gegangenen Richters William Alsup) am United States District Court for the Northern District of California erteilte endgültige Genehmigung des 1,5-Milliarden-Dollar-Vergleichs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mit rund 500.000 Werken zu je rund 3.000 US-Dollar (TechCrunch, hothardware, Yahoo Finance, Publishers Weekly, TechTimes, Benzinga, Claims Journal 20./21. Juli 2026) — größter Copyright-Vergleich der US-Rechtsgeschichte, keine bindende Präzedenzwirkung; Alsup hatte im Vorlauf entschieden, dass das Training auf legal erworbenen urheberrechtlich geschützten Texten unter die US-Fair-Use-Doktrin fällt, während das Herunterladen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 Aufnahme in § 8.2 als erster großmaßstäblicher monetärer Referenzwert für die Trainingsdaten-Ebene der KI-Wertschöpfungskette mit Rückwirkung auf § 8.3 (Trennung zwischen zivilrechtlicher Vergütung am Ort der Rohstoffproduktion und öffentlich-rechtlichem Zugriff am Ort der Veredelungsrendite); sowie die Fortschreibung des </w:t>
      </w:r>
      <w:r>
        <w:rPr>
          <w:rFonts w:ascii="Arial" w:hAnsi="Arial"/>
          <w:b w:val="0"/>
          <w:i/>
          <w:sz w:val="19"/>
        </w:rPr>
        <w:t>SkillSyncer</w:t>
      </w:r>
      <w:r>
        <w:rPr>
          <w:rFonts w:ascii="Arial" w:hAnsi="Arial"/>
          <w:b w:val="0"/>
          <w:i w:val="0"/>
          <w:sz w:val="19"/>
        </w:rPr>
        <w:t xml:space="preserve">-Layoff-Trackers zum 22. Juli 2026 (322 Layoff-Ereignisse, 205.832 betroffene Beschäftigte, 173 KI-attribuierte Ereignisse mit rund 170.945 KI-attribuierten Personen; +20 Ereignisse und +4.078 Personen gegenüber dem 19. Juli 2026; die Aggregat-KI-Kausalquote bleibt stabil bei 54 %) — Aufnahme in § 1.1 als Aggregat-Beleg der weiterhin gleichmäßigen Tech-Restrukturierung und Präzisierung der KI-Kausalquote (§ 9.1). Mit Schnitt am 23. Juli 2026 (Lauf 001 vom 23. Juli 2026) tritt Version 43.0 hinzu und ergänzt drei belegbare Fortschreibungen aus dem 7-Tage-Fenster bzw. 48-Stunden-Fenster für Cluster F und J: die am 17. Juli 2026 vom Board of Governors of the Federal Reserve System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von Paul E. Soto, Mason Thieu und Jeffrey S. Allen mit der Einordnung der aktuellen Phase als „Buildout-Phase" (konzentrierte, im Aggregat nicht verbreiterte Arbeitsmarkteffekte; konsistente Produktivitätstrends zwischen Sektoren hoher/mittlerer/niedriger KI-Exposition; KI-Effekt bei jüngeren Beschäftigten „primär in verlangsamter Einstellungsdynamik statt in unmittelbaren Entlassungen"; höchste sektorale Exposition in NAICS 51 und 54) — Aufnahme in § 1.1 mit Rückwirkung auf § 8.3 und § 9.1; die zum 22. Juli 2026 in Kraft tretende Meta-Entlassungswelle im US-Bundesstaat Washington mit 1.395 Beschäftigten (Bellevue 699, Seattle 259 aus zwei Büros, Redmond 206, Remote 231) als Teil der konzernweiten 8.000-Stellen-AI-Restrukturierung bei einer globalen März-2026-Belegschaft von knapp 78.000 sowie die parallel am 22. Juli 2026 kommunizierten Amazon-Streichungen in der </w:t>
      </w:r>
      <w:r>
        <w:rPr>
          <w:rFonts w:ascii="Arial" w:hAnsi="Arial"/>
          <w:b w:val="0"/>
          <w:i/>
          <w:sz w:val="19"/>
        </w:rPr>
        <w:t>Artificial-General-Intelligence</w:t>
      </w:r>
      <w:r>
        <w:rPr>
          <w:rFonts w:ascii="Arial" w:hAnsi="Arial"/>
          <w:b w:val="0"/>
          <w:i w:val="0"/>
          <w:sz w:val="19"/>
        </w:rPr>
        <w:t xml:space="preserve">-Organisation (Nova-Foundation-Modelle, Silizium- und Quantencomputing-Programme; Teams der Vice Presidents Adeeb Shanaa und Vishal Sharma; strategische Verschiebung „hin zu kundenzentrierter KI") — Aufnahme in § 1.1 als Cluster-F-Beleg des Deployment-vor-Grundlagenforschung-Umschwungs; sowie den </w:t>
      </w:r>
      <w:r>
        <w:rPr>
          <w:rFonts w:ascii="Arial" w:hAnsi="Arial"/>
          <w:b w:val="0"/>
          <w:i/>
          <w:sz w:val="19"/>
        </w:rPr>
        <w:t>Tesla</w:t>
      </w:r>
      <w:r>
        <w:rPr>
          <w:rFonts w:ascii="Arial" w:hAnsi="Arial"/>
          <w:b w:val="0"/>
          <w:i w:val="0"/>
          <w:sz w:val="19"/>
        </w:rPr>
        <w:t xml:space="preserve">-Q2-2026-Earnings-Call am 22. Juli 2026 mit Full-Year-Capex-Guidance über 25 Milliarden US-Dollar bei neuer 30-Milliarden-US-Dollar-Fremdfinanzierungslinie, dem 46-Tage-Abbau der Model-S-/-X-Linien in Fremont, der Installation der </w:t>
      </w:r>
      <w:r>
        <w:rPr>
          <w:rFonts w:ascii="Arial" w:hAnsi="Arial"/>
          <w:b w:val="0"/>
          <w:i/>
          <w:sz w:val="19"/>
        </w:rPr>
        <w:t>Optimus-Gen-3</w:t>
      </w:r>
      <w:r>
        <w:rPr>
          <w:rFonts w:ascii="Arial" w:hAnsi="Arial"/>
          <w:b w:val="0"/>
          <w:i w:val="0"/>
          <w:sz w:val="19"/>
        </w:rPr>
        <w:t xml:space="preserve">-Erstlinien (Long-Term-Auslegung bis eine Million Roboter pro Jahr, Anlauf „quite flat and long"), rund 10.000 unikalen Bauteilen ohne bestehende Zulieferkette, Musks Selbst­einordnung als „hardest product to scale manufacturing that we've ever made at Tesla", AI-Compute-Partnerschaften mit Samsung Foundry und TSMC, der „Terafab"-Ankündigung, dem Free Cashflow Q2 von −1,1 Milliarden US-Dollar und der Robotaxi-Ausweitung auf sieben US-Metropolregionen mit rund 380.000 unbeaufsichtigten Meilen — Aufnahme in § 8.2 mit Rückwirkung auf § 8.3 als physisch-robotische Ergänzung der Compute- und Silicon-Design-Konzentration. Mit Schnitt am 24. Juli 2026 (Lauf 001 vom 24. Juli 2026) tritt Version 44.0 hinzu und ergänzt drei belegbare Fortschreibungen aus dem 48-Stunden-Fenster für Cluster F/I und aus dem 7-Tage-Fenster für Cluster D: den </w:t>
      </w:r>
      <w:r>
        <w:rPr>
          <w:rFonts w:ascii="Arial" w:hAnsi="Arial"/>
          <w:b w:val="0"/>
          <w:i/>
          <w:sz w:val="19"/>
        </w:rPr>
        <w:t>Alphabet</w:t>
      </w:r>
      <w:r>
        <w:rPr>
          <w:rFonts w:ascii="Arial" w:hAnsi="Arial"/>
          <w:b w:val="0"/>
          <w:i w:val="0"/>
          <w:sz w:val="19"/>
        </w:rPr>
        <w:t xml:space="preserve">-Q2-2026-Earnings-Call am Abend des 22. Juli 2026 mit einem Konzernumsatz von 119,8 Milliarden US-Dollar (+24 % gegenüber Vorjahr), einem Google-Cloud-Umsatz von 24,8 Milliarden US-Dollar (+82 %) bei einem Auftragsbestand von 514 Milliarden US-Dollar, Q2-Kapitalausgaben von 44,9 Milliarden US-Dollar bei einem erstmals seit rund zehn Jahren negativen Free Cashflow (−5,9 Milliarden US-Dollar) sowie einer Anhebung der Full-Year-Capex-Guidance 2026 von 180–190 auf 195–205 Milliarden US-Dollar (+15 Milliarden US-Dollar in einem Quartal); nach-börsliche Aktienreaktion rund −7 % — Aufnahme in § 1.1 und § 8.2 als Fortschreibung der Compute-Rohstoff-Konzentrations- und Nachfrageüberhitzungs-These; den </w:t>
      </w:r>
      <w:r>
        <w:rPr>
          <w:rFonts w:ascii="Arial" w:hAnsi="Arial"/>
          <w:b w:val="0"/>
          <w:i/>
          <w:sz w:val="19"/>
        </w:rPr>
        <w:t>Intel</w:t>
      </w:r>
      <w:r>
        <w:rPr>
          <w:rFonts w:ascii="Arial" w:hAnsi="Arial"/>
          <w:b w:val="0"/>
          <w:i w:val="0"/>
          <w:sz w:val="19"/>
        </w:rPr>
        <w:t xml:space="preserve">-Q2-2026-Earnings-Call am 23. Juli 2026 mit einem Konzernumsatz von 16,1 Milliarden US-Dollar (+25 %; stärkstes Quartalswachstum seit über 15 Jahren), einem Data-Center-and-AI-Wachstum von 59 % auf 6,3 Milliarden US-Dollar, Non-GAAP-EPS 0,42 US-Dollar (Guidance 0,20 USD), einer Anhebung der Full-Year-Capex-Guidance 2026 von 17 auf über 20 Milliarden US-Dollar bei „significantly above"-Prognose für 2027 sowie der ausdrücklichen Aussage, die vorliegenden Bestellungen für Server-Produkte gegenwärtig nicht vollständig erfüllen zu können und 10 langfristige Verträge mit Server-CPU-Großkunden geschlossen zu haben — Aufnahme in § 1.1 und § 8.2 als Hardware-seitige Bestätigung derselben Diagnose; die Freigabe des </w:t>
      </w:r>
      <w:r>
        <w:rPr>
          <w:rFonts w:ascii="Arial" w:hAnsi="Arial"/>
          <w:b w:val="0"/>
          <w:i/>
          <w:sz w:val="19"/>
        </w:rPr>
        <w:t>Anthropic Economic Index Connector</w:t>
      </w:r>
      <w:r>
        <w:rPr>
          <w:rFonts w:ascii="Arial" w:hAnsi="Arial"/>
          <w:b w:val="0"/>
          <w:i w:val="0"/>
          <w:sz w:val="19"/>
        </w:rPr>
        <w:t xml:space="preserve"> für Claude am 22. Juli 2026 als öffentlich zugängliches, niedrigschwelliges Abfrage-Instrument für den bereits in § 3.5 verankerten Anthropic Economic Index — Aufnahme in § 1.1 und § 11.3 mit Rückwirkung auf § 3.5 und § 9.1 als Verstetigungsbeleg des Index als öffentlichem Beobachtungsformat. Mit Schnitt am 25. Juli 2026 (Lauf 001 vom 25. Juli 2026) tritt Version 45.0 hinzu und ergänzt eine belegbare Fortschreibung aus dem 7-Tage-Fenster für Cluster A/B: die am 24. Juli 2026 durch die OECD in der Reihe </w:t>
      </w:r>
      <w:r>
        <w:rPr>
          <w:rFonts w:ascii="Arial" w:hAnsi="Arial"/>
          <w:b w:val="0"/>
          <w:i/>
          <w:sz w:val="19"/>
        </w:rPr>
        <w:t>OECD Artificial Intelligence Papers</w:t>
      </w:r>
      <w:r>
        <w:rPr>
          <w:rFonts w:ascii="Arial" w:hAnsi="Arial"/>
          <w:b w:val="0"/>
          <w:i w:val="0"/>
          <w:sz w:val="19"/>
        </w:rPr>
        <w:t xml:space="preserve"> veröffentlichte 64-seitige Working-Paper-Studie </w:t>
      </w:r>
      <w:r>
        <w:rPr>
          <w:rFonts w:ascii="Arial" w:hAnsi="Arial"/>
          <w:b w:val="0"/>
          <w:i/>
          <w:sz w:val="19"/>
        </w:rPr>
        <w:t>„Recent policy developments on AI in the labour market"</w:t>
      </w:r>
      <w:r>
        <w:rPr>
          <w:rFonts w:ascii="Arial" w:hAnsi="Arial"/>
          <w:b w:val="0"/>
          <w:i w:val="0"/>
          <w:sz w:val="19"/>
        </w:rPr>
        <w:t>, die die in den G7-Staaten, der Europäischen Union und ausgewählten lateinamerikanischen Volkswirtschaften ergriffenen KI-Arbeitsmarkt-Politikmaßnahmen entlang von sechs Feldern (Automatisierung/Produktivität/Qualifikation/Inklusion; Datenschutz; Nicht-Diskriminierung; Arbeitsschutz; Transparenz/Erklärbarkeit/Rechenschaft; sozialer Dialog) systematisiert; Kernbefund: Politikmaßnahmen mit explizitem KI-Bezug seien am weitesten in KI-Qualifikation und KI-Adoption entwickelt, während konkrete Regelungen in Datenschutz, Transparenz und Rechenschaftspflicht überwiegend erst aufkämen — Aufnahme in § 4.4 (OECD-weite Bestandsaufnahme als Vergleichshorizont zum AI-Act-/KI-MIG-/Digital-Omnibus-Rahmen) mit Rückwirkung auf § 4.5 (Sanders/OpenAI im internationalen Vergleich als avanciertere Debattenposition), § 5.2 (Sozialpartner-Verankerung als international anschlussfähig) und § 9.1 (schwache Transparenz-/Rechenschafts-Entwicklung als weiteres Argument gegen Typ-5-Ersatzabgabe) sowie Neueintrag in § 11.3.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45.0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