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10.0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im Zusammenspiel mit den am selben Tag bekräftigten Meta-Streichungen ordneten Wirtschaftsmedien (CNBC, 24. April 2026) die Welle erstmals als „AI-driven labor crisis" ein — ein Begriff, der den Übergang von Einzelfällen zu einer kumulativen Branchenerzählung markiert.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ein zweiter Trilogtermin ist für den 28. April 2026 vorgesehen, mit dem Ziel, einen förmlichen Rechtsakt noch vor dem ursprünglichen Stichtag am 2. August 2026 zu verabschieden.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und gilt nach Einschätzung lokaler Beobachter als unwahrscheinlich; Mills wurde von der demokratisch dominierten Legislative bislang nicht überstimmt.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Für KI-spezifische steuerliche Anknüpfungspunkte (etwa Nutzungs- oder Standortsabgaben auf Rechenzentren) bleibt der Vorstoß ein Präzedenzraum, weil er das politische Vokabular (Strom­schwellen, Coordination Council, Carve-outs) in den US-bundesstaatlichen Diskurs eingeführt hat — auch wenn Maine selbst zunächst kein wirksames Moratorium etabliert.</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Europäisches Parlament / Rat der EU. (April 2026). </w:t>
      </w:r>
      <w:r>
        <w:rPr>
          <w:rFonts w:ascii="Arial" w:hAnsi="Arial"/>
          <w:b w:val="0"/>
          <w:i/>
          <w:sz w:val="19"/>
        </w:rPr>
        <w:t>Trilog zu Digital Omnibus on AI — Verhandlungsstand.</w:t>
      </w:r>
      <w:r>
        <w:rPr>
          <w:rFonts w:ascii="Arial" w:hAnsi="Arial"/>
          <w:b w:val="0"/>
          <w:i w:val="0"/>
          <w:sz w:val="19"/>
        </w:rPr>
        <w:t xml:space="preserve"> Legislative Train Schedule.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