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CLOUD Act &amp; Deutsche Datensouver��nit��t</w:t>
      </w:r>
    </w:p>
    <w:p>
      <w:pPr>
        <w:pStyle w:val="Author"/>
      </w:pPr>
      <w:r>
        <w:t xml:space="preserve">Bj��rn Degenkolbe, 4K Analytics GmbH / HIGL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4" w:name="us-cloud-act-deutsche-datensouveränität"/>
    <w:p>
      <w:pPr>
        <w:pStyle w:val="Heading1"/>
      </w:pPr>
      <w:r>
        <w:t xml:space="preserve">US CLOUD Act &amp; Deutsche Datensouveränität</w:t>
      </w:r>
    </w:p>
    <w:bookmarkStart w:id="20" w:name="X4e860a5753598db6751b40193a2ee10211f0c0f"/>
    <w:p>
      <w:pPr>
        <w:pStyle w:val="Heading2"/>
      </w:pPr>
      <w:r>
        <w:t xml:space="preserve">Rechtliche Analyse · Anbieterbewertung · Globale Strategien · DSGVO-Handlungsempfehlungen</w:t>
      </w:r>
    </w:p>
    <w:p>
      <w:pPr>
        <w:pStyle w:val="FirstParagraph"/>
      </w:pPr>
      <w:r>
        <w:rPr>
          <w:bCs/>
          <w:b/>
        </w:rPr>
        <w:t xml:space="preserve">Autor:</w:t>
      </w:r>
      <w:r>
        <w:t xml:space="preserve"> </w:t>
      </w:r>
      <w:r>
        <w:t xml:space="preserve">Björn Degenkolbe, Geschäftsführer · 4K Analytics GmbH / HIGL – Health Innovators Group Leipzig</w:t>
      </w:r>
      <w:r>
        <w:br/>
      </w:r>
      <w:r>
        <w:rPr>
          <w:bCs/>
          <w:b/>
        </w:rPr>
        <w:t xml:space="preserve">Stand:</w:t>
      </w:r>
      <w:r>
        <w:t xml:space="preserve"> </w:t>
      </w:r>
      <w:r>
        <w:t xml:space="preserve">April 2026</w:t>
      </w:r>
      <w:r>
        <w:br/>
      </w:r>
      <w:r>
        <w:rPr>
          <w:bCs/>
          <w:b/>
        </w:rPr>
        <w:t xml:space="preserve">Version:</w:t>
      </w:r>
      <w:r>
        <w:t xml:space="preserve"> </w:t>
      </w:r>
      <w:r>
        <w:t xml:space="preserve">22.0 — April 2026 · 214 Quellen · 19 Kapitel</w:t>
      </w:r>
      <w:r>
        <w:br/>
      </w:r>
      <w:r>
        <w:rPr>
          <w:bCs/>
          <w:b/>
        </w:rPr>
        <w:t xml:space="preserve">Zweck:</w:t>
      </w:r>
      <w:r>
        <w:t xml:space="preserve"> </w:t>
      </w:r>
      <w:r>
        <w:t xml:space="preserve">Wissensgrundlage für GKV (Gesetzliche Krankenversicherung)/KV (Kassenärztliche Vereinigung)/Klinik-IT-Beratung, LinkedIn-Content, interne Architekturentscheidungen</w:t>
      </w:r>
      <w:r>
        <w:br/>
      </w:r>
      <w:r>
        <w:rPr>
          <w:bCs/>
          <w:b/>
        </w:rPr>
        <w:t xml:space="preserve">Hinweis:</w:t>
      </w:r>
      <w:r>
        <w:t xml:space="preserve"> </w:t>
      </w:r>
      <w:r>
        <w:t xml:space="preserve">Dieses Dokument basiert auf öffentlich verfügbaren Quellen, wurde mit Claude (Anthropic) erstellt und stellt keine Rechtsberatung dar.</w:t>
      </w:r>
    </w:p>
    <w:p>
      <w:r>
        <w:pict>
          <v:rect style="width:0;height:1.5pt" o:hralign="center" o:hrstd="t" o:hr="t"/>
        </w:pict>
      </w:r>
    </w:p>
    <w:bookmarkEnd w:id="20"/>
    <w:bookmarkStart w:id="21" w:name="inhaltsverzeichnis"/>
    <w:p>
      <w:pPr>
        <w:pStyle w:val="Heading2"/>
      </w:pPr>
      <w:r>
        <w:t xml:space="preserve">Inhaltsverzeichnis</w:t>
      </w:r>
    </w:p>
    <w:p>
      <w:pPr>
        <w:numPr>
          <w:ilvl w:val="0"/>
          <w:numId w:val="1001"/>
        </w:numPr>
        <w:pStyle w:val="Compact"/>
      </w:pPr>
      <w:hyperlink w:anchor="Xd83e9a15e82172590a22e70813e3dc47e025c7b">
        <w:r>
          <w:rPr>
            <w:rStyle w:val="Hyperlink"/>
          </w:rPr>
          <w:t xml:space="preserve">Das Kernproblem: Gesundheitsdaten unter US-Zugriff</w:t>
        </w:r>
      </w:hyperlink>
    </w:p>
    <w:p>
      <w:pPr>
        <w:numPr>
          <w:ilvl w:val="0"/>
          <w:numId w:val="1001"/>
        </w:numPr>
        <w:pStyle w:val="Compact"/>
      </w:pPr>
      <w:hyperlink w:anchor="Xc15ffc4b86993ea0ed9cccc77d1ccef4e875c6d">
        <w:r>
          <w:rPr>
            <w:rStyle w:val="Hyperlink"/>
          </w:rPr>
          <w:t xml:space="preserve">Rechtliche Grundlagen: Was der CLOUD Act wirklich sagt</w:t>
        </w:r>
      </w:hyperlink>
    </w:p>
    <w:p>
      <w:pPr>
        <w:numPr>
          <w:ilvl w:val="0"/>
          <w:numId w:val="1001"/>
        </w:numPr>
        <w:pStyle w:val="Compact"/>
      </w:pPr>
      <w:hyperlink w:anchor="X1b67a53fe347d5f9853c876345427ce9dfa47db">
        <w:r>
          <w:rPr>
            <w:rStyle w:val="Hyperlink"/>
          </w:rPr>
          <w:t xml:space="preserve">Die vier US-Zugriffsebenen im Detail</w:t>
        </w:r>
      </w:hyperlink>
    </w:p>
    <w:p>
      <w:pPr>
        <w:numPr>
          <w:ilvl w:val="0"/>
          <w:numId w:val="1001"/>
        </w:numPr>
        <w:pStyle w:val="Compact"/>
      </w:pPr>
      <w:hyperlink w:anchor="X76cb8c1e6afa682e19af164d5a965cfafac6acb">
        <w:r>
          <w:rPr>
            <w:rStyle w:val="Hyperlink"/>
          </w:rPr>
          <w:t xml:space="preserve">Europäischer Behördenzugriff: e-Evidence-VO, Five Eyes und die ethische Frage</w:t>
        </w:r>
      </w:hyperlink>
    </w:p>
    <w:p>
      <w:pPr>
        <w:numPr>
          <w:ilvl w:val="0"/>
          <w:numId w:val="1001"/>
        </w:numPr>
        <w:pStyle w:val="Compact"/>
      </w:pPr>
      <w:hyperlink w:anchor="X3227704959ebb35eba385de6663dc2c5393db99">
        <w:r>
          <w:rPr>
            <w:rStyle w:val="Hyperlink"/>
          </w:rPr>
          <w:t xml:space="preserve">Anbieterbewertung: CLOUD-Act-Risiko und EU-Marktübersicht</w:t>
        </w:r>
      </w:hyperlink>
    </w:p>
    <w:p>
      <w:pPr>
        <w:numPr>
          <w:ilvl w:val="0"/>
          <w:numId w:val="1001"/>
        </w:numPr>
        <w:pStyle w:val="Compact"/>
      </w:pPr>
      <w:hyperlink w:anchor="X0d02ecc722baeac90ff57a0b987ac02b795e89d">
        <w:r>
          <w:rPr>
            <w:rStyle w:val="Hyperlink"/>
          </w:rPr>
          <w:t xml:space="preserve">Das Operator-Modell: US-Technologie unter EU-Kontrolle</w:t>
        </w:r>
      </w:hyperlink>
    </w:p>
    <w:p>
      <w:pPr>
        <w:numPr>
          <w:ilvl w:val="0"/>
          <w:numId w:val="1001"/>
        </w:numPr>
        <w:pStyle w:val="Compact"/>
      </w:pPr>
      <w:hyperlink w:anchor="X920d15c91dcf17b182252ea6d68568db8bff5ea">
        <w:r>
          <w:rPr>
            <w:rStyle w:val="Hyperlink"/>
          </w:rPr>
          <w:t xml:space="preserve">Das Hyperscaling-Problem: Wer kann tatsächlich skalieren?</w:t>
        </w:r>
      </w:hyperlink>
    </w:p>
    <w:p>
      <w:pPr>
        <w:numPr>
          <w:ilvl w:val="0"/>
          <w:numId w:val="1001"/>
        </w:numPr>
        <w:pStyle w:val="Compact"/>
      </w:pPr>
      <w:hyperlink w:anchor="Xbe752cf941259ea30ffe9a5635c63c5f2c539f5">
        <w:r>
          <w:rPr>
            <w:rStyle w:val="Hyperlink"/>
          </w:rPr>
          <w:t xml:space="preserve">Der vollständige EU-Plattformstack: US-Hyperscaler ersetzen</w:t>
        </w:r>
      </w:hyperlink>
    </w:p>
    <w:p>
      <w:pPr>
        <w:numPr>
          <w:ilvl w:val="0"/>
          <w:numId w:val="1001"/>
        </w:numPr>
        <w:pStyle w:val="Compact"/>
      </w:pPr>
      <w:hyperlink w:anchor="X3039f95f0430d63ec77000bfd269ea1e56537b4">
        <w:r>
          <w:rPr>
            <w:rStyle w:val="Hyperlink"/>
          </w:rPr>
          <w:t xml:space="preserve">Rechtliche Abkommen zwischen EU und USA — Wie stabil ist die Rechtsgrundlage?</w:t>
        </w:r>
      </w:hyperlink>
    </w:p>
    <w:p>
      <w:pPr>
        <w:numPr>
          <w:ilvl w:val="0"/>
          <w:numId w:val="1001"/>
        </w:numPr>
        <w:pStyle w:val="Compact"/>
      </w:pPr>
      <w:hyperlink w:anchor="X0b2fa1153ca7d6dec888a67614770377851341c">
        <w:r>
          <w:rPr>
            <w:rStyle w:val="Hyperlink"/>
          </w:rPr>
          <w:t xml:space="preserve">Big Tech Lobbyarbeit in Europa und Deutschland</w:t>
        </w:r>
      </w:hyperlink>
    </w:p>
    <w:p>
      <w:pPr>
        <w:numPr>
          <w:ilvl w:val="0"/>
          <w:numId w:val="1001"/>
        </w:numPr>
        <w:pStyle w:val="Compact"/>
      </w:pPr>
      <w:hyperlink w:anchor="X86bf0da993c9cdf225c0990a3dd60a2ee5cc442">
        <w:r>
          <w:rPr>
            <w:rStyle w:val="Hyperlink"/>
          </w:rPr>
          <w:t xml:space="preserve">Die Berater-Falle: US-Strategieberatungen als verdeckte Cloud-Multiplikatoren</w:t>
        </w:r>
      </w:hyperlink>
    </w:p>
    <w:p>
      <w:pPr>
        <w:numPr>
          <w:ilvl w:val="0"/>
          <w:numId w:val="1001"/>
        </w:numPr>
        <w:pStyle w:val="Compact"/>
      </w:pPr>
      <w:hyperlink w:anchor="Xeca11daf083deacf6802bcebab86a27fcf56b78">
        <w:r>
          <w:rPr>
            <w:rStyle w:val="Hyperlink"/>
          </w:rPr>
          <w:t xml:space="preserve">Marktbeispiele: Wie Gesundheitsinstitutionen in die US-Cloud geraten</w:t>
        </w:r>
      </w:hyperlink>
    </w:p>
    <w:p>
      <w:pPr>
        <w:numPr>
          <w:ilvl w:val="0"/>
          <w:numId w:val="1001"/>
        </w:numPr>
        <w:pStyle w:val="Compact"/>
      </w:pPr>
      <w:hyperlink w:anchor="Xe22f99b34c5be75ac433e90444ef90736e6b352">
        <w:r>
          <w:rPr>
            <w:rStyle w:val="Hyperlink"/>
          </w:rPr>
          <w:t xml:space="preserve">Clientseitige Verschlüsselung: Teilschutz, kein Allheilmittel</w:t>
        </w:r>
      </w:hyperlink>
    </w:p>
    <w:p>
      <w:pPr>
        <w:numPr>
          <w:ilvl w:val="0"/>
          <w:numId w:val="1001"/>
        </w:numPr>
        <w:pStyle w:val="Compact"/>
      </w:pPr>
      <w:hyperlink w:anchor="Xc5532ee3476f658c13b883edeb8ee78a4c525fe">
        <w:r>
          <w:rPr>
            <w:rStyle w:val="Hyperlink"/>
          </w:rPr>
          <w:t xml:space="preserve">Bewertungsschema und Länderranking</w:t>
        </w:r>
      </w:hyperlink>
    </w:p>
    <w:p>
      <w:pPr>
        <w:numPr>
          <w:ilvl w:val="0"/>
          <w:numId w:val="1001"/>
        </w:numPr>
        <w:pStyle w:val="Compact"/>
      </w:pPr>
      <w:hyperlink w:anchor="X5002008707ff12bd026c43628a15c443ca76422">
        <w:r>
          <w:rPr>
            <w:rStyle w:val="Hyperlink"/>
          </w:rPr>
          <w:t xml:space="preserve">Globaler Vergleich: Wie Regionen dem CLOUD Act entkommen</w:t>
        </w:r>
      </w:hyperlink>
    </w:p>
    <w:p>
      <w:pPr>
        <w:numPr>
          <w:ilvl w:val="0"/>
          <w:numId w:val="1001"/>
        </w:numPr>
        <w:pStyle w:val="Compact"/>
      </w:pPr>
      <w:hyperlink w:anchor="X4abf57310d264e9ae496e4a059cc8fdfdf8a472">
        <w:r>
          <w:rPr>
            <w:rStyle w:val="Hyperlink"/>
          </w:rPr>
          <w:t xml:space="preserve">Aufsichts- und Regulierungslandschaft</w:t>
        </w:r>
      </w:hyperlink>
    </w:p>
    <w:p>
      <w:pPr>
        <w:numPr>
          <w:ilvl w:val="0"/>
          <w:numId w:val="1001"/>
        </w:numPr>
        <w:pStyle w:val="Compact"/>
      </w:pPr>
      <w:hyperlink w:anchor="X5e00b2af0644f678a7fb0ede3f52d0cd3e300fb">
        <w:r>
          <w:rPr>
            <w:rStyle w:val="Hyperlink"/>
          </w:rPr>
          <w:t xml:space="preserve">DSGVO-Handlungsempfehlungen</w:t>
        </w:r>
      </w:hyperlink>
    </w:p>
    <w:p>
      <w:pPr>
        <w:numPr>
          <w:ilvl w:val="0"/>
          <w:numId w:val="1001"/>
        </w:numPr>
        <w:pStyle w:val="Compact"/>
      </w:pPr>
      <w:hyperlink w:anchor="X39d01b715e1d5e3831adebf2341126447f0c182">
        <w:r>
          <w:rPr>
            <w:rStyle w:val="Hyperlink"/>
          </w:rPr>
          <w:t xml:space="preserve">Regulatorischer Ausblick 2025–2027</w:t>
        </w:r>
      </w:hyperlink>
    </w:p>
    <w:p>
      <w:pPr>
        <w:numPr>
          <w:ilvl w:val="0"/>
          <w:numId w:val="1001"/>
        </w:numPr>
        <w:pStyle w:val="Compact"/>
      </w:pPr>
      <w:hyperlink w:anchor="X88b6d81237f7fe71994d0aa29b3add0f0378d78">
        <w:r>
          <w:rPr>
            <w:rStyle w:val="Hyperlink"/>
          </w:rPr>
          <w:t xml:space="preserve">Quellenverzeichnis</w:t>
        </w:r>
      </w:hyperlink>
    </w:p>
    <w:p>
      <w:pPr>
        <w:pStyle w:val="FirstParagraph"/>
      </w:pPr>
      <w:hyperlink w:anchor="fazit">
        <w:r>
          <w:rPr>
            <w:rStyle w:val="Hyperlink"/>
          </w:rPr>
          <w:t xml:space="preserve">Fazit</w:t>
        </w:r>
      </w:hyperlink>
    </w:p>
    <w:p>
      <w:r>
        <w:pict>
          <v:rect style="width:0;height:1.5pt" o:hralign="center" o:hrstd="t" o:hr="t"/>
        </w:pict>
      </w:r>
    </w:p>
    <w:bookmarkEnd w:id="21"/>
    <w:bookmarkStart w:id="31" w:name="Xd83e9a15e82172590a22e70813e3dc47e025c7b"/>
    <w:p>
      <w:pPr>
        <w:pStyle w:val="Heading2"/>
      </w:pPr>
      <w:r>
        <w:t xml:space="preserve">1. Das Kernproblem: Gesundheitsdaten unter US-Zugriff</w:t>
      </w:r>
    </w:p>
    <w:bookmarkStart w:id="22" w:name="Xc38332a40557cdb76cc1fd2de31350da598c132"/>
    <w:p>
      <w:pPr>
        <w:pStyle w:val="Heading3"/>
      </w:pPr>
      <w:r>
        <w:t xml:space="preserve">1.1 Die Regelungslücke zwischen IT-Sicherheit und Jurisdiktion</w:t>
      </w:r>
    </w:p>
    <w:p>
      <w:pPr>
        <w:pStyle w:val="BlockText"/>
      </w:pPr>
      <w:r>
        <w:rPr>
          <w:bCs/>
          <w:b/>
        </w:rPr>
        <w:t xml:space="preserve">Wer ist betroffen?</w:t>
      </w:r>
      <w:r>
        <w:t xml:space="preserve"> </w:t>
      </w:r>
      <w:r>
        <w:t xml:space="preserve">Dieses Dokument adressiert alle Institutionen der Gesundheitswirtschaft, die Patientendaten verarbeiten — nachfolgend einheitlich</w:t>
      </w:r>
      <w:r>
        <w:t xml:space="preserve"> </w:t>
      </w:r>
      <w:r>
        <w:rPr>
          <w:bCs/>
          <w:b/>
        </w:rPr>
        <w:t xml:space="preserve">“</w:t>
      </w:r>
      <w:r>
        <w:rPr>
          <w:bCs/>
          <w:b/>
        </w:rPr>
        <w:t xml:space="preserve">Gesundheitsinstitutionen</w:t>
      </w:r>
      <w:r>
        <w:rPr>
          <w:bCs/>
          <w:b/>
        </w:rPr>
        <w:t xml:space="preserve">”</w:t>
      </w:r>
      <w:r>
        <w:t xml:space="preserve"> </w:t>
      </w:r>
      <w:r>
        <w:t xml:space="preserve">genannt. Das umfasst:</w:t>
      </w:r>
      <w:r>
        <w:t xml:space="preserve"> </w:t>
      </w:r>
      <w:r>
        <w:t xml:space="preserve">-</w:t>
      </w:r>
      <w:r>
        <w:t xml:space="preserve"> </w:t>
      </w:r>
      <w:r>
        <w:rPr>
          <w:bCs/>
          <w:b/>
        </w:rPr>
        <w:t xml:space="preserve">Kostenträger:</w:t>
      </w:r>
      <w:r>
        <w:t xml:space="preserve"> </w:t>
      </w:r>
      <w:r>
        <w:t xml:space="preserve">Gesetzliche Krankenversicherungen (GKV), Private Krankenversicherungen (PKV), Berufsgenossenschaften (BG), Unfallkassen</w:t>
      </w:r>
      <w:r>
        <w:t xml:space="preserve"> </w:t>
      </w:r>
      <w:r>
        <w:t xml:space="preserve">-</w:t>
      </w:r>
      <w:r>
        <w:t xml:space="preserve"> </w:t>
      </w:r>
      <w:r>
        <w:rPr>
          <w:bCs/>
          <w:b/>
        </w:rPr>
        <w:t xml:space="preserve">Kassenärztliche und -zahnärztliche Vereinigungen (KV/KZV)</w:t>
      </w:r>
      <w:r>
        <w:t xml:space="preserve"> </w:t>
      </w:r>
      <w:r>
        <w:t xml:space="preserve">sowie deren Bundesvereinigungen (KBV, KZBV)</w:t>
      </w:r>
      <w:r>
        <w:t xml:space="preserve"> </w:t>
      </w:r>
      <w:r>
        <w:t xml:space="preserve">-</w:t>
      </w:r>
      <w:r>
        <w:t xml:space="preserve"> </w:t>
      </w:r>
      <w:r>
        <w:rPr>
          <w:bCs/>
          <w:b/>
        </w:rPr>
        <w:t xml:space="preserve">Stationäre Leistungserbringer:</w:t>
      </w:r>
      <w:r>
        <w:t xml:space="preserve"> </w:t>
      </w:r>
      <w:r>
        <w:t xml:space="preserve">Krankenhäuser, Universitätsklinika, Rehabilitationskliniken, Pflegeheime</w:t>
      </w:r>
      <w:r>
        <w:t xml:space="preserve"> </w:t>
      </w:r>
      <w:r>
        <w:t xml:space="preserve">-</w:t>
      </w:r>
      <w:r>
        <w:t xml:space="preserve"> </w:t>
      </w:r>
      <w:r>
        <w:rPr>
          <w:bCs/>
          <w:b/>
        </w:rPr>
        <w:t xml:space="preserve">Ambulante Leistungserbringer:</w:t>
      </w:r>
      <w:r>
        <w:t xml:space="preserve"> </w:t>
      </w:r>
      <w:r>
        <w:t xml:space="preserve">Arzt- und Zahnarztpraxen, Praxisverbünde, MVZ (Medizinische Versorgungszentren)</w:t>
      </w:r>
      <w:r>
        <w:t xml:space="preserve"> </w:t>
      </w:r>
      <w:r>
        <w:t xml:space="preserve">-</w:t>
      </w:r>
      <w:r>
        <w:t xml:space="preserve"> </w:t>
      </w:r>
      <w:r>
        <w:rPr>
          <w:bCs/>
          <w:b/>
        </w:rPr>
        <w:t xml:space="preserve">Weitere Leistungserbringer:</w:t>
      </w:r>
      <w:r>
        <w:t xml:space="preserve"> </w:t>
      </w:r>
      <w:r>
        <w:t xml:space="preserve">Apotheken, Physiotherapiepraxen, Hebammen, Rettungsdienste, Pflegedienste</w:t>
      </w:r>
      <w:r>
        <w:t xml:space="preserve"> </w:t>
      </w:r>
      <w:r>
        <w:t xml:space="preserve">-</w:t>
      </w:r>
      <w:r>
        <w:t xml:space="preserve"> </w:t>
      </w:r>
      <w:r>
        <w:rPr>
          <w:bCs/>
          <w:b/>
        </w:rPr>
        <w:t xml:space="preserve">Medizinischer Dienst (MD/MDK):</w:t>
      </w:r>
      <w:r>
        <w:t xml:space="preserve"> </w:t>
      </w:r>
      <w:r>
        <w:t xml:space="preserve">Gutachter- und Prüforganisation der GKV</w:t>
      </w:r>
      <w:r>
        <w:t xml:space="preserve"> </w:t>
      </w:r>
      <w:r>
        <w:t xml:space="preserve">-</w:t>
      </w:r>
      <w:r>
        <w:t xml:space="preserve"> </w:t>
      </w:r>
      <w:r>
        <w:rPr>
          <w:bCs/>
          <w:b/>
        </w:rPr>
        <w:t xml:space="preserve">Praxisverwaltungssysteme und KIS-Hersteller</w:t>
      </w:r>
      <w:r>
        <w:t xml:space="preserve"> </w:t>
      </w:r>
      <w:r>
        <w:t xml:space="preserve">als Auftragsverarbeiter der o.g. Institutionen</w:t>
      </w:r>
    </w:p>
    <w:p>
      <w:pPr>
        <w:pStyle w:val="BlockText"/>
      </w:pPr>
      <w:r>
        <w:t xml:space="preserve">Alle genannten Institutionen unterliegen § 393 SGB V und DSGVO Art. 9 bei der Cloud-Verarbeitung von Gesundheitsdaten.</w:t>
      </w:r>
    </w:p>
    <w:p>
      <w:pPr>
        <w:pStyle w:val="FirstParagraph"/>
      </w:pPr>
      <w: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Norm</w:t>
            </w:r>
          </w:p>
        </w:tc>
        <w:tc>
          <w:tcPr/>
          <w:p>
            <w:pPr>
              <w:pStyle w:val="Compact"/>
              <w:jc w:val="left"/>
            </w:pPr>
            <w:r>
              <w:t xml:space="preserve">Anforderung</w:t>
            </w:r>
          </w:p>
        </w:tc>
        <w:tc>
          <w:tcPr/>
          <w:p>
            <w:pPr>
              <w:pStyle w:val="Compact"/>
              <w:jc w:val="left"/>
            </w:pPr>
            <w:r>
              <w:t xml:space="preserve">Status</w:t>
            </w:r>
          </w:p>
        </w:tc>
      </w:tr>
      <w:tr>
        <w:tc>
          <w:tcPr/>
          <w:p>
            <w:pPr>
              <w:pStyle w:val="Compact"/>
              <w:jc w:val="left"/>
            </w:pPr>
            <w:r>
              <w:rPr>
                <w:bCs/>
                <w:b/>
              </w:rPr>
              <w:t xml:space="preserve">DSGVO Art. 9 Abs. 1</w:t>
            </w:r>
          </w:p>
        </w:tc>
        <w:tc>
          <w:tcPr/>
          <w:p>
            <w:pPr>
              <w:pStyle w:val="Compact"/>
              <w:jc w:val="left"/>
            </w:pPr>
            <w:r>
              <w:t xml:space="preserve">Gesundheitsdaten = besondere Kategorie. Verarbeitung grundsätzlich verboten außer expliziter Rechtsgrundlage. Höchste Schutzkategorie im EU-Recht.</w:t>
            </w:r>
          </w:p>
        </w:tc>
        <w:tc>
          <w:tcPr/>
          <w:p>
            <w:pPr>
              <w:pStyle w:val="Compact"/>
              <w:jc w:val="left"/>
            </w:pPr>
            <w:r>
              <w:t xml:space="preserve">⚠️ Verletzt durch US-Zugriff</w:t>
            </w:r>
          </w:p>
        </w:tc>
      </w:tr>
      <w:tr>
        <w:tc>
          <w:tcPr/>
          <w:p>
            <w:pPr>
              <w:pStyle w:val="Compact"/>
              <w:jc w:val="left"/>
            </w:pPr>
            <w:r>
              <w:rPr>
                <w:bCs/>
                <w:b/>
              </w:rPr>
              <w:t xml:space="preserve">DSGVO Art. 48</w:t>
            </w:r>
          </w:p>
        </w:tc>
        <w:tc>
          <w:tcPr/>
          <w:p>
            <w:pPr>
              <w:pStyle w:val="Compact"/>
              <w:jc w:val="left"/>
            </w:pPr>
            <w:r>
              <w:t xml:space="preserve">Datentransfer an ausländische Behörden nur über anerkannte Rechtshilfemechanismen — nicht durch einseitige US-Gesetze.</w:t>
            </w:r>
          </w:p>
        </w:tc>
        <w:tc>
          <w:tcPr/>
          <w:p>
            <w:pPr>
              <w:pStyle w:val="Compact"/>
              <w:jc w:val="left"/>
            </w:pPr>
            <w:r>
              <w:t xml:space="preserve">⚠️ Verletzt durch CLOUD Act</w:t>
            </w:r>
          </w:p>
        </w:tc>
      </w:tr>
      <w:tr>
        <w:tc>
          <w:tcPr/>
          <w:p>
            <w:pPr>
              <w:pStyle w:val="Compact"/>
              <w:jc w:val="left"/>
            </w:pPr>
            <w:r>
              <w:rPr>
                <w:bCs/>
                <w:b/>
              </w:rPr>
              <w:t xml:space="preserve">§ 393 SGB V (Juli 2024)</w:t>
            </w:r>
          </w:p>
        </w:tc>
        <w:tc>
          <w:tcPr/>
          <w:p>
            <w:pPr>
              <w:pStyle w:val="Compact"/>
              <w:jc w:val="left"/>
            </w:pPr>
            <w:r>
              <w:t xml:space="preserve">Cloud-Nutzung durch KVen/GKVen erlaubt, wenn BSI-C5-Typ2-Testat vorhanden (BSI = Bundesamt für Sicherheit in der Informationstechnik). Azure hat C5. Formell compliant.</w:t>
            </w:r>
          </w:p>
        </w:tc>
        <w:tc>
          <w:tcPr/>
          <w:p>
            <w:pPr>
              <w:pStyle w:val="Compact"/>
              <w:jc w:val="left"/>
            </w:pPr>
            <w:r>
              <w:t xml:space="preserve">✅ Formell erfüllt</w:t>
            </w:r>
          </w:p>
        </w:tc>
      </w:tr>
      <w:tr>
        <w:tc>
          <w:tcPr/>
          <w:p>
            <w:pPr>
              <w:pStyle w:val="Compact"/>
              <w:jc w:val="left"/>
            </w:pPr>
            <w:r>
              <w:rPr>
                <w:bCs/>
                <w:b/>
              </w:rPr>
              <w:t xml:space="preserve">BSI C5-Testat</w:t>
            </w:r>
            <w:r>
              <w:t xml:space="preserve"> </w:t>
            </w:r>
            <w:r>
              <w:t xml:space="preserve">(Cloud Computing Compliance Criteria Catalogue)</w:t>
            </w:r>
          </w:p>
        </w:tc>
        <w:tc>
          <w:tcPr/>
          <w:p>
            <w:pPr>
              <w:pStyle w:val="Compact"/>
              <w:jc w:val="left"/>
            </w:pPr>
            <w:r>
              <w:t xml:space="preserve">Prüft Informationssicherheit und technische Maßnahmen. Prüft</w:t>
            </w:r>
            <w:r>
              <w:t xml:space="preserve"> </w:t>
            </w:r>
            <w:r>
              <w:rPr>
                <w:bCs/>
                <w:b/>
              </w:rPr>
              <w:t xml:space="preserve">nicht</w:t>
            </w:r>
            <w:r>
              <w:t xml:space="preserve">, ob US-Behörden rechtlich zugreifen können. C5:2026 (April 2026, 168 Kriterien) schließt diese Lücke nicht — das BSI plant Souveränitätskriterien als separates Dokument.</w:t>
            </w:r>
          </w:p>
        </w:tc>
        <w:tc>
          <w:tcPr/>
          <w:p>
            <w:pPr>
              <w:pStyle w:val="Compact"/>
              <w:jc w:val="left"/>
            </w:pPr>
            <w:r>
              <w:t xml:space="preserve">⚠️ Lücke: kein Rechtsschutz</w:t>
            </w:r>
          </w:p>
        </w:tc>
      </w:tr>
    </w:tbl>
    <w:p>
      <w:pPr>
        <w:pStyle w:val="BodyText"/>
      </w:pPr>
      <w: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pStyle w:val="BodyText"/>
      </w:pPr>
      <w: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pStyle w:val="BodyText"/>
      </w:pPr>
      <w: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pStyle w:val="BodyText"/>
      </w:pPr>
      <w:r>
        <w:t xml:space="preserve">Microsoft hat das in einer offiziellen Anhörung vor dem französischen Senat (Juni 2025) selbst bestätigt:</w:t>
      </w:r>
      <w:r>
        <w:t xml:space="preserve"> </w:t>
      </w:r>
      <w:r>
        <w:rPr>
          <w:bCs/>
          <w:b/>
        </w:rPr>
        <w:t xml:space="preserve">Eine Garantie, dass keine Daten an US-Behörden weitergegeben werden, ist nicht möglich.</w:t>
      </w:r>
    </w:p>
    <w:p>
      <w:pPr>
        <w:pStyle w:val="BodyText"/>
      </w:pPr>
      <w:r>
        <w:rPr>
          <w:bCs/>
          <w:b/>
        </w:rPr>
        <w:t xml:space="preserve">Was das konkret bedeutet — dokumentierte Beispiele:</w:t>
      </w:r>
    </w:p>
    <w:p>
      <w:pPr>
        <w:pStyle w:val="BodyText"/>
      </w:pPr>
      <w:r>
        <w:t xml:space="preserve">Das ist kein hypothetisches Szenario. Es gibt mehrere belegte Fälle, in denen die USA europäische Staatsbürger auf Sanktionslisten gesetzt haben — nicht wegen Straftaten, sondern wegen politischer Konflikte.</w:t>
      </w:r>
    </w:p>
    <w:p>
      <w:pPr>
        <w:pStyle w:val="BodyText"/>
      </w:pPr>
      <w:r>
        <w:rPr>
          <w:bCs/>
          <w:b/>
        </w:rPr>
        <w:t xml:space="preserve">Fall 1 — Nord Stream 2 (2019/2020):</w:t>
      </w:r>
      <w:r>
        <w:t xml:space="preserve"> </w:t>
      </w:r>
      <w:r>
        <w:t xml:space="preserve">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pStyle w:val="BodyText"/>
      </w:pPr>
      <w:r>
        <w:rPr>
          <w:bCs/>
          <w:b/>
        </w:rPr>
        <w:t xml:space="preserve">Fall 2 — HateAid (Dezember 2025):</w:t>
      </w:r>
      <w:r>
        <w:t xml:space="preserve"> </w:t>
      </w:r>
      <w:r>
        <w:t xml:space="preserve">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w:t>
      </w:r>
      <w:r>
        <w:t xml:space="preserve"> </w:t>
      </w:r>
      <w:r>
        <w:t xml:space="preserve">“</w:t>
      </w:r>
      <w:r>
        <w:t xml:space="preserve">radical activists</w:t>
      </w:r>
      <w:r>
        <w:t xml:space="preserve">”</w:t>
      </w:r>
      <w:r>
        <w:t xml:space="preserve"> </w:t>
      </w:r>
      <w:r>
        <w:t xml:space="preserve">und ihre Organisation als</w:t>
      </w:r>
      <w:r>
        <w:t xml:space="preserve"> </w:t>
      </w:r>
      <w:r>
        <w:t xml:space="preserve">“</w:t>
      </w:r>
      <w:r>
        <w:t xml:space="preserve">weaponized NGO</w:t>
      </w:r>
      <w:r>
        <w:t xml:space="preserve">”</w:t>
      </w:r>
      <w:r>
        <w:t xml:space="preserve"> </w:t>
      </w:r>
      <w:r>
        <w:t xml:space="preserve">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pStyle w:val="BodyText"/>
      </w:pPr>
      <w:r>
        <w:rPr>
          <w:bCs/>
          <w:b/>
        </w:rPr>
        <w:t xml:space="preserve">Was bei den ICC-Richtern bereits geschehen ist:</w:t>
      </w:r>
      <w:r>
        <w:t xml:space="preserve"> </w:t>
      </w:r>
      <w:r>
        <w:t xml:space="preserve">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w:t>
      </w:r>
      <w:r>
        <w:t xml:space="preserve"> </w:t>
      </w:r>
      <w:r>
        <w:t xml:space="preserve">“</w:t>
      </w:r>
      <w:r>
        <w:t xml:space="preserve">If Microsoft does that to someone who is a lot more important than we are, they will not even blink to shut down the email accounts from some random human rights organization in Germany.</w:t>
      </w:r>
      <w:r>
        <w:t xml:space="preserve">”</w:t>
      </w:r>
      <w:r>
        <w:t xml:space="preserve"> </w:t>
      </w:r>
      <w:r>
        <w:t xml:space="preserve">[Quelle: MIT Technology Review, 19. Januar 2026]</w:t>
      </w:r>
    </w:p>
    <w:p>
      <w:pPr>
        <w:pStyle w:val="BodyText"/>
      </w:pPr>
      <w: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pStyle w:val="BodyText"/>
      </w:pPr>
      <w: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w:t>
      </w:r>
      <w:r>
        <w:t xml:space="preserve"> </w:t>
      </w:r>
      <w:r>
        <w:t xml:space="preserve">“</w:t>
      </w:r>
      <w:r>
        <w:t xml:space="preserve">Zensur</w:t>
      </w:r>
      <w:r>
        <w:t xml:space="preserve">”</w:t>
      </w:r>
      <w:r>
        <w:t xml:space="preserve"> </w:t>
      </w:r>
      <w:r>
        <w:t xml:space="preserve">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pStyle w:val="BodyText"/>
      </w:pPr>
      <w: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bookmarkEnd w:id="22"/>
    <w:bookmarkStart w:id="30" w:name="Xeab1486f8fbdf6ff9f00197964341739b865a8f"/>
    <w:p>
      <w:pPr>
        <w:pStyle w:val="Heading3"/>
      </w:pPr>
      <w:r>
        <w:t xml:space="preserve">1.2 Warum es trotzdem passiert — sieben Realitätsgründe</w:t>
      </w:r>
    </w:p>
    <w:bookmarkStart w:id="23" w:name="Xd0e28e2283a07b54469f059c06d17bc3925b817"/>
    <w:p>
      <w:pPr>
        <w:pStyle w:val="Heading4"/>
      </w:pPr>
      <w:r>
        <w:t xml:space="preserve">1.2.1 Pragmatismus — Service-Tiefe und Ökosystem-Sogwirkung</w:t>
      </w:r>
    </w:p>
    <w:p>
      <w:pPr>
        <w:pStyle w:val="FirstParagraph"/>
      </w:pPr>
      <w:r>
        <w:t xml:space="preserve">Die meisten Gesundheitsinstitutionen stehen nicht vor der Frage, wie sie aus einer US-Cloud herauskommen — sie steigen gerade erst ein. Die KVNO baut ihre KI-Plattform auf Azure (TED 98706-2026). Kubus IT migriert GKV-Infrastruktur über Arvato zu Google Cloud. Kliniken evaluieren Oracle Cerner auf OCI. Der Trend ist nicht Migration</w:t>
      </w:r>
      <w:r>
        <w:t xml:space="preserve"> </w:t>
      </w:r>
      <w:r>
        <w:rPr>
          <w:iCs/>
          <w:i/>
        </w:rPr>
        <w:t xml:space="preserve">weg von</w:t>
      </w:r>
      <w:r>
        <w:t xml:space="preserve"> </w:t>
      </w:r>
      <w:r>
        <w:t xml:space="preserve">US-Hyperscalern, sondern Migration</w:t>
      </w:r>
      <w:r>
        <w:t xml:space="preserve"> </w:t>
      </w:r>
      <w:r>
        <w:rPr>
          <w:iCs/>
          <w:i/>
        </w:rPr>
        <w:t xml:space="preserve">hin zu</w:t>
      </w:r>
      <w:r>
        <w:t xml:space="preserve"> </w:t>
      </w:r>
      <w:r>
        <w:t xml:space="preserve">ihnen.</w:t>
      </w:r>
    </w:p>
    <w:p>
      <w:pPr>
        <w:pStyle w:val="BodyText"/>
      </w:pPr>
      <w:r>
        <w:t xml:space="preserve">Warum? Weil die Service-Tiefe und das integrierte Ökosystem der US-Hyperscaler im Beschaffungsprozess schwer zu schlagen sind. AWS und Azure bieten je über 200 verwaltete Dienste (Managed Databases, Serverless, IoT/Edge, DevOps-Toolchains, Data Warehouse, globale CDN) — EU-Anbieter wie STACKIT bieten 40–60 Kernservices. Für eine GKV, die erstmals eine Cloud-basierte KI-Plattform oder ein Analytics-System aufbauen will, ist Azure der Weg des geringsten Widerstands: ein Anbieter, ein Vertrag, ein Ökosystem mit E-Mail, Identity, Collaboration, Datenbanken, KI-Services und Entwicklertools in einer integrierten Umgebung. § 393 SGB V mit C5-Testat gibt die formale Erlaubnis, und die Vertriebsteams der Hyperscaler liefern Proof-of-Concept-Infrastruktur, KHZG-Beratung und Förderbudgets gleich mit (§1.2.5).</w:t>
      </w:r>
    </w:p>
    <w:p>
      <w:pPr>
        <w:pStyle w:val="BodyText"/>
      </w:pPr>
      <w:r>
        <w:t xml:space="preserve">Das Problem entsteht nicht beim Einstieg — es entsteht danach. Jeder Azure-Managed-Service, jedes proprietäre API, jeder Microsoft-365-Workflow, der mit Patientendaten arbeitet, vertieft die Abhängigkeit. Nach 12–24 Monaten ist die Organisation in 15–20 integrierte Schichten eingebettet — E-Mail, Identity, Collaboration, Datenbanken, KI. Wer dann aufgrund eines Schrems-III-Urteils, einer Aufsichtsverfügung oder einer geopolitischen Eskalation wechseln muss, steht vor einem Mehrjahresprojekt. Die Drei-Zonen-Migrationsstrategie in §17.3 adressiert genau dieses Szenario — aber sie funktioniert nur, wenn die Exit-Option von Anfang an mitgeplant wird, nicht erst wenn der Druck da ist. Details zur Service-Tiefe in Kapitel 7, zur Exit-Strategie in §17.6.</w:t>
      </w:r>
    </w:p>
    <w:bookmarkEnd w:id="23"/>
    <w:bookmarkStart w:id="24" w:name="X5ae1073e6f55fc362f9300b38a4d3baacfff3f1"/>
    <w:p>
      <w:pPr>
        <w:pStyle w:val="Heading4"/>
      </w:pPr>
      <w:r>
        <w:t xml:space="preserve">1.2.2 Kein Enforcement — dokumentiertes Vollzugsdefizit</w:t>
      </w:r>
    </w:p>
    <w:p>
      <w:pPr>
        <w:pStyle w:val="FirstParagraph"/>
      </w:pPr>
      <w: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w:t>
      </w:r>
      <w:r>
        <w:t xml:space="preserve"> </w:t>
      </w:r>
      <w:r>
        <w:t xml:space="preserve">“</w:t>
      </w:r>
      <w:r>
        <w:t xml:space="preserve">Viel Dialog, fast keine Sanktionen.</w:t>
      </w:r>
      <w:r>
        <w:t xml:space="preserve">”</w:t>
      </w:r>
    </w:p>
    <w:p>
      <w:pPr>
        <w:pStyle w:val="BodyText"/>
      </w:pPr>
      <w: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pStyle w:val="BodyText"/>
      </w:pPr>
      <w: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bookmarkEnd w:id="24"/>
    <w:bookmarkStart w:id="25" w:name="Xf2d86232e93f0a3d4df3c3e1a75c0b2125c2b7d"/>
    <w:p>
      <w:pPr>
        <w:pStyle w:val="Heading4"/>
      </w:pPr>
      <w:r>
        <w:t xml:space="preserve">1.2.3 Legislative Umgehung — § 393 SGB V als Kompromissnorm</w:t>
      </w:r>
    </w:p>
    <w:p>
      <w:pPr>
        <w:pStyle w:val="FirstParagraph"/>
      </w:pPr>
      <w: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pStyle w:val="BodyText"/>
      </w:pPr>
      <w:r>
        <w:rPr>
          <w:bCs/>
          <w:b/>
        </w:rPr>
        <w:t xml:space="preserve">Erstens — CLOUD Act bleibt unberührt:</w:t>
      </w:r>
      <w:r>
        <w:t xml:space="preserve"> </w:t>
      </w:r>
      <w:r>
        <w:t xml:space="preserve">§ 393 SGB V adressiert ausschließlich die Frage,</w:t>
      </w:r>
      <w:r>
        <w:t xml:space="preserve"> </w:t>
      </w:r>
      <w:r>
        <w:rPr>
          <w:iCs/>
          <w:i/>
        </w:rPr>
        <w:t xml:space="preserve">ob</w:t>
      </w:r>
      <w:r>
        <w:t xml:space="preserve"> </w:t>
      </w:r>
      <w:r>
        <w:t xml:space="preserve">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pStyle w:val="BodyText"/>
      </w:pPr>
      <w:r>
        <w:rPr>
          <w:bCs/>
          <w:b/>
        </w:rPr>
        <w:t xml:space="preserve">Zweitens — DPF als Lückenbüßer:</w:t>
      </w:r>
      <w:r>
        <w:t xml:space="preserve"> </w:t>
      </w:r>
      <w:r>
        <w:t xml:space="preserve">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pStyle w:val="BodyText"/>
      </w:pPr>
      <w:r>
        <w:rPr>
          <w:bCs/>
          <w:b/>
        </w:rPr>
        <w:t xml:space="preserve">Drittens — C5 als regulatorische Mindestanforderung, nicht als Souveränitätsnachweis:</w:t>
      </w:r>
      <w:r>
        <w:t xml:space="preserve"> </w:t>
      </w:r>
      <w:r>
        <w:t xml:space="preserve">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w:t>
      </w:r>
      <w:r>
        <w:t xml:space="preserve"> </w:t>
      </w:r>
      <w:r>
        <w:t xml:space="preserve">“</w:t>
      </w:r>
      <w:r>
        <w:t xml:space="preserve">in Kürze</w:t>
      </w:r>
      <w:r>
        <w:t xml:space="preserve">”</w:t>
      </w:r>
      <w:r>
        <w:t xml:space="preserve"> </w:t>
      </w:r>
      <w:r>
        <w:t xml:space="preserve">erscheinen soll [188]. C5 zertifiziert Informationssicherheit, nicht Datensouveränität im geopolitischen Sinne.</w:t>
      </w:r>
    </w:p>
    <w:bookmarkEnd w:id="25"/>
    <w:bookmarkStart w:id="26" w:name="X4d507c7673d0780a11bf76adacb793320bd9f49"/>
    <w:p>
      <w:pPr>
        <w:pStyle w:val="Heading4"/>
      </w:pPr>
      <w:r>
        <w:t xml:space="preserve">1.2.4 Struktureller Interessenkonflikt bei Beratern</w:t>
      </w:r>
    </w:p>
    <w:p>
      <w:pPr>
        <w:pStyle w:val="FirstParagraph"/>
      </w:pPr>
      <w: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bookmarkEnd w:id="26"/>
    <w:bookmarkStart w:id="27" w:name="aktiver-vertrieb-der-hyperscaler"/>
    <w:p>
      <w:pPr>
        <w:pStyle w:val="Heading4"/>
      </w:pPr>
      <w:r>
        <w:t xml:space="preserve">1.2.5 Aktiver Vertrieb der Hyperscaler</w:t>
      </w:r>
    </w:p>
    <w:p>
      <w:pPr>
        <w:pStyle w:val="FirstParagraph"/>
      </w:pPr>
      <w: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bookmarkEnd w:id="27"/>
    <w:bookmarkStart w:id="28" w:name="Xe8c6e86ccf94f7298172c9655e119c151a1ab19"/>
    <w:p>
      <w:pPr>
        <w:pStyle w:val="Heading4"/>
      </w:pPr>
      <w:r>
        <w:t xml:space="preserve">1.2.6 Sovereignty Washing — irreführendes Marketing als Beschaffungstreiber</w:t>
      </w:r>
    </w:p>
    <w:p>
      <w:pPr>
        <w:pStyle w:val="FirstParagraph"/>
      </w:pPr>
      <w:r>
        <w:t xml:space="preserve">Microsoft, AWS, Google und Oracle vermarkten aktiv Produkte unter den Bezeichnungen</w:t>
      </w:r>
      <w:r>
        <w:t xml:space="preserve"> </w:t>
      </w:r>
      <w:r>
        <w:t xml:space="preserve">“</w:t>
      </w:r>
      <w:r>
        <w:t xml:space="preserve">Sovereign Cloud</w:t>
      </w:r>
      <w:r>
        <w:t xml:space="preserve">”</w:t>
      </w:r>
      <w:r>
        <w:t xml:space="preserve">,</w:t>
      </w:r>
      <w:r>
        <w:t xml:space="preserve"> </w:t>
      </w:r>
      <w:r>
        <w:t xml:space="preserve">“</w:t>
      </w:r>
      <w:r>
        <w:t xml:space="preserve">EU Data Boundary</w:t>
      </w:r>
      <w:r>
        <w:t xml:space="preserve">”</w:t>
      </w:r>
      <w:r>
        <w:t xml:space="preserve">,</w:t>
      </w:r>
      <w:r>
        <w:t xml:space="preserve"> </w:t>
      </w:r>
      <w:r>
        <w:t xml:space="preserve">“</w:t>
      </w:r>
      <w:r>
        <w:t xml:space="preserve">Isolated Realm</w:t>
      </w:r>
      <w:r>
        <w:t xml:space="preserve">”</w:t>
      </w:r>
      <w:r>
        <w:t xml:space="preserve"> </w:t>
      </w:r>
      <w:r>
        <w:t xml:space="preserve">oder</w:t>
      </w:r>
      <w:r>
        <w:t xml:space="preserve"> </w:t>
      </w:r>
      <w:r>
        <w:t xml:space="preserve">“</w:t>
      </w:r>
      <w:r>
        <w:t xml:space="preserve">European Sovereign Cloud</w:t>
      </w:r>
      <w:r>
        <w:t xml:space="preserve">”</w:t>
      </w:r>
      <w:r>
        <w:t xml:space="preserve"> </w:t>
      </w:r>
      <w:r>
        <w:t xml:space="preserve">— und suggerieren eine Datensouveränität, die rechtlich nicht besteht. Das ist nicht nur ungenau, sondern irreführend im Sinne wettbewerbsrechtlicher Maßstäbe: Ein Anbieter, der</w:t>
      </w:r>
      <w:r>
        <w:t xml:space="preserve"> </w:t>
      </w:r>
      <w:r>
        <w:t xml:space="preserve">“</w:t>
      </w:r>
      <w:r>
        <w:t xml:space="preserve">souverän</w:t>
      </w:r>
      <w:r>
        <w:t xml:space="preserve">”</w:t>
      </w:r>
      <w:r>
        <w:t xml:space="preserve"> </w:t>
      </w:r>
      <w:r>
        <w:t xml:space="preserve">vermarktet, obwohl er als US-Unternehmen dem CLOUD Act unterliegt und das — wie Microsoft vor dem französischen Senat — selbst bestätigt hat, erzeugt bei der einkaufenden Institution einen Vertrauensschutz, der juristisch nicht existiert.</w:t>
      </w:r>
    </w:p>
    <w:p>
      <w:pPr>
        <w:pStyle w:val="BodyText"/>
      </w:pPr>
      <w:r>
        <w:t xml:space="preserve">Das C5-Testat verstärkt diesen Effekt. Es ist ein Informationssicherheitsnachweis — kein Souveränitätsnachweis. Aber in Kombination mit der Marketingbezeichnung</w:t>
      </w:r>
      <w:r>
        <w:t xml:space="preserve"> </w:t>
      </w:r>
      <w:r>
        <w:t xml:space="preserve">“</w:t>
      </w:r>
      <w:r>
        <w:t xml:space="preserve">Sovereign Cloud</w:t>
      </w:r>
      <w:r>
        <w:t xml:space="preserve">”</w:t>
      </w:r>
      <w:r>
        <w:t xml:space="preserve"> </w:t>
      </w:r>
      <w:r>
        <w:t xml:space="preserve">entsteht in der Beschaffungspraxis der Eindruck, die Souveränitätsfrage sei gelöst.</w:t>
      </w:r>
      <w:r>
        <w:t xml:space="preserve"> </w:t>
      </w:r>
      <w:r>
        <w:t xml:space="preserve">“</w:t>
      </w:r>
      <w:r>
        <w:t xml:space="preserve">Daten in Deutschland</w:t>
      </w:r>
      <w:r>
        <w:t xml:space="preserve">”</w:t>
      </w:r>
      <w:r>
        <w:t xml:space="preserve"> </w:t>
      </w:r>
      <w:r>
        <w:t xml:space="preserve">plus</w:t>
      </w:r>
      <w:r>
        <w:t xml:space="preserve"> </w:t>
      </w:r>
      <w:r>
        <w:t xml:space="preserve">“</w:t>
      </w:r>
      <w:r>
        <w:t xml:space="preserve">C5-zertifiziert</w:t>
      </w:r>
      <w:r>
        <w:t xml:space="preserve">”</w:t>
      </w:r>
      <w:r>
        <w:t xml:space="preserve"> </w:t>
      </w:r>
      <w:r>
        <w:t xml:space="preserve">plus</w:t>
      </w:r>
      <w:r>
        <w:t xml:space="preserve"> </w:t>
      </w:r>
      <w:r>
        <w:t xml:space="preserve">“</w:t>
      </w:r>
      <w:r>
        <w:t xml:space="preserve">Sovereign Cloud</w:t>
      </w:r>
      <w:r>
        <w:t xml:space="preserve">”</w:t>
      </w:r>
      <w:r>
        <w:t xml:space="preserve"> </w:t>
      </w:r>
      <w:r>
        <w:t xml:space="preserve">klingt nach dreifacher Absicherung — tatsächlich adressiert keine der drei Komponenten die Jurisdiktionsfrage.</w:t>
      </w:r>
    </w:p>
    <w:p>
      <w:pPr>
        <w:pStyle w:val="BodyText"/>
      </w:pPr>
      <w:r>
        <w:t xml:space="preserve">Für die Haftungsbewertung ist das relevant: Eine Gesundheitsinstitution, die sich auf die</w:t>
      </w:r>
      <w:r>
        <w:t xml:space="preserve"> </w:t>
      </w:r>
      <w:r>
        <w:t xml:space="preserve">“</w:t>
      </w:r>
      <w:r>
        <w:t xml:space="preserve">Sovereign Cloud</w:t>
      </w:r>
      <w:r>
        <w:t xml:space="preserve">”</w:t>
      </w:r>
      <w:r>
        <w:t xml:space="preserve">-Vermarktung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bookmarkEnd w:id="28"/>
    <w:bookmarkStart w:id="29" w:name="politische-einflussnahme-der-hyperscaler"/>
    <w:p>
      <w:pPr>
        <w:pStyle w:val="Heading4"/>
      </w:pPr>
      <w:r>
        <w:t xml:space="preserve">1.2.7 Politische Einflussnahme der Hyperscaler</w:t>
      </w:r>
    </w:p>
    <w:p>
      <w:pPr>
        <w:pStyle w:val="FirstParagraph"/>
      </w:pPr>
      <w: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r>
        <w:pict>
          <v:rect style="width:0;height:1.5pt" o:hralign="center" o:hrstd="t" o:hr="t"/>
        </w:pict>
      </w:r>
    </w:p>
    <w:bookmarkEnd w:id="29"/>
    <w:bookmarkEnd w:id="30"/>
    <w:bookmarkEnd w:id="31"/>
    <w:bookmarkStart w:id="35" w:name="Xc15ffc4b86993ea0ed9cccc77d1ccef4e875c6d"/>
    <w:p>
      <w:pPr>
        <w:pStyle w:val="Heading2"/>
      </w:pPr>
      <w:r>
        <w:t xml:space="preserve">2. Rechtliche Grundlagen: Was der CLOUD Act wirklich sagt</w:t>
      </w:r>
    </w:p>
    <w:bookmarkStart w:id="32" w:name="gesetzestext-und-geltungsbereich"/>
    <w:p>
      <w:pPr>
        <w:pStyle w:val="Heading3"/>
      </w:pPr>
      <w:r>
        <w:t xml:space="preserve">2.1 Gesetzestext und Geltungsbereich</w:t>
      </w:r>
    </w:p>
    <w:p>
      <w:pPr>
        <w:pStyle w:val="FirstParagraph"/>
      </w:pPr>
      <w:r>
        <w:t xml:space="preserve">Der Clarifying Lawful Overseas Use of Data Act (CLOUD Act) wurde am 23. März 2018 als Teil des Consolidated Appropriations Act (Public Law 115-141) verabschiedet.</w:t>
      </w:r>
    </w:p>
    <w:p>
      <w:pPr>
        <w:pStyle w:val="BlockText"/>
      </w:pPr>
      <w:r>
        <w:rPr>
          <w:bCs/>
          <w:b/>
        </w:rPr>
        <w:t xml:space="preserve">“</w:t>
      </w:r>
      <w:r>
        <w:rPr>
          <w:bCs/>
          <w:b/>
        </w:rPr>
        <w:t xml:space="preserve">The CLOUD Act applies to all electronic communication service or remote computing service providers that operate or have a legal presence in the U.S.</w:t>
      </w:r>
      <w:r>
        <w:rPr>
          <w:bCs/>
          <w:b/>
        </w:rPr>
        <w:t xml:space="preserve">”</w:t>
      </w:r>
      <w:r>
        <w:br/>
      </w:r>
      <w:r>
        <w:t xml:space="preserve">— 18 U.S.C. § 2713</w:t>
      </w:r>
    </w:p>
    <w:p>
      <w:pPr>
        <w:pStyle w:val="FirstParagraph"/>
      </w:pPr>
      <w:r>
        <w:t xml:space="preserve">Das Gesetz gilt</w:t>
      </w:r>
      <w:r>
        <w:t xml:space="preserve"> </w:t>
      </w:r>
      <w:r>
        <w:rPr>
          <w:bCs/>
          <w:b/>
        </w:rPr>
        <w:t xml:space="preserve">nicht nur für US-Unternehmen</w:t>
      </w:r>
      <w:r>
        <w:t xml:space="preserve">. Es gilt für jeden Anbieter mit rechtlicher Präsenz in den USA — unabhängig vom Hauptsitz, unabhängig vom Serverstandort.</w:t>
      </w:r>
    </w:p>
    <w:bookmarkEnd w:id="32"/>
    <w:bookmarkStart w:id="33" w:name="Xdb72fa67af3dca9dd5ad7147382e606edb3e33f"/>
    <w:p>
      <w:pPr>
        <w:pStyle w:val="Heading3"/>
      </w:pPr>
      <w:r>
        <w:t xml:space="preserve">2.2 Wer ist betroffen — und wie vererbt sich die Pflicht?</w:t>
      </w:r>
    </w:p>
    <w:p>
      <w:pPr>
        <w:pStyle w:val="FirstParagraph"/>
      </w:pPr>
      <w:r>
        <w:t xml:space="preserve">Es gibt zwei grundlegende Konstellationen, die sich in ihrer Risikostruktur unterscheiden:</w:t>
      </w:r>
    </w:p>
    <w:p>
      <w:pPr>
        <w:pStyle w:val="BodyText"/>
      </w:pPr>
      <w:r>
        <w:rPr>
          <w:bCs/>
          <w:b/>
        </w:rPr>
        <w:t xml:space="preserve">Konstellation A: US-Mutter → EU-Tochter</w:t>
      </w:r>
    </w:p>
    <w:p>
      <w:pPr>
        <w:pStyle w:val="BodyText"/>
      </w:pPr>
      <w: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pStyle w:val="BodyText"/>
      </w:pPr>
      <w:r>
        <w:rPr>
          <w:bCs/>
          <w:b/>
        </w:rPr>
        <w:t xml:space="preserve">Konstellation B: EU-Mutter mit US-Tochter (der Hetzner-Fall)</w:t>
      </w:r>
    </w:p>
    <w:p>
      <w:pPr>
        <w:pStyle w:val="BodyText"/>
      </w:pPr>
      <w: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pStyle w:val="BodyText"/>
      </w:pPr>
      <w:r>
        <w:rPr>
          <w:bCs/>
          <w:b/>
        </w:rPr>
        <w:t xml:space="preserve">Konstellation C: EU-Schwestergesellschaft mit US-Präsenz (der STACKIT-Fall)</w:t>
      </w:r>
    </w:p>
    <w:p>
      <w:pPr>
        <w:pStyle w:val="BodyText"/>
      </w:pPr>
      <w: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bookmarkEnd w:id="33"/>
    <w:bookmarkStart w:id="34" w:name="die-25-schwellen-argumentation"/>
    <w:p>
      <w:pPr>
        <w:pStyle w:val="Heading3"/>
      </w:pPr>
      <w:r>
        <w:t xml:space="preserve">2.3 Die 25%-Schwellen-Argumentation</w:t>
      </w:r>
    </w:p>
    <w:p>
      <w:pPr>
        <w:pStyle w:val="FirstParagraph"/>
      </w:pPr>
      <w: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r>
        <w:pict>
          <v:rect style="width:0;height:1.5pt" o:hralign="center" o:hrstd="t" o:hr="t"/>
        </w:pict>
      </w:r>
    </w:p>
    <w:bookmarkEnd w:id="34"/>
    <w:bookmarkEnd w:id="35"/>
    <w:bookmarkStart w:id="40" w:name="X1b67a53fe347d5f9853c876345427ce9dfa47db"/>
    <w:p>
      <w:pPr>
        <w:pStyle w:val="Heading2"/>
      </w:pPr>
      <w:r>
        <w:t xml:space="preserve">3. Die vier US-Zugriffsebenen im Detail</w:t>
      </w:r>
    </w:p>
    <w:p>
      <w:pPr>
        <w:pStyle w:val="FirstParagraph"/>
      </w:pPr>
      <w:r>
        <w:t xml:space="preserve">Es gibt nicht einen, sondern</w:t>
      </w:r>
      <w:r>
        <w:t xml:space="preserve"> </w:t>
      </w:r>
      <w:r>
        <w:rPr>
          <w:bCs/>
          <w:b/>
        </w:rPr>
        <w:t xml:space="preserve">vier rechtlich verschiedene Wege</w:t>
      </w:r>
      <w:r>
        <w:t xml:space="preserve"> </w:t>
      </w:r>
      <w:r>
        <w:t xml:space="preserve">für US-Behörden auf Daten zuzugreifen, die bei US-kontrollierten Anbietern liegen. Sie unterscheiden sich erheblich in Voraussetzungen, Hürden und Relevanz für Gesundheitsdaten: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Rechtsgrundlage</w:t>
            </w:r>
          </w:p>
        </w:tc>
        <w:tc>
          <w:tcPr/>
          <w:p>
            <w:pPr>
              <w:pStyle w:val="Compact"/>
              <w:jc w:val="left"/>
            </w:pPr>
            <w:r>
              <w:t xml:space="preserve">Akteur</w:t>
            </w:r>
          </w:p>
        </w:tc>
        <w:tc>
          <w:tcPr/>
          <w:p>
            <w:pPr>
              <w:pStyle w:val="Compact"/>
              <w:jc w:val="left"/>
            </w:pPr>
            <w:r>
              <w:t xml:space="preserve">Voraussetzungen</w:t>
            </w:r>
          </w:p>
        </w:tc>
        <w:tc>
          <w:tcPr/>
          <w:p>
            <w:pPr>
              <w:pStyle w:val="Compact"/>
              <w:jc w:val="left"/>
            </w:pPr>
            <w:r>
              <w:t xml:space="preserve">Hürde</w:t>
            </w:r>
          </w:p>
        </w:tc>
        <w:tc>
          <w:tcPr/>
          <w:p>
            <w:pPr>
              <w:pStyle w:val="Compact"/>
              <w:jc w:val="left"/>
            </w:pPr>
            <w:r>
              <w:t xml:space="preserve">Relevanz Health</w:t>
            </w:r>
          </w:p>
        </w:tc>
      </w:tr>
      <w:tr>
        <w:tc>
          <w:tcPr/>
          <w:p>
            <w:pPr>
              <w:pStyle w:val="Compact"/>
              <w:jc w:val="left"/>
            </w:pPr>
            <w:r>
              <w:rPr>
                <w:bCs/>
                <w:b/>
              </w:rPr>
              <w:t xml:space="preserve">CLOUD Act</w:t>
            </w:r>
            <w:r>
              <w:t xml:space="preserve"> </w:t>
            </w:r>
            <w:r>
              <w:t xml:space="preserve">(18 U.S.C. § 2713)</w:t>
            </w:r>
          </w:p>
        </w:tc>
        <w:tc>
          <w:tcPr/>
          <w:p>
            <w:pPr>
              <w:pStyle w:val="Compact"/>
              <w:jc w:val="left"/>
            </w:pPr>
            <w:r>
              <w:t xml:space="preserve">FBI, DOJ</w:t>
            </w:r>
          </w:p>
        </w:tc>
        <w:tc>
          <w:tcPr/>
          <w:p>
            <w:pPr>
              <w:pStyle w:val="Compact"/>
              <w:jc w:val="left"/>
            </w:pPr>
            <w:r>
              <w:t xml:space="preserve">Richterlicher Herausgabebeschluss + hinreichender Verdacht auf konkrete Straftat</w:t>
            </w:r>
          </w:p>
        </w:tc>
        <w:tc>
          <w:tcPr/>
          <w:p>
            <w:pPr>
              <w:pStyle w:val="Compact"/>
              <w:jc w:val="left"/>
            </w:pPr>
            <w:r>
              <w:t xml:space="preserve">Mittel</w:t>
            </w:r>
          </w:p>
        </w:tc>
        <w:tc>
          <w:tcPr/>
          <w:p>
            <w:pPr>
              <w:pStyle w:val="Compact"/>
              <w:jc w:val="left"/>
            </w:pPr>
            <w:r>
              <w:t xml:space="preserve">Strafermittlungen gegen Personen/Institutionen</w:t>
            </w:r>
          </w:p>
        </w:tc>
      </w:tr>
      <w:tr>
        <w:tc>
          <w:tcPr/>
          <w:p>
            <w:pPr>
              <w:pStyle w:val="Compact"/>
              <w:jc w:val="left"/>
            </w:pPr>
            <w:r>
              <w:rPr>
                <w:bCs/>
                <w:b/>
              </w:rPr>
              <w:t xml:space="preserve">FISA § 702</w:t>
            </w:r>
            <w:r>
              <w:t xml:space="preserve"> </w:t>
            </w:r>
            <w:r>
              <w:t xml:space="preserve">(Foreign Intelligence Surveillance Act — US-Gesetz zur nachrichtendienstlichen Massenüberwachung)</w:t>
            </w:r>
          </w:p>
        </w:tc>
        <w:tc>
          <w:tcPr/>
          <w:p>
            <w:pPr>
              <w:pStyle w:val="Compact"/>
              <w:jc w:val="left"/>
            </w:pPr>
            <w:r>
              <w:t xml:space="preserve">NSA, CIA, FBI</w:t>
            </w:r>
          </w:p>
        </w:tc>
        <w:tc>
          <w:tcPr/>
          <w:p>
            <w:pPr>
              <w:pStyle w:val="Compact"/>
              <w:jc w:val="left"/>
            </w:pPr>
            <w:r>
              <w:t xml:space="preserve">Keine Einzelfallprüfung. Pauschale Jahreszertifizierung durch geheimen FISC. RISAA 2024 (Reforming Intelligence and Securing America Act) erweiterte Anbieter-Definition massiv. Auslaufdatum:</w:t>
            </w:r>
            <w:r>
              <w:t xml:space="preserve"> </w:t>
            </w:r>
            <w:r>
              <w:rPr>
                <w:bCs/>
                <w:b/>
              </w:rPr>
              <w:t xml:space="preserve">20. April 2026</w:t>
            </w:r>
            <w:r>
              <w:t xml:space="preserve"> </w:t>
            </w:r>
            <w:r>
              <w:t xml:space="preserve">— Verlängerung zum Redaktionsschluss offen.</w:t>
            </w:r>
          </w:p>
        </w:tc>
        <w:tc>
          <w:tcPr/>
          <w:p>
            <w:pPr>
              <w:pStyle w:val="Compact"/>
              <w:jc w:val="left"/>
            </w:pPr>
            <w:r>
              <w:t xml:space="preserve">Niedrig</w:t>
            </w:r>
          </w:p>
        </w:tc>
        <w:tc>
          <w:tcPr/>
          <w:p>
            <w:pPr>
              <w:pStyle w:val="Compact"/>
              <w:jc w:val="left"/>
            </w:pPr>
            <w:r>
              <w:t xml:space="preserve">Systematische Erfassung — betrifft potenziell alle US-Server-Daten</w:t>
            </w:r>
          </w:p>
        </w:tc>
      </w:tr>
      <w:tr>
        <w:tc>
          <w:tcPr/>
          <w:p>
            <w:pPr>
              <w:pStyle w:val="Compact"/>
              <w:jc w:val="left"/>
            </w:pPr>
            <w:r>
              <w:rPr>
                <w:bCs/>
                <w:b/>
              </w:rPr>
              <w:t xml:space="preserve">National Security Letter</w:t>
            </w:r>
          </w:p>
        </w:tc>
        <w:tc>
          <w:tcPr/>
          <w:p>
            <w:pPr>
              <w:pStyle w:val="Compact"/>
              <w:jc w:val="left"/>
            </w:pPr>
            <w:r>
              <w:t xml:space="preserve">FBI</w:t>
            </w:r>
          </w:p>
        </w:tc>
        <w:tc>
          <w:tcPr/>
          <w:p>
            <w:pPr>
              <w:pStyle w:val="Compact"/>
              <w:jc w:val="left"/>
            </w:pPr>
            <w:r>
              <w:t xml:space="preserve">Kein Richter. Kein Verdacht. Schweigegebot für Anbieter. Gilt für Metadaten.</w:t>
            </w:r>
          </w:p>
        </w:tc>
        <w:tc>
          <w:tcPr/>
          <w:p>
            <w:pPr>
              <w:pStyle w:val="Compact"/>
              <w:jc w:val="left"/>
            </w:pPr>
            <w:r>
              <w:t xml:space="preserve">Minimal</w:t>
            </w:r>
          </w:p>
        </w:tc>
        <w:tc>
          <w:tcPr/>
          <w:p>
            <w:pPr>
              <w:pStyle w:val="Compact"/>
              <w:jc w:val="left"/>
            </w:pPr>
            <w:r>
              <w:t xml:space="preserve">Metadaten über Arzt-Patienten-Kontakte, Verbindungsdaten</w:t>
            </w:r>
          </w:p>
        </w:tc>
      </w:tr>
      <w:tr>
        <w:tc>
          <w:tcPr/>
          <w:p>
            <w:pPr>
              <w:pStyle w:val="Compact"/>
              <w:jc w:val="left"/>
            </w:pPr>
            <w:r>
              <w:rPr>
                <w:bCs/>
                <w:b/>
              </w:rPr>
              <w:t xml:space="preserve">Grenzkontrolle</w:t>
            </w:r>
            <w:r>
              <w:t xml:space="preserve"> </w:t>
            </w:r>
            <w:r>
              <w:t xml:space="preserve">(Grenzkontrollen-Ausnahme)</w:t>
            </w:r>
          </w:p>
        </w:tc>
        <w:tc>
          <w:tcPr/>
          <w:p>
            <w:pPr>
              <w:pStyle w:val="Compact"/>
              <w:jc w:val="left"/>
            </w:pPr>
            <w:r>
              <w:t xml:space="preserve">CBP</w:t>
            </w:r>
          </w:p>
        </w:tc>
        <w:tc>
          <w:tcPr/>
          <w:p>
            <w:pPr>
              <w:pStyle w:val="Compact"/>
              <w:jc w:val="left"/>
            </w:pPr>
            <w:r>
              <w:t xml:space="preserve">Kein Herausgabebeschluss. Kein Verdacht. Physisches Gerät an US-Grenze.</w:t>
            </w:r>
          </w:p>
        </w:tc>
        <w:tc>
          <w:tcPr/>
          <w:p>
            <w:pPr>
              <w:pStyle w:val="Compact"/>
              <w:jc w:val="left"/>
            </w:pPr>
            <w:r>
              <w:t xml:space="preserve">Null</w:t>
            </w:r>
          </w:p>
        </w:tc>
        <w:tc>
          <w:tcPr/>
          <w:p>
            <w:pPr>
              <w:pStyle w:val="Compact"/>
              <w:jc w:val="left"/>
            </w:pPr>
            <w:r>
              <w:t xml:space="preserve">Relevant für Mitarbeitergeräte bei US-Dienstreisen</w:t>
            </w:r>
          </w:p>
        </w:tc>
      </w:tr>
    </w:tbl>
    <w:bookmarkStart w:id="36" w:name="X87242c2f09983a2e0ac0105f5a50b793e745cda"/>
    <w:p>
      <w:pPr>
        <w:pStyle w:val="Heading3"/>
      </w:pPr>
      <w:r>
        <w:t xml:space="preserve">3.1 CLOUD Act — Strafverfolgung mit richterlicher Kontrolle</w:t>
      </w:r>
    </w:p>
    <w:p>
      <w:pPr>
        <w:pStyle w:val="FirstParagraph"/>
      </w:pPr>
      <w:r>
        <w:t xml:space="preserve">Der CLOUD Act (18 U.S.C. § 2713, in Kraft seit März 2018) ist das bekannteste Instrument — aber nicht das gefährlichste. Er verpflichtet US-Provider zur Herausgabe von Daten, die sich</w:t>
      </w:r>
      <w:r>
        <w:t xml:space="preserve"> </w:t>
      </w:r>
      <w:r>
        <w:t xml:space="preserve">“</w:t>
      </w:r>
      <w:r>
        <w:t xml:space="preserve">under the provider’s possession, custody, or control</w:t>
      </w:r>
      <w:r>
        <w:t xml:space="preserve">”</w:t>
      </w:r>
      <w:r>
        <w:t xml:space="preserve"> </w:t>
      </w:r>
      <w:r>
        <w:t xml:space="preserve">befinden, unabhängig vom Serverstandort.</w:t>
      </w:r>
    </w:p>
    <w:p>
      <w:pPr>
        <w:pStyle w:val="BodyText"/>
      </w:pPr>
      <w:r>
        <w:rPr>
          <w:bCs/>
          <w:b/>
        </w:rPr>
        <w:t xml:space="preserve">Was ihn von den anderen Zugriffsebenen unterscheidet:</w:t>
      </w:r>
      <w:r>
        <w:t xml:space="preserve"> </w:t>
      </w:r>
      <w:r>
        <w:t xml:space="preserve">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pStyle w:val="BodyText"/>
      </w:pPr>
      <w:r>
        <w:rPr>
          <w:bCs/>
          <w:b/>
        </w:rPr>
        <w:t xml:space="preserve">Für Metadaten (Verbindungsdaten, IP-Adressen, Zeitstempel)</w:t>
      </w:r>
      <w:r>
        <w:t xml:space="preserve"> </w:t>
      </w:r>
      <w:r>
        <w:t xml:space="preserve">genügt eine Gerichtsbeschluss mit abgesenkten Anforderungen — kein voller Herausgabebeschluss nötig. Für Abonnentendaten (Name, Adresse, Zahlungsdaten) reicht in vielen Fällen eine behördliche Auskunftsanordnung ohne Richterbeteiligung.</w:t>
      </w:r>
    </w:p>
    <w:p>
      <w:pPr>
        <w:pStyle w:val="BodyText"/>
      </w:pPr>
      <w:r>
        <w:rPr>
          <w:bCs/>
          <w:b/>
        </w:rPr>
        <w:t xml:space="preserve">Relevanz für Gesundheitsdaten:</w:t>
      </w:r>
      <w:r>
        <w:t xml:space="preserve"> </w:t>
      </w:r>
      <w:r>
        <w:t xml:space="preserve">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pStyle w:val="BodyText"/>
      </w:pPr>
      <w:r>
        <w:rPr>
          <w:bCs/>
          <w:b/>
        </w:rPr>
        <w:t xml:space="preserve">Der Sanktionslisten-Automatismus:</w:t>
      </w:r>
      <w:r>
        <w:t xml:space="preserve"> </w:t>
      </w:r>
      <w:r>
        <w:t xml:space="preserve">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w:t>
      </w:r>
      <w:r>
        <w:t xml:space="preserve"> </w:t>
      </w:r>
      <w:r>
        <w:t xml:space="preserve">“</w:t>
      </w:r>
      <w:r>
        <w:t xml:space="preserve">under the provider’s possession, custody, or control</w:t>
      </w:r>
      <w:r>
        <w:t xml:space="preserve">”</w:t>
      </w:r>
      <w:r>
        <w:t xml:space="preserve"> </w:t>
      </w:r>
      <w:r>
        <w:t xml:space="preserve">—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pStyle w:val="BodyText"/>
      </w:pPr>
      <w: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bookmarkEnd w:id="36"/>
    <w:bookmarkStart w:id="37" w:name="X698246c114592abc717c21b212d5706b3f71935"/>
    <w:p>
      <w:pPr>
        <w:pStyle w:val="Heading3"/>
      </w:pPr>
      <w:r>
        <w:t xml:space="preserve">3.2 FISA § 702 und RISAA 2024 — die unterschätzte Gefahr</w:t>
      </w:r>
    </w:p>
    <w:p>
      <w:pPr>
        <w:pStyle w:val="FirstParagraph"/>
      </w:pPr>
      <w:r>
        <w:t xml:space="preserve">FISA § 702 ist das strukturell riskanteste Instrument für Gesundheitsdaten — weil es keine Einzelfallprüfung erfordert und damit massenweise Daten erfassen kann.</w:t>
      </w:r>
    </w:p>
    <w:p>
      <w:pPr>
        <w:pStyle w:val="BodyText"/>
      </w:pPr>
      <w:r>
        <w:t xml:space="preserve">Der Reforming Intelligence and Securing America Act (RISAA, April 2024) verlängerte FISA § 702 und</w:t>
      </w:r>
      <w:r>
        <w:t xml:space="preserve"> </w:t>
      </w:r>
      <w:r>
        <w:rPr>
          <w:bCs/>
          <w:b/>
        </w:rPr>
        <w:t xml:space="preserve">erweiterte gleichzeitig den Anbieter-Begriff massiv</w:t>
      </w:r>
      <w: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pStyle w:val="BodyText"/>
      </w:pPr>
      <w:r>
        <w:rPr>
          <w:bCs/>
          <w:b/>
        </w:rPr>
        <w:t xml:space="preserve">Wie FISA § 702 funktioniert:</w:t>
      </w:r>
      <w:r>
        <w:t xml:space="preserve"> </w:t>
      </w:r>
      <w:r>
        <w:t xml:space="preserve">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pStyle w:val="BodyText"/>
      </w:pPr>
      <w:r>
        <w:rPr>
          <w:bCs/>
          <w:b/>
        </w:rPr>
        <w:t xml:space="preserve">RISAA 2024 — die stille Ausweitung:</w:t>
      </w:r>
      <w:r>
        <w:t xml:space="preserve"> </w:t>
      </w:r>
      <w:r>
        <w:t xml:space="preserve">Die RISAA-Novelle erweiterte die Definition von</w:t>
      </w:r>
      <w:r>
        <w:t xml:space="preserve"> </w:t>
      </w:r>
      <w:r>
        <w:t xml:space="preserve">“</w:t>
      </w:r>
      <w:r>
        <w:t xml:space="preserve">Electronic Communication Service Provider</w:t>
      </w:r>
      <w:r>
        <w:t xml:space="preserve">”</w:t>
      </w:r>
      <w:r>
        <w:t xml:space="preserve"> </w:t>
      </w:r>
      <w:r>
        <w:t xml:space="preserve">drastisch: Nun können auch Unternehmen, die lediglich Zugang zu Netzwerkinfrastruktur haben — Rechenzentren, Server-Co-Location-Betreiber, Cloud-Infrastruktur — zur Herausgabe verpflichtet werden. Das EFF bezeichnete dies als</w:t>
      </w:r>
      <w:r>
        <w:t xml:space="preserve"> </w:t>
      </w:r>
      <w:r>
        <w:t xml:space="preserve">“</w:t>
      </w:r>
      <w:r>
        <w:t xml:space="preserve">Make Everyone a Spy Bill</w:t>
      </w:r>
      <w:r>
        <w:t xml:space="preserve">”</w:t>
      </w:r>
      <w:r>
        <w:t xml:space="preserve">. Für Gesundheits-IT bedeutet das: Auch Dienstleister, die nicht primär Kommunikationsdienste anbieten, aber US-kontrollierte Server betreiben, können erfasst sein.</w:t>
      </w:r>
    </w:p>
    <w:p>
      <w:pPr>
        <w:pStyle w:val="BodyText"/>
      </w:pPr>
      <w:r>
        <w:rPr>
          <w:bCs/>
          <w:b/>
        </w:rPr>
        <w:t xml:space="preserve">Auslaufdatum 20. April 2026 (FISA-Auslaufdatum):</w:t>
      </w:r>
      <w:r>
        <w:t xml:space="preserve"> </w:t>
      </w:r>
      <w:r>
        <w:t xml:space="preserve">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bookmarkEnd w:id="37"/>
    <w:bookmarkStart w:id="38" w:name="Xe327680f088849275cc025c8885790732c26716"/>
    <w:p>
      <w:pPr>
        <w:pStyle w:val="Heading3"/>
      </w:pPr>
      <w:r>
        <w:t xml:space="preserve">3.3 National Security Letter — kein Richter, kein Verdacht, Schweigegebot</w:t>
      </w:r>
    </w:p>
    <w:p>
      <w:pPr>
        <w:pStyle w:val="FirstParagraph"/>
      </w:pPr>
      <w: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pStyle w:val="BodyText"/>
      </w:pPr>
      <w:r>
        <w:rPr>
          <w:bCs/>
          <w:b/>
        </w:rPr>
        <w:t xml:space="preserve">Was NSLs erfassen:</w:t>
      </w:r>
      <w:r>
        <w:t xml:space="preserve"> </w:t>
      </w:r>
      <w:r>
        <w:t xml:space="preserve">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pStyle w:val="BodyText"/>
      </w:pPr>
      <w:r>
        <w:rPr>
          <w:bCs/>
          <w:b/>
        </w:rPr>
        <w:t xml:space="preserve">Das Schweigegebot (Schweigeverfügung):</w:t>
      </w:r>
      <w:r>
        <w:t xml:space="preserve"> </w:t>
      </w:r>
      <w:r>
        <w:t xml:space="preserve">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pStyle w:val="BodyText"/>
      </w:pPr>
      <w:r>
        <w:rPr>
          <w:bCs/>
          <w:b/>
        </w:rPr>
        <w:t xml:space="preserve">HIPAA-Schnittstelle:</w:t>
      </w:r>
      <w:r>
        <w:t xml:space="preserve"> </w:t>
      </w:r>
      <w:r>
        <w:t xml:space="preserve">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pStyle w:val="BodyText"/>
      </w:pPr>
      <w:r>
        <w:rPr>
          <w:bCs/>
          <w:b/>
        </w:rPr>
        <w:t xml:space="preserve">Praktische Bedeutung:</w:t>
      </w:r>
      <w:r>
        <w:t xml:space="preserve"> </w:t>
      </w:r>
      <w:r>
        <w:t xml:space="preserve">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bookmarkEnd w:id="38"/>
    <w:bookmarkStart w:id="39" w:name="X7eda89c9d499f25508b013c897a043b64680f7b"/>
    <w:p>
      <w:pPr>
        <w:pStyle w:val="Heading3"/>
      </w:pPr>
      <w:r>
        <w:t xml:space="preserve">3.4 CBP-Grenzkontrolle — physischer Gerätezugriff ohne Beschluss</w:t>
      </w:r>
    </w:p>
    <w:p>
      <w:pPr>
        <w:pStyle w:val="FirstParagraph"/>
      </w:pPr>
      <w: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pStyle w:val="BodyText"/>
      </w:pPr>
      <w:r>
        <w:rPr>
          <w:bCs/>
          <w:b/>
        </w:rPr>
        <w:t xml:space="preserve">Rechtsgrundlage:</w:t>
      </w:r>
      <w:r>
        <w:t xml:space="preserve"> </w:t>
      </w:r>
      <w:r>
        <w:t xml:space="preserve">US Customs and Border Protection (CBP) hat nach der Grenzkontrollen-Ausnahme das Recht, alle Geräte an US-Grenzen und internationalen Flughäfen ohne Herausgabebeschluss und ohne konkreten Verdacht zu durchsuchen. Grundlagendokument: CBP Directive No. 3340-049B.</w:t>
      </w:r>
    </w:p>
    <w:p>
      <w:pPr>
        <w:pStyle w:val="BodyText"/>
      </w:pPr>
      <w:r>
        <w:rPr>
          <w:bCs/>
          <w:b/>
        </w:rPr>
        <w:t xml:space="preserve">Unterschied Basisdurchsuchung vs. Erweiterte Durchsuchung (Basic Search vs. Advanced Search):</w:t>
      </w:r>
      <w:r>
        <w:t xml:space="preserve"> </w:t>
      </w:r>
      <w:r>
        <w:t xml:space="preserve">-</w:t>
      </w:r>
      <w:r>
        <w:t xml:space="preserve"> </w:t>
      </w:r>
      <w:r>
        <w:rPr>
          <w:bCs/>
          <w:b/>
        </w:rPr>
        <w:t xml:space="preserve">Basisdurchsuchung</w:t>
      </w:r>
      <w:r>
        <w:t xml:space="preserve"> </w:t>
      </w:r>
      <w:r>
        <w:t xml:space="preserve">(Basic Search — manuelle Durchsicht): Ohne jeden Verdacht zulässig. Jedes Gericht bisher einig. 2024: über 42.000 Basisdurchsuchungen durchgeführt.</w:t>
      </w:r>
      <w:r>
        <w:t xml:space="preserve"> </w:t>
      </w:r>
      <w:r>
        <w:t xml:space="preserve">-</w:t>
      </w:r>
      <w:r>
        <w:t xml:space="preserve"> </w:t>
      </w:r>
      <w:r>
        <w:rPr>
          <w:bCs/>
          <w:b/>
        </w:rPr>
        <w:t xml:space="preserve">Erweiterte Durchsuchung</w:t>
      </w:r>
      <w:r>
        <w:t xml:space="preserve"> </w:t>
      </w:r>
      <w:r>
        <w:t xml:space="preserve">(Advanced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pStyle w:val="BodyText"/>
      </w:pPr>
      <w:r>
        <w:rPr>
          <w:bCs/>
          <w:b/>
        </w:rPr>
        <w:t xml:space="preserve">Aktuelle Entwicklung:</w:t>
      </w:r>
      <w:r>
        <w:t xml:space="preserve"> </w:t>
      </w:r>
      <w:r>
        <w:t xml:space="preserve">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pStyle w:val="BodyText"/>
      </w:pPr>
      <w:r>
        <w:rPr>
          <w:bCs/>
          <w:b/>
        </w:rPr>
        <w:t xml:space="preserve">Relevanz für Gesundheits-IT-Personal:</w:t>
      </w:r>
      <w:r>
        <w:t xml:space="preserve"> </w:t>
      </w:r>
      <w:r>
        <w:t xml:space="preserve">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r>
        <w:pict>
          <v:rect style="width:0;height:1.5pt" o:hralign="center" o:hrstd="t" o:hr="t"/>
        </w:pict>
      </w:r>
    </w:p>
    <w:bookmarkEnd w:id="39"/>
    <w:bookmarkEnd w:id="40"/>
    <w:bookmarkStart w:id="47" w:name="X76cb8c1e6afa682e19af164d5a965cfafac6acb"/>
    <w:p>
      <w:pPr>
        <w:pStyle w:val="Heading2"/>
      </w:pPr>
      <w:r>
        <w:t xml:space="preserve">4. Europäischer Behördenzugriff: e-Evidence-VO, Five Eyes und die ethische Frage</w:t>
      </w:r>
    </w:p>
    <w:bookmarkStart w:id="41" w:name="X2dda4c36c5e68eda6e06fc49b0eae525346298a"/>
    <w:p>
      <w:pPr>
        <w:pStyle w:val="Heading3"/>
      </w:pPr>
      <w:r>
        <w:t xml:space="preserve">4.1 Die blinde Seite der Souveränitätsdebatte</w:t>
      </w:r>
    </w:p>
    <w:p>
      <w:pPr>
        <w:pStyle w:val="FirstParagraph"/>
      </w:pPr>
      <w:r>
        <w:t xml:space="preserve">In der Diskussion um CLOUD Act und Datensouveränität wird eine naheliegende Gegenfrage oft nicht gestellt:</w:t>
      </w:r>
      <w:r>
        <w:t xml:space="preserve"> </w:t>
      </w:r>
      <w:r>
        <w:rPr>
          <w:bCs/>
          <w:b/>
        </w:rPr>
        <w:t xml:space="preserve">Was können europäische Behörden eigentlich?</w:t>
      </w:r>
      <w:r>
        <w:t xml:space="preserve"> </w:t>
      </w:r>
      <w:r>
        <w:t xml:space="preserve">Und: Warum sollte man nicht einfach darauf vertrauen, dass westliche Verbündete — NATO, Five Eyes, EU-Partner — ähnliche Sicherheitsinteressen teilen und damit ethisch akzeptabler sind als ein</w:t>
      </w:r>
      <w:r>
        <w:t xml:space="preserve"> </w:t>
      </w:r>
      <w:r>
        <w:t xml:space="preserve">“</w:t>
      </w:r>
      <w:r>
        <w:t xml:space="preserve">Souveränitäts</w:t>
      </w:r>
      <w:r>
        <w:t xml:space="preserve">”</w:t>
      </w:r>
      <w:r>
        <w:t xml:space="preserve">-Denken, das Kooperation verhindert?</w:t>
      </w:r>
    </w:p>
    <w:p>
      <w:pPr>
        <w:pStyle w:val="BodyText"/>
      </w:pPr>
      <w:r>
        <w:t xml:space="preserve">Die Antwort auf diese Frage ist differenziert — und für die Architekturentscheidung wichtiger als häufig angenommen.</w:t>
      </w:r>
    </w:p>
    <w:bookmarkEnd w:id="41"/>
    <w:bookmarkStart w:id="42" w:name="Xa81e1b24bfecc7eb1edd7d1d809558d3be00640"/>
    <w:p>
      <w:pPr>
        <w:pStyle w:val="Heading3"/>
      </w:pPr>
      <w:r>
        <w:t xml:space="preserve">4.2 Die e-Evidence-Verordnung — der europäische CLOUD Act</w:t>
      </w:r>
    </w:p>
    <w:p>
      <w:pPr>
        <w:pStyle w:val="FirstParagraph"/>
      </w:pPr>
      <w:r>
        <w:t xml:space="preserve">Die EU hat mit der Verordnung (EU) 2023/1543 ein Instrument geschaffen, das strukturell dem CLOUD Act ähnelt:</w:t>
      </w:r>
      <w:r>
        <w:t xml:space="preserve"> </w:t>
      </w:r>
      <w:r>
        <w:rPr>
          <w:bCs/>
          <w:b/>
        </w:rPr>
        <w:t xml:space="preserve">grenzüberschreitender Direktzugriff auf elektronische Daten ohne klassisches Rechtshilfeverfahren.</w:t>
      </w:r>
      <w:r>
        <w:t xml:space="preserve"> </w:t>
      </w:r>
      <w:r>
        <w:t xml:space="preserve">Ab 18. August 2026 verbindlich.</w:t>
      </w:r>
    </w:p>
    <w:p>
      <w:pPr>
        <w:pStyle w:val="BodyText"/>
      </w:pPr>
      <w:r>
        <w:t xml:space="preserve">Das Instrumentarium:</w:t>
      </w:r>
    </w:p>
    <w:p>
      <w:pPr>
        <w:numPr>
          <w:ilvl w:val="0"/>
          <w:numId w:val="1002"/>
        </w:numPr>
        <w:pStyle w:val="Compact"/>
      </w:pPr>
      <w:r>
        <w:rPr>
          <w:bCs/>
          <w:b/>
        </w:rPr>
        <w:t xml:space="preserve">EPOC (Europäische Herausgabeanordnung):</w:t>
      </w:r>
      <w:r>
        <w:t xml:space="preserve"> </w:t>
      </w:r>
      <w:r>
        <w:t xml:space="preserve">Strafverfolgungsbehörde eines EU-Mitgliedstaats fordert direkt bei einem Anbieter in einem anderen EU-Staat Daten an — Abonnentendaten, Verkehrsdaten, Inhaltsdaten. Keine vorherige Einschaltung der Justiz des Providerstaats erforderlich.</w:t>
      </w:r>
    </w:p>
    <w:p>
      <w:pPr>
        <w:numPr>
          <w:ilvl w:val="0"/>
          <w:numId w:val="1002"/>
        </w:numPr>
        <w:pStyle w:val="Compact"/>
      </w:pPr>
      <w:r>
        <w:rPr>
          <w:bCs/>
          <w:b/>
        </w:rPr>
        <w:t xml:space="preserve">EPOC-PR (Sicherungsanordnung):</w:t>
      </w:r>
      <w:r>
        <w:t xml:space="preserve"> </w:t>
      </w:r>
      <w:r>
        <w:t xml:space="preserve">Sofortige Datensicherung, damit keine Daten gelöscht werden können.</w:t>
      </w:r>
    </w:p>
    <w:p>
      <w:pPr>
        <w:numPr>
          <w:ilvl w:val="0"/>
          <w:numId w:val="1002"/>
        </w:numPr>
        <w:pStyle w:val="Compact"/>
      </w:pPr>
      <w:r>
        <w:rPr>
          <w:bCs/>
          <w:b/>
        </w:rPr>
        <w:t xml:space="preserve">Frist:</w:t>
      </w:r>
      <w:r>
        <w:t xml:space="preserve"> </w:t>
      </w:r>
      <w:r>
        <w:t xml:space="preserve">Zehn Tage im Normalfall, sechs bis acht Stunden im Notfall.</w:t>
      </w:r>
    </w:p>
    <w:p>
      <w:pPr>
        <w:numPr>
          <w:ilvl w:val="0"/>
          <w:numId w:val="1002"/>
        </w:numPr>
        <w:pStyle w:val="Compact"/>
      </w:pPr>
      <w:r>
        <w:rPr>
          <w:bCs/>
          <w:b/>
        </w:rPr>
        <w:t xml:space="preserve">Sanktionen:</w:t>
      </w:r>
      <w:r>
        <w:t xml:space="preserve"> </w:t>
      </w:r>
      <w:r>
        <w:t xml:space="preserve">Bis zu 500.000 EUR oder 2% des weltweiten Jahresumsatzes bei Nichtbefolgung.</w:t>
      </w:r>
    </w:p>
    <w:p>
      <w:pPr>
        <w:numPr>
          <w:ilvl w:val="0"/>
          <w:numId w:val="1002"/>
        </w:numPr>
        <w:pStyle w:val="Compact"/>
      </w:pPr>
      <w:r>
        <w:rPr>
          <w:bCs/>
          <w:b/>
        </w:rPr>
        <w:t xml:space="preserve">Reichweite:</w:t>
      </w:r>
      <w:r>
        <w:t xml:space="preserve"> </w:t>
      </w:r>
      <w:r>
        <w:t xml:space="preserve">Gilt auch für Anbieter aus Drittstaaten (USA, UK, Schweiz), sofern sie Dienste in der EU anbieten — diese müssen einen EU-Rechtsvertreter benennen.</w:t>
      </w:r>
    </w:p>
    <w:p>
      <w:pPr>
        <w:pStyle w:val="FirstParagraph"/>
      </w:pPr>
      <w:r>
        <w:t xml:space="preserve">Das klingt zunächst symmetrisch zum CLOUD Act. Aber es gibt fundamentale strukturelle Unterschiede.</w:t>
      </w:r>
    </w:p>
    <w:bookmarkEnd w:id="42"/>
    <w:bookmarkStart w:id="43" w:name="X2227497061b60d27215c61b74491e6647a553a2"/>
    <w:p>
      <w:pPr>
        <w:pStyle w:val="Heading3"/>
      </w:pPr>
      <w:r>
        <w:t xml:space="preserve">4.3 Der strukturelle Vergleich: CLOUD Act vs. e-Evidence-VO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US CLOUD Act</w:t>
            </w:r>
          </w:p>
        </w:tc>
        <w:tc>
          <w:tcPr/>
          <w:p>
            <w:pPr>
              <w:pStyle w:val="Compact"/>
              <w:jc w:val="left"/>
            </w:pPr>
            <w:r>
              <w:t xml:space="preserve">EU e-Evidence-VO</w:t>
            </w:r>
          </w:p>
        </w:tc>
      </w:tr>
      <w:tr>
        <w:tc>
          <w:tcPr/>
          <w:p>
            <w:pPr>
              <w:pStyle w:val="Compact"/>
              <w:jc w:val="left"/>
            </w:pPr>
            <w:r>
              <w:rPr>
                <w:bCs/>
                <w:b/>
              </w:rPr>
              <w:t xml:space="preserve">Anknüpfungspunkt</w:t>
            </w:r>
          </w:p>
        </w:tc>
        <w:tc>
          <w:tcPr/>
          <w:p>
            <w:pPr>
              <w:pStyle w:val="Compact"/>
              <w:jc w:val="left"/>
            </w:pPr>
            <w:r>
              <w:t xml:space="preserve">Jurisdiktion über den Provider (Possession, Custody, Control)</w:t>
            </w:r>
          </w:p>
        </w:tc>
        <w:tc>
          <w:tcPr/>
          <w:p>
            <w:pPr>
              <w:pStyle w:val="Compact"/>
              <w:jc w:val="left"/>
            </w:pPr>
            <w:r>
              <w:t xml:space="preserve">Erbringung von Diensten im EU-Markt</w:t>
            </w:r>
          </w:p>
        </w:tc>
      </w:tr>
      <w:tr>
        <w:tc>
          <w:tcPr/>
          <w:p>
            <w:pPr>
              <w:pStyle w:val="Compact"/>
              <w:jc w:val="left"/>
            </w:pPr>
            <w:r>
              <w:rPr>
                <w:bCs/>
                <w:b/>
              </w:rPr>
              <w:t xml:space="preserve">Gerichtliche Kontrolle (Inhaltsdaten)</w:t>
            </w:r>
          </w:p>
        </w:tc>
        <w:tc>
          <w:tcPr/>
          <w:p>
            <w:pPr>
              <w:pStyle w:val="Compact"/>
              <w:jc w:val="left"/>
            </w:pPr>
            <w:r>
              <w:t xml:space="preserve">Richterlicher Herausgabebeschluss erforderlich</w:t>
            </w:r>
          </w:p>
        </w:tc>
        <w:tc>
          <w:tcPr/>
          <w:p>
            <w:pPr>
              <w:pStyle w:val="Compact"/>
              <w:jc w:val="left"/>
            </w:pPr>
            <w:r>
              <w:t xml:space="preserve">Richterliche Genehmigung + Prüfung durch Vollstreckungsbehörde</w:t>
            </w:r>
          </w:p>
        </w:tc>
      </w:tr>
      <w:tr>
        <w:tc>
          <w:tcPr/>
          <w:p>
            <w:pPr>
              <w:pStyle w:val="Compact"/>
              <w:jc w:val="left"/>
            </w:pPr>
            <w:r>
              <w:rPr>
                <w:bCs/>
                <w:b/>
              </w:rPr>
              <w:t xml:space="preserve">Gerichtliche Kontrolle (Metadaten)</w:t>
            </w:r>
          </w:p>
        </w:tc>
        <w:tc>
          <w:tcPr/>
          <w:p>
            <w:pPr>
              <w:pStyle w:val="Compact"/>
              <w:jc w:val="left"/>
            </w:pPr>
            <w:r>
              <w:t xml:space="preserve">Gerichtsbeschluss mit abgesenkten Anforderungen, teilweise nur behördliche Auskunftsanordnung</w:t>
            </w:r>
          </w:p>
        </w:tc>
        <w:tc>
          <w:tcPr/>
          <w:p>
            <w:pPr>
              <w:pStyle w:val="Compact"/>
              <w:jc w:val="left"/>
            </w:pPr>
            <w:r>
              <w:t xml:space="preserve">Richterliche Kontrolle abhängig von Datenkategorie</w:t>
            </w:r>
          </w:p>
        </w:tc>
      </w:tr>
      <w:tr>
        <w:tc>
          <w:tcPr/>
          <w:p>
            <w:pPr>
              <w:pStyle w:val="Compact"/>
              <w:jc w:val="left"/>
            </w:pPr>
            <w:r>
              <w:rPr>
                <w:bCs/>
                <w:b/>
              </w:rPr>
              <w:t xml:space="preserve">Kontrolle ohne Richter</w:t>
            </w:r>
          </w:p>
        </w:tc>
        <w:tc>
          <w:tcPr/>
          <w:p>
            <w:pPr>
              <w:pStyle w:val="Compact"/>
              <w:jc w:val="left"/>
            </w:pPr>
            <w:r>
              <w:t xml:space="preserve">NSL: kein Richter, kein Verdacht, für Metadaten</w:t>
            </w:r>
          </w:p>
        </w:tc>
        <w:tc>
          <w:tcPr/>
          <w:p>
            <w:pPr>
              <w:pStyle w:val="Compact"/>
              <w:jc w:val="left"/>
            </w:pPr>
            <w:r>
              <w:t xml:space="preserve">Kein strukturelles Äquivalent</w:t>
            </w:r>
          </w:p>
        </w:tc>
      </w:tr>
      <w:tr>
        <w:tc>
          <w:tcPr/>
          <w:p>
            <w:pPr>
              <w:pStyle w:val="Compact"/>
              <w:jc w:val="left"/>
            </w:pPr>
            <w:r>
              <w:rPr>
                <w:bCs/>
                <w:b/>
              </w:rPr>
              <w:t xml:space="preserve">Massenüberwachung</w:t>
            </w:r>
          </w:p>
        </w:tc>
        <w:tc>
          <w:tcPr/>
          <w:p>
            <w:pPr>
              <w:pStyle w:val="Compact"/>
              <w:jc w:val="left"/>
            </w:pPr>
            <w:r>
              <w:t xml:space="preserve">FISA § 702: Pauschale Jahreszertifizierung, kein Einzelfall</w:t>
            </w:r>
          </w:p>
        </w:tc>
        <w:tc>
          <w:tcPr/>
          <w:p>
            <w:pPr>
              <w:pStyle w:val="Compact"/>
              <w:jc w:val="left"/>
            </w:pPr>
            <w:r>
              <w:t xml:space="preserve">Kein Äquivalent in der e-Evidence-VO</w:t>
            </w:r>
          </w:p>
        </w:tc>
      </w:tr>
      <w:tr>
        <w:tc>
          <w:tcPr/>
          <w:p>
            <w:pPr>
              <w:pStyle w:val="Compact"/>
              <w:jc w:val="left"/>
            </w:pPr>
            <w:r>
              <w:rPr>
                <w:bCs/>
                <w:b/>
              </w:rPr>
              <w:t xml:space="preserve">Ablehnungsgründe</w:t>
            </w:r>
          </w:p>
        </w:tc>
        <w:tc>
          <w:tcPr/>
          <w:p>
            <w:pPr>
              <w:pStyle w:val="Compact"/>
              <w:jc w:val="left"/>
            </w:pPr>
            <w:r>
              <w:t xml:space="preserve">Nur Comity-Verfahren (völkerrechtliche Rücksichtnahme), entschieden nach US-Maßstäben</w:t>
            </w:r>
          </w:p>
        </w:tc>
        <w:tc>
          <w:tcPr/>
          <w:p>
            <w:pPr>
              <w:pStyle w:val="Compact"/>
              <w:jc w:val="left"/>
            </w:pPr>
            <w:r>
              <w:t xml:space="preserve">Katalog EU-Ablehnungsgründe: Grundrechtsverletzung, ne bis in idem, Immunität, fehlende beiderseitige Strafbarkeit</w:t>
            </w:r>
          </w:p>
        </w:tc>
      </w:tr>
      <w:tr>
        <w:tc>
          <w:tcPr/>
          <w:p>
            <w:pPr>
              <w:pStyle w:val="Compact"/>
              <w:jc w:val="left"/>
            </w:pPr>
            <w:r>
              <w:rPr>
                <w:bCs/>
                <w:b/>
              </w:rPr>
              <w:t xml:space="preserve">Benachrichtigung Betroffener</w:t>
            </w:r>
          </w:p>
        </w:tc>
        <w:tc>
          <w:tcPr/>
          <w:p>
            <w:pPr>
              <w:pStyle w:val="Compact"/>
              <w:jc w:val="left"/>
            </w:pPr>
            <w:r>
              <w:t xml:space="preserve">Kann durch Schweigeverfügung dauerhaft blockiert werden</w:t>
            </w:r>
          </w:p>
        </w:tc>
        <w:tc>
          <w:tcPr/>
          <w:p>
            <w:pPr>
              <w:pStyle w:val="Compact"/>
              <w:jc w:val="left"/>
            </w:pPr>
            <w:r>
              <w:t xml:space="preserve">Pflicht bei Inhaltsdaten; Ausnahmen, aber keine unbegrenzte Sperrung</w:t>
            </w:r>
          </w:p>
        </w:tc>
      </w:tr>
      <w:tr>
        <w:tc>
          <w:tcPr/>
          <w:p>
            <w:pPr>
              <w:pStyle w:val="Compact"/>
              <w:jc w:val="left"/>
            </w:pPr>
            <w:r>
              <w:rPr>
                <w:bCs/>
                <w:b/>
              </w:rPr>
              <w:t xml:space="preserve">Rechtsschutz für Nicht-US-Bürger</w:t>
            </w:r>
          </w:p>
        </w:tc>
        <w:tc>
          <w:tcPr/>
          <w:p>
            <w:pPr>
              <w:pStyle w:val="Compact"/>
              <w:jc w:val="left"/>
            </w:pPr>
            <w:r>
              <w:t xml:space="preserve">Faktisch nicht vorhanden vor US-Gerichten</w:t>
            </w:r>
          </w:p>
        </w:tc>
        <w:tc>
          <w:tcPr/>
          <w:p>
            <w:pPr>
              <w:pStyle w:val="Compact"/>
              <w:jc w:val="left"/>
            </w:pPr>
            <w:r>
              <w:t xml:space="preserve">EU-Grundrechtecharta (Art. 8, Art. 47), nationaler Rechtsweg</w:t>
            </w:r>
          </w:p>
        </w:tc>
      </w:tr>
      <w:tr>
        <w:tc>
          <w:tcPr/>
          <w:p>
            <w:pPr>
              <w:pStyle w:val="Compact"/>
              <w:jc w:val="left"/>
            </w:pPr>
            <w:r>
              <w:rPr>
                <w:bCs/>
                <w:b/>
              </w:rPr>
              <w:t xml:space="preserve">Verhältnismäßigkeit</w:t>
            </w:r>
          </w:p>
        </w:tc>
        <w:tc>
          <w:tcPr/>
          <w:p>
            <w:pPr>
              <w:pStyle w:val="Compact"/>
              <w:jc w:val="left"/>
            </w:pPr>
            <w:r>
              <w:t xml:space="preserve">Nicht strukturell verankert für Nicht-US-Bürger</w:t>
            </w:r>
          </w:p>
        </w:tc>
        <w:tc>
          <w:tcPr/>
          <w:p>
            <w:pPr>
              <w:pStyle w:val="Compact"/>
              <w:jc w:val="left"/>
            </w:pPr>
            <w:r>
              <w:t xml:space="preserve">DSGVO + GRCh Art. 52 als fester Maßstab</w:t>
            </w:r>
          </w:p>
        </w:tc>
      </w:tr>
      <w:tr>
        <w:tc>
          <w:tcPr/>
          <w:p>
            <w:pPr>
              <w:pStyle w:val="Compact"/>
              <w:jc w:val="left"/>
            </w:pPr>
            <w:r>
              <w:rPr>
                <w:bCs/>
                <w:b/>
              </w:rPr>
              <w:t xml:space="preserve">Geheimdienstlicher Zugriff</w:t>
            </w:r>
          </w:p>
        </w:tc>
        <w:tc>
          <w:tcPr/>
          <w:p>
            <w:pPr>
              <w:pStyle w:val="Compact"/>
              <w:jc w:val="left"/>
            </w:pPr>
            <w:r>
              <w:t xml:space="preserve">FISA § 702, EO 12.333, NSL — ohne richterliche Einzelfallkontrolle</w:t>
            </w:r>
          </w:p>
        </w:tc>
        <w:tc>
          <w:tcPr/>
          <w:p>
            <w:pPr>
              <w:pStyle w:val="Compact"/>
              <w:jc w:val="left"/>
            </w:pPr>
            <w:r>
              <w:t xml:space="preserve">Kein Äquivalent; nationale Nachrichtendienste agieren nach nationalem Recht</w:t>
            </w:r>
          </w:p>
        </w:tc>
      </w:tr>
      <w:tr>
        <w:tc>
          <w:tcPr/>
          <w:p>
            <w:pPr>
              <w:pStyle w:val="Compact"/>
              <w:jc w:val="left"/>
            </w:pPr>
            <w:r>
              <w:rPr>
                <w:bCs/>
                <w:b/>
              </w:rPr>
              <w:t xml:space="preserve">DSGVO-Konformität</w:t>
            </w:r>
          </w:p>
        </w:tc>
        <w:tc>
          <w:tcPr/>
          <w:p>
            <w:pPr>
              <w:pStyle w:val="Compact"/>
              <w:jc w:val="left"/>
            </w:pPr>
            <w:r>
              <w:t xml:space="preserve">Strukturell verletzt Art. 48 DSGVO (verbietet Datentransfer in Drittstaaten ohne EU-rechtliche Grundlage)</w:t>
            </w:r>
          </w:p>
        </w:tc>
        <w:tc>
          <w:tcPr/>
          <w:p>
            <w:pPr>
              <w:pStyle w:val="Compact"/>
              <w:jc w:val="left"/>
            </w:pPr>
            <w:r>
              <w:t xml:space="preserve">Ist EU-Recht — kein Konflikt</w:t>
            </w:r>
          </w:p>
        </w:tc>
      </w:tr>
      <w:tr>
        <w:tc>
          <w:tcPr/>
          <w:p>
            <w:pPr>
              <w:pStyle w:val="Compact"/>
              <w:jc w:val="left"/>
            </w:pPr>
            <w:r>
              <w:rPr>
                <w:bCs/>
                <w:b/>
              </w:rPr>
              <w:t xml:space="preserve">Überprüfbarkeit</w:t>
            </w:r>
          </w:p>
        </w:tc>
        <w:tc>
          <w:tcPr/>
          <w:p>
            <w:pPr>
              <w:pStyle w:val="Compact"/>
              <w:jc w:val="left"/>
            </w:pPr>
            <w:r>
              <w:t xml:space="preserve">US-Gerichte, US-Maßstäbe</w:t>
            </w:r>
          </w:p>
        </w:tc>
        <w:tc>
          <w:tcPr/>
          <w:p>
            <w:pPr>
              <w:pStyle w:val="Compact"/>
              <w:jc w:val="left"/>
            </w:pPr>
            <w:r>
              <w:t xml:space="preserve">EuGH, Grundrechtecharta, nationale Verfassungsgerichte</w:t>
            </w:r>
          </w:p>
        </w:tc>
      </w:tr>
    </w:tbl>
    <w:p>
      <w:pPr>
        <w:pStyle w:val="BodyText"/>
      </w:pPr>
      <w:r>
        <w:rPr>
          <w:bCs/>
          <w:b/>
        </w:rPr>
        <w:t xml:space="preserve">Das Kernresultat:</w:t>
      </w:r>
      <w:r>
        <w:t xml:space="preserve"> </w:t>
      </w:r>
      <w:r>
        <w:t xml:space="preserve">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bookmarkEnd w:id="43"/>
    <w:bookmarkStart w:id="44" w:name="Xbc7085b9384beb3865d318f9e191840f276e339"/>
    <w:p>
      <w:pPr>
        <w:pStyle w:val="Heading3"/>
      </w:pPr>
      <w:r>
        <w:t xml:space="preserve">4.4 Ist DSGVO relevant für europäischen Behördenzugriff?</w:t>
      </w:r>
    </w:p>
    <w:p>
      <w:pPr>
        <w:pStyle w:val="FirstParagraph"/>
      </w:pPr>
      <w:r>
        <w:rPr>
          <w:bCs/>
          <w:b/>
        </w:rPr>
        <w:t xml:space="preserve">Direkt: Nein.</w:t>
      </w:r>
      <w:r>
        <w:t xml:space="preserve"> </w:t>
      </w:r>
      <w:r>
        <w:t xml:space="preserve">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pStyle w:val="BodyText"/>
      </w:pPr>
      <w:r>
        <w:rPr>
          <w:bCs/>
          <w:b/>
        </w:rPr>
        <w:t xml:space="preserve">Indirekt: Ja.</w:t>
      </w:r>
      <w:r>
        <w:t xml:space="preserve"> </w:t>
      </w:r>
      <w:r>
        <w:t xml:space="preserve">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bookmarkEnd w:id="44"/>
    <w:bookmarkStart w:id="45" w:name="five-eyes-nato-und-die-ethische-frage"/>
    <w:p>
      <w:pPr>
        <w:pStyle w:val="Heading3"/>
      </w:pPr>
      <w:r>
        <w:t xml:space="preserve">4.5 Five Eyes, NATO und die ethische Frage</w:t>
      </w:r>
    </w:p>
    <w:p>
      <w:pPr>
        <w:pStyle w:val="FirstParagraph"/>
      </w:pPr>
      <w: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pStyle w:val="BodyText"/>
      </w:pPr>
      <w:r>
        <w:t xml:space="preserve">Diese Position verdient eine ehrliche Auseinandersetzung in drei Dimensionen:</w:t>
      </w:r>
    </w:p>
    <w:p>
      <w:pPr>
        <w:pStyle w:val="BodyText"/>
      </w:pPr>
      <w:r>
        <w:rPr>
          <w:bCs/>
          <w:b/>
        </w:rPr>
        <w:t xml:space="preserve">Dimension 1: Was Five Eyes strukturell ist</w:t>
      </w:r>
    </w:p>
    <w:p>
      <w:pPr>
        <w:pStyle w:val="BodyText"/>
      </w:pPr>
      <w: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pStyle w:val="BodyText"/>
      </w:pPr>
      <w: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pStyle w:val="BodyText"/>
      </w:pPr>
      <w:r>
        <w:rPr>
          <w:bCs/>
          <w:b/>
        </w:rPr>
        <w:t xml:space="preserve">Dimension 2: Der Kategorieunterschied</w:t>
      </w:r>
    </w:p>
    <w:p>
      <w:pPr>
        <w:pStyle w:val="BodyText"/>
      </w:pPr>
      <w: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pStyle w:val="BodyText"/>
      </w:pPr>
      <w:r>
        <w:t xml:space="preserve">Der CLOUD Act ist kein Geheimdienstgesetz — er ist ein Strafverfolgungsgesetz. Ein FBI-Agent, der in einer Drogenermittlung E-Mails eines Verdächtigen anfordert und dabei die Gesundheitsakten unbeteiligter GKV-Versicherter miterfasst, handelt nicht im Sinne eines</w:t>
      </w:r>
      <w:r>
        <w:t xml:space="preserve"> </w:t>
      </w:r>
      <w:r>
        <w:t xml:space="preserve">“</w:t>
      </w:r>
      <w:r>
        <w:t xml:space="preserve">westlichen Werteverbunds.</w:t>
      </w:r>
      <w:r>
        <w:t xml:space="preserve">”</w:t>
      </w:r>
      <w:r>
        <w:t xml:space="preserve"> </w:t>
      </w:r>
      <w:r>
        <w:t xml:space="preserve">Er handelt im Rahmen eines Gesetzes, das keine adäquaten Schutzmechanismen für Nicht-US-Bürger enthält.</w:t>
      </w:r>
    </w:p>
    <w:p>
      <w:pPr>
        <w:pStyle w:val="BodyText"/>
      </w:pPr>
      <w:r>
        <w:rPr>
          <w:bCs/>
          <w:b/>
        </w:rPr>
        <w:t xml:space="preserve">Dimension 3: Die geopolitische Realität 2025/2026</w:t>
      </w:r>
    </w:p>
    <w:p>
      <w:pPr>
        <w:pStyle w:val="BodyText"/>
      </w:pPr>
      <w:r>
        <w:t xml:space="preserve">Der</w:t>
      </w:r>
      <w:r>
        <w:t xml:space="preserve"> </w:t>
      </w:r>
      <w:r>
        <w:t xml:space="preserve">“</w:t>
      </w:r>
      <w:r>
        <w:t xml:space="preserve">westliche Verbund</w:t>
      </w:r>
      <w:r>
        <w:t xml:space="preserve">”</w:t>
      </w:r>
      <w:r>
        <w:t xml:space="preserve">-Gedanke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pStyle w:val="BodyText"/>
      </w:pPr>
      <w:r>
        <w:rPr>
          <w:bCs/>
          <w:b/>
        </w:rPr>
        <w:t xml:space="preserve">Fazit zur ethischen Frage:</w:t>
      </w:r>
    </w:p>
    <w:p>
      <w:pPr>
        <w:pStyle w:val="BodyText"/>
      </w:pPr>
      <w:r>
        <w:t xml:space="preserve">Es gibt keinen pauschalen</w:t>
      </w:r>
      <w:r>
        <w:t xml:space="preserve"> </w:t>
      </w:r>
      <w:r>
        <w:t xml:space="preserve">“</w:t>
      </w:r>
      <w:r>
        <w:t xml:space="preserve">westlichen Verbund</w:t>
      </w:r>
      <w:r>
        <w:t xml:space="preserve">”</w:t>
      </w:r>
      <w:r>
        <w:t xml:space="preserve">, dem man Gesundheitsdaten strukturell anvertrauen kann oder sollte. Es gibt Rechtssysteme — und europäisches Recht ist für diese Zwecke strukturell vertrauenswürdiger als US-Recht, weil es:</w:t>
      </w:r>
    </w:p>
    <w:p>
      <w:pPr>
        <w:numPr>
          <w:ilvl w:val="0"/>
          <w:numId w:val="1003"/>
        </w:numPr>
        <w:pStyle w:val="Compact"/>
      </w:pPr>
      <w:r>
        <w:t xml:space="preserve">An Verhältnismäßigkeit gebunden ist (GRCh Art. 52)</w:t>
      </w:r>
    </w:p>
    <w:p>
      <w:pPr>
        <w:numPr>
          <w:ilvl w:val="0"/>
          <w:numId w:val="1003"/>
        </w:numPr>
        <w:pStyle w:val="Compact"/>
      </w:pPr>
      <w:r>
        <w:t xml:space="preserve">Durch unabhängige Gerichte überprüfbar ist (EuGH, BVerfG)</w:t>
      </w:r>
    </w:p>
    <w:p>
      <w:pPr>
        <w:numPr>
          <w:ilvl w:val="0"/>
          <w:numId w:val="1003"/>
        </w:numPr>
        <w:pStyle w:val="Compact"/>
      </w:pPr>
      <w:r>
        <w:t xml:space="preserve">Rechtsschutz für alle Betroffenen — nicht nur für eigene Bürger — vorsieht</w:t>
      </w:r>
    </w:p>
    <w:p>
      <w:pPr>
        <w:numPr>
          <w:ilvl w:val="0"/>
          <w:numId w:val="1003"/>
        </w:numPr>
        <w:pStyle w:val="Compact"/>
      </w:pPr>
      <w:r>
        <w:t xml:space="preserve">Keine Massenüberwachung ohne Einzelfallprüfung kennt (kein FISA-Äquivalent)</w:t>
      </w:r>
    </w:p>
    <w:p>
      <w:pPr>
        <w:numPr>
          <w:ilvl w:val="0"/>
          <w:numId w:val="1003"/>
        </w:numPr>
        <w:pStyle w:val="Compact"/>
      </w:pPr>
      <w:r>
        <w:t xml:space="preserve">Nicht von politischen Konstellationen einer einzelnen Regierung abhängt</w:t>
      </w:r>
    </w:p>
    <w:p>
      <w:pPr>
        <w:pStyle w:val="FirstParagraph"/>
      </w:pPr>
      <w: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bookmarkEnd w:id="45"/>
    <w:bookmarkStart w:id="46" w:name="Xa6852a239c610217e56ab9200039fd5b95f8991"/>
    <w:p>
      <w:pPr>
        <w:pStyle w:val="Heading3"/>
      </w:pPr>
      <w:r>
        <w:t xml:space="preserve">4.6 Praktische Konsequenz: Was dieser Vergleich für Architekturentscheidungen bedeutet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Szenario</w:t>
            </w:r>
          </w:p>
        </w:tc>
        <w:tc>
          <w:tcPr/>
          <w:p>
            <w:pPr>
              <w:pStyle w:val="Compact"/>
              <w:jc w:val="left"/>
            </w:pPr>
            <w:r>
              <w:t xml:space="preserve">Bewertung</w:t>
            </w:r>
          </w:p>
        </w:tc>
      </w:tr>
      <w:tr>
        <w:tc>
          <w:tcPr/>
          <w:p>
            <w:pPr>
              <w:pStyle w:val="Compact"/>
              <w:jc w:val="left"/>
            </w:pPr>
            <w:r>
              <w:t xml:space="preserve">Strafverfolgungszugriff EU-Behörde mit Richtererlaubnis (e-Evidence-VO)</w:t>
            </w:r>
          </w:p>
        </w:tc>
        <w:tc>
          <w:tcPr/>
          <w:p>
            <w:pPr>
              <w:pStyle w:val="Compact"/>
              <w:jc w:val="left"/>
            </w:pPr>
            <w:r>
              <w:t xml:space="preserve">✅ Rechtsstaatlich, DSGVO-kompatibel, anfechtbar</w:t>
            </w:r>
          </w:p>
        </w:tc>
      </w:tr>
      <w:tr>
        <w:tc>
          <w:tcPr/>
          <w:p>
            <w:pPr>
              <w:pStyle w:val="Compact"/>
              <w:jc w:val="left"/>
            </w:pPr>
            <w:r>
              <w:t xml:space="preserve">Strafverfolgungszugriff US-Behörde mit Herausgabebeschluss (CLOUD Act, Inhaltsdaten)</w:t>
            </w:r>
          </w:p>
        </w:tc>
        <w:tc>
          <w:tcPr/>
          <w:p>
            <w:pPr>
              <w:pStyle w:val="Compact"/>
              <w:jc w:val="left"/>
            </w:pPr>
            <w:r>
              <w:t xml:space="preserve">🟡 Formal gerichtlich, aber kein Rechtsschutz für EU-Bürger</w:t>
            </w:r>
          </w:p>
        </w:tc>
      </w:tr>
      <w:tr>
        <w:tc>
          <w:tcPr/>
          <w:p>
            <w:pPr>
              <w:pStyle w:val="Compact"/>
              <w:jc w:val="left"/>
            </w:pPr>
            <w:r>
              <w:t xml:space="preserve">Strafverfolgungszugriff US-Behörde ohne Richter (NSL, Metadaten)</w:t>
            </w:r>
          </w:p>
        </w:tc>
        <w:tc>
          <w:tcPr/>
          <w:p>
            <w:pPr>
              <w:pStyle w:val="Compact"/>
              <w:jc w:val="left"/>
            </w:pPr>
            <w:r>
              <w:t xml:space="preserve">🔴 Kein Richter, kein Verdacht, Schweigegebot</w:t>
            </w:r>
          </w:p>
        </w:tc>
      </w:tr>
      <w:tr>
        <w:tc>
          <w:tcPr/>
          <w:p>
            <w:pPr>
              <w:pStyle w:val="Compact"/>
              <w:jc w:val="left"/>
            </w:pPr>
            <w:r>
              <w:t xml:space="preserve">Geheimdienstlicher Zugriff (FISA § 702)</w:t>
            </w:r>
          </w:p>
        </w:tc>
        <w:tc>
          <w:tcPr/>
          <w:p>
            <w:pPr>
              <w:pStyle w:val="Compact"/>
              <w:jc w:val="left"/>
            </w:pPr>
            <w:r>
              <w:t xml:space="preserve">🔴 Keine Einzelfallprüfung, kein EU-Rechtsschutz, Five-Eyes-Weitergabe</w:t>
            </w:r>
          </w:p>
        </w:tc>
      </w:tr>
      <w:tr>
        <w:tc>
          <w:tcPr/>
          <w:p>
            <w:pPr>
              <w:pStyle w:val="Compact"/>
              <w:jc w:val="left"/>
            </w:pPr>
            <w:r>
              <w:t xml:space="preserve">Five-Eyes-Intelligence-Sharing auf Basis US-erfasster Daten</w:t>
            </w:r>
          </w:p>
        </w:tc>
        <w:tc>
          <w:tcPr/>
          <w:p>
            <w:pPr>
              <w:pStyle w:val="Compact"/>
              <w:jc w:val="left"/>
            </w:pPr>
            <w:r>
              <w:t xml:space="preserve">🔴 Kein transparentes Rechtsregime für Betroffene</w:t>
            </w:r>
          </w:p>
        </w:tc>
      </w:tr>
    </w:tbl>
    <w:p>
      <w:pPr>
        <w:pStyle w:val="BodyText"/>
      </w:pPr>
      <w:r>
        <w:t xml:space="preserve">Für Gesundheitsdaten nach § 393 SGB V gilt: Nur Stufe 1 (EU-rechtlicher Strafverfolgungszugriff) ist akzeptabel. Alle anderen Szenarien sind mit dem DSGVO-Schutzniveau für besondere Datenkategorien (Art. 9) unvereinbar.</w:t>
      </w:r>
    </w:p>
    <w:p>
      <w:r>
        <w:pict>
          <v:rect style="width:0;height:1.5pt" o:hralign="center" o:hrstd="t" o:hr="t"/>
        </w:pict>
      </w:r>
    </w:p>
    <w:bookmarkEnd w:id="46"/>
    <w:bookmarkEnd w:id="47"/>
    <w:bookmarkStart w:id="66" w:name="X3227704959ebb35eba385de6663dc2c5393db99"/>
    <w:p>
      <w:pPr>
        <w:pStyle w:val="Heading2"/>
      </w:pPr>
      <w:r>
        <w:t xml:space="preserve">5. Anbieterbewertung: CLOUD-Act-Risiko und EU-Marktübersicht</w:t>
      </w:r>
    </w:p>
    <w:bookmarkStart w:id="48" w:name="marktkontext"/>
    <w:p>
      <w:pPr>
        <w:pStyle w:val="Heading3"/>
      </w:pPr>
      <w:r>
        <w:t xml:space="preserve">5.1 Marktkontext</w:t>
      </w:r>
    </w:p>
    <w:p>
      <w:pPr>
        <w:pStyle w:val="FirstParagraph"/>
      </w:pPr>
      <w:r>
        <w:t xml:space="preserve">Die EU-Kommission hat im Oktober 2025 einen</w:t>
      </w:r>
      <w:r>
        <w:t xml:space="preserve"> </w:t>
      </w:r>
      <w:r>
        <w:rPr>
          <w:bCs/>
          <w:b/>
        </w:rPr>
        <w:t xml:space="preserve">180-Millionen-Euro-Tender</w:t>
      </w:r>
      <w:r>
        <w:t xml:space="preserve"> </w:t>
      </w:r>
      <w:r>
        <w:t xml:space="preserve">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w:t>
      </w:r>
      <w:r>
        <w:t xml:space="preserve"> </w:t>
      </w:r>
      <w:r>
        <w:t xml:space="preserve">“</w:t>
      </w:r>
      <w:r>
        <w:t xml:space="preserve">European cloud alternatives</w:t>
      </w:r>
      <w:r>
        <w:t xml:space="preserve">”</w:t>
      </w:r>
      <w:r>
        <w:t xml:space="preserve"> </w:t>
      </w:r>
      <w:r>
        <w:t xml:space="preserve">ist 2025 um 660% gestiegen.</w:t>
      </w:r>
    </w:p>
    <w:p>
      <w:pPr>
        <w:pStyle w:val="BodyText"/>
      </w:pPr>
      <w:r>
        <w:t xml:space="preserve">Marktverteilung Europa 2025: AWS ~30%, Microsoft Azure ~25%, Google Cloud ~15%, EU-Anbieter gesamt ~15%, Sonstige ~15%.</w:t>
      </w:r>
    </w:p>
    <w:bookmarkEnd w:id="48"/>
    <w:bookmarkStart w:id="49" w:name="die-drei-risikofragen-bewertungslogik"/>
    <w:p>
      <w:pPr>
        <w:pStyle w:val="Heading3"/>
      </w:pPr>
      <w:r>
        <w:t xml:space="preserve">5.2 Die drei Risikofragen — Bewertungslogik</w:t>
      </w:r>
    </w:p>
    <w:p>
      <w:pPr>
        <w:pStyle w:val="FirstParagraph"/>
      </w:pPr>
      <w:r>
        <w:t xml:space="preserve">Das entscheidende Kriterium ist</w:t>
      </w:r>
      <w:r>
        <w:t xml:space="preserve"> </w:t>
      </w:r>
      <w:r>
        <w:rPr>
          <w:bCs/>
          <w:b/>
        </w:rPr>
        <w:t xml:space="preserve">nicht der Serverstandort, sondern die Unternehmensstruktur.</w:t>
      </w:r>
      <w:r>
        <w:t xml:space="preserve"> </w:t>
      </w:r>
      <w:r>
        <w:t xml:space="preserve">Für jeden Anbieter sind drei Fragen maßgeblich:</w:t>
      </w:r>
    </w:p>
    <w:p>
      <w:pPr>
        <w:numPr>
          <w:ilvl w:val="0"/>
          <w:numId w:val="1004"/>
        </w:numPr>
        <w:pStyle w:val="Compact"/>
      </w:pPr>
      <w:r>
        <w:t xml:space="preserve">Ist das Unternehmen oder seine Muttergesellschaft in den USA börsennotiert oder hat Hauptsitz in den USA?</w:t>
      </w:r>
    </w:p>
    <w:p>
      <w:pPr>
        <w:numPr>
          <w:ilvl w:val="0"/>
          <w:numId w:val="1004"/>
        </w:numPr>
        <w:pStyle w:val="Compact"/>
      </w:pPr>
      <w:r>
        <w:t xml:space="preserve">Unterhält das Unternehmen Niederlassungen, Tochtergesellschaften oder signifikante Geschäftsaktivitäten in den USA?</w:t>
      </w:r>
    </w:p>
    <w:p>
      <w:pPr>
        <w:numPr>
          <w:ilvl w:val="0"/>
          <w:numId w:val="1004"/>
        </w:numPr>
        <w:pStyle w:val="Compact"/>
      </w:pPr>
      <w:r>
        <w:t xml:space="preserve">Gibt es eine indirekte Druckposition über eine US-Schwester- oder Tochtergesellschaft?</w:t>
      </w:r>
    </w:p>
    <w:p>
      <w:pPr>
        <w:pStyle w:val="FirstParagraph"/>
      </w:pPr>
      <w:r>
        <w:t xml:space="preserve">Wenn eine dieser Fragen mit Ja beantwortet wird: CLOUD-Act-Risiko real — unabhängig von Serverstandort, AVV (Auftragsverarbeitungsvertrag nach Art. 28 DSGVO) und SCCs (Standard Contractual Clauses — EU-Standardvertragsklauseln).</w:t>
      </w:r>
    </w:p>
    <w:bookmarkEnd w:id="49"/>
    <w:bookmarkStart w:id="51" w:name="zertifizierungsstandards-im-vergleich"/>
    <w:p>
      <w:pPr>
        <w:pStyle w:val="Heading3"/>
      </w:pPr>
      <w:r>
        <w:t xml:space="preserve">5.3 Zertifizierungsstandards im Vergleich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Standard</w:t>
            </w:r>
          </w:p>
        </w:tc>
        <w:tc>
          <w:tcPr/>
          <w:p>
            <w:pPr>
              <w:pStyle w:val="Compact"/>
              <w:jc w:val="left"/>
            </w:pPr>
            <w:r>
              <w:t xml:space="preserve">Land</w:t>
            </w:r>
          </w:p>
        </w:tc>
        <w:tc>
          <w:tcPr/>
          <w:p>
            <w:pPr>
              <w:pStyle w:val="Compact"/>
              <w:jc w:val="left"/>
            </w:pPr>
            <w:r>
              <w:t xml:space="preserve">CLOUD-Act-Immunität</w:t>
            </w:r>
          </w:p>
        </w:tc>
        <w:tc>
          <w:tcPr/>
          <w:p>
            <w:pPr>
              <w:pStyle w:val="Compact"/>
              <w:jc w:val="left"/>
            </w:pPr>
            <w:r>
              <w:t xml:space="preserve">Stärke</w:t>
            </w:r>
          </w:p>
        </w:tc>
      </w:tr>
      <w:tr>
        <w:tc>
          <w:tcPr/>
          <w:p>
            <w:pPr>
              <w:pStyle w:val="Compact"/>
              <w:jc w:val="left"/>
            </w:pPr>
            <w:r>
              <w:rPr>
                <w:bCs/>
                <w:b/>
              </w:rPr>
              <w:t xml:space="preserve">BSI C5:2026</w:t>
            </w:r>
          </w:p>
        </w:tc>
        <w:tc>
          <w:tcPr/>
          <w:p>
            <w:pPr>
              <w:pStyle w:val="Compact"/>
              <w:jc w:val="left"/>
            </w:pPr>
            <w:r>
              <w:t xml:space="preserve">Deutschland</w:t>
            </w:r>
          </w:p>
        </w:tc>
        <w:tc>
          <w:tcPr/>
          <w:p>
            <w:pPr>
              <w:pStyle w:val="Compact"/>
              <w:jc w:val="left"/>
            </w:pPr>
            <w:r>
              <w:t xml:space="preserve">❌ Nicht geprüft — nur technische Sicherheit (168 Kriterien, Apr. 2026)</w:t>
            </w:r>
          </w:p>
        </w:tc>
        <w:tc>
          <w:tcPr/>
          <w:p>
            <w:pPr>
              <w:pStyle w:val="Compact"/>
              <w:jc w:val="left"/>
            </w:pPr>
            <w:r>
              <w:t xml:space="preserve">Technische Mindestsicherheit</w:t>
            </w:r>
          </w:p>
        </w:tc>
      </w:tr>
      <w:tr>
        <w:tc>
          <w:tcPr/>
          <w:p>
            <w:pPr>
              <w:pStyle w:val="Compact"/>
              <w:jc w:val="left"/>
            </w:pPr>
            <w:r>
              <w:rPr>
                <w:bCs/>
                <w:b/>
              </w:rPr>
              <w:t xml:space="preserve">BSI Souveränitätskriterien</w:t>
            </w:r>
          </w:p>
        </w:tc>
        <w:tc>
          <w:tcPr/>
          <w:p>
            <w:pPr>
              <w:pStyle w:val="Compact"/>
              <w:jc w:val="left"/>
            </w:pPr>
            <w:r>
              <w:t xml:space="preserve">Deutschland</w:t>
            </w:r>
          </w:p>
        </w:tc>
        <w:tc>
          <w:tcPr/>
          <w:p>
            <w:pPr>
              <w:pStyle w:val="Compact"/>
              <w:jc w:val="left"/>
            </w:pPr>
            <w:r>
              <w:t xml:space="preserve">⏳ Angekündigt — gemeinsam mit ANSSI (Nov. 2025), Veröffentlichung</w:t>
            </w:r>
            <w:r>
              <w:t xml:space="preserve"> </w:t>
            </w:r>
            <w:r>
              <w:t xml:space="preserve">“</w:t>
            </w:r>
            <w:r>
              <w:t xml:space="preserve">in Kürze</w:t>
            </w:r>
            <w:r>
              <w:t xml:space="preserve">”</w:t>
            </w:r>
          </w:p>
        </w:tc>
        <w:tc>
          <w:tcPr/>
          <w:p>
            <w:pPr>
              <w:pStyle w:val="Compact"/>
              <w:jc w:val="left"/>
            </w:pPr>
            <w:r>
              <w:t xml:space="preserve">Noch nicht verfügbar</w:t>
            </w:r>
          </w:p>
        </w:tc>
      </w:tr>
      <w:tr>
        <w:tc>
          <w:tcPr/>
          <w:p>
            <w:pPr>
              <w:pStyle w:val="Compact"/>
              <w:jc w:val="left"/>
            </w:pPr>
            <w:r>
              <w:rPr>
                <w:bCs/>
                <w:b/>
              </w:rPr>
              <w:t xml:space="preserve">SecNumCloud 3.2</w:t>
            </w:r>
          </w:p>
        </w:tc>
        <w:tc>
          <w:tcPr/>
          <w:p>
            <w:pPr>
              <w:pStyle w:val="Compact"/>
              <w:jc w:val="left"/>
            </w:pPr>
            <w:r>
              <w:t xml:space="preserve">Frankreich</w:t>
            </w:r>
          </w:p>
        </w:tc>
        <w:tc>
          <w:tcPr/>
          <w:p>
            <w:pPr>
              <w:pStyle w:val="Compact"/>
              <w:jc w:val="left"/>
            </w:pPr>
            <w:r>
              <w:t xml:space="preserve">✅ Explizit — max. 24%/39% nicht-EU-Anteile, EU-Personal</w:t>
            </w:r>
          </w:p>
        </w:tc>
        <w:tc>
          <w:tcPr/>
          <w:p>
            <w:pPr>
              <w:pStyle w:val="Compact"/>
              <w:jc w:val="left"/>
            </w:pPr>
            <w:r>
              <w:t xml:space="preserve">Strenger Souveränitätsstandard</w:t>
            </w:r>
          </w:p>
        </w:tc>
      </w:tr>
      <w:tr>
        <w:tc>
          <w:tcPr/>
          <w:p>
            <w:pPr>
              <w:pStyle w:val="Compact"/>
              <w:jc w:val="left"/>
            </w:pPr>
            <w:r>
              <w:rPr>
                <w:bCs/>
                <w:b/>
              </w:rPr>
              <w:t xml:space="preserve">BSI Cloud Platform Requirements</w:t>
            </w:r>
          </w:p>
        </w:tc>
        <w:tc>
          <w:tcPr/>
          <w:p>
            <w:pPr>
              <w:pStyle w:val="Compact"/>
              <w:jc w:val="left"/>
            </w:pPr>
            <w:r>
              <w:t xml:space="preserve">Deutschland</w:t>
            </w:r>
          </w:p>
        </w:tc>
        <w:tc>
          <w:tcPr/>
          <w:p>
            <w:pPr>
              <w:pStyle w:val="Compact"/>
              <w:jc w:val="left"/>
            </w:pPr>
            <w:r>
              <w:t xml:space="preserve">✅ Implizit — deutsches Personal, kein US-Zugang</w:t>
            </w:r>
          </w:p>
        </w:tc>
        <w:tc>
          <w:tcPr/>
          <w:p>
            <w:pPr>
              <w:pStyle w:val="Compact"/>
              <w:jc w:val="left"/>
            </w:pPr>
            <w:r>
              <w:t xml:space="preserve">Für VS-NfD-Daten</w:t>
            </w:r>
          </w:p>
        </w:tc>
      </w:tr>
      <w:tr>
        <w:tc>
          <w:tcPr/>
          <w:p>
            <w:pPr>
              <w:pStyle w:val="Compact"/>
              <w:jc w:val="left"/>
            </w:pPr>
            <w:r>
              <w:rPr>
                <w:bCs/>
                <w:b/>
              </w:rPr>
              <w:t xml:space="preserve">ISO 27001</w:t>
            </w:r>
          </w:p>
        </w:tc>
        <w:tc>
          <w:tcPr/>
          <w:p>
            <w:pPr>
              <w:pStyle w:val="Compact"/>
              <w:jc w:val="left"/>
            </w:pPr>
            <w:r>
              <w:t xml:space="preserve">International</w:t>
            </w:r>
          </w:p>
        </w:tc>
        <w:tc>
          <w:tcPr/>
          <w:p>
            <w:pPr>
              <w:pStyle w:val="Compact"/>
              <w:jc w:val="left"/>
            </w:pPr>
            <w:r>
              <w:t xml:space="preserve">❌ Nicht geprüft</w:t>
            </w:r>
          </w:p>
        </w:tc>
        <w:tc>
          <w:tcPr/>
          <w:p>
            <w:pPr>
              <w:pStyle w:val="Compact"/>
              <w:jc w:val="left"/>
            </w:pPr>
            <w:r>
              <w:t xml:space="preserve">Informationssicherheits-Baseline</w:t>
            </w:r>
          </w:p>
        </w:tc>
      </w:tr>
      <w:tr>
        <w:tc>
          <w:tcPr/>
          <w:p>
            <w:pPr>
              <w:pStyle w:val="Compact"/>
              <w:jc w:val="left"/>
            </w:pPr>
            <w:r>
              <w:rPr>
                <w:bCs/>
                <w:b/>
              </w:rPr>
              <w:t xml:space="preserve">HDS</w:t>
            </w:r>
          </w:p>
        </w:tc>
        <w:tc>
          <w:tcPr/>
          <w:p>
            <w:pPr>
              <w:pStyle w:val="Compact"/>
              <w:jc w:val="left"/>
            </w:pPr>
            <w:r>
              <w:t xml:space="preserve">Frankreich</w:t>
            </w:r>
          </w:p>
        </w:tc>
        <w:tc>
          <w:tcPr/>
          <w:p>
            <w:pPr>
              <w:pStyle w:val="Compact"/>
              <w:jc w:val="left"/>
            </w:pPr>
            <w:r>
              <w:t xml:space="preserve">❌ Nicht direkt</w:t>
            </w:r>
          </w:p>
        </w:tc>
        <w:tc>
          <w:tcPr/>
          <w:p>
            <w:pPr>
              <w:pStyle w:val="Compact"/>
              <w:jc w:val="left"/>
            </w:pPr>
            <w:r>
              <w:t xml:space="preserve">Gesundheitsdaten-Hosting</w:t>
            </w:r>
          </w:p>
        </w:tc>
      </w:tr>
      <w:tr>
        <w:tc>
          <w:tcPr/>
          <w:p>
            <w:pPr>
              <w:pStyle w:val="Compact"/>
              <w:jc w:val="left"/>
            </w:pPr>
            <w:r>
              <w:rPr>
                <w:bCs/>
                <w:b/>
              </w:rPr>
              <w:t xml:space="preserve">EUCS (blockiert)</w:t>
            </w:r>
          </w:p>
        </w:tc>
        <w:tc>
          <w:tcPr/>
          <w:p>
            <w:pPr>
              <w:pStyle w:val="Compact"/>
              <w:jc w:val="left"/>
            </w:pPr>
            <w:r>
              <w:t xml:space="preserve">EU</w:t>
            </w:r>
          </w:p>
        </w:tc>
        <w:tc>
          <w:tcPr/>
          <w:p>
            <w:pPr>
              <w:pStyle w:val="Compact"/>
              <w:jc w:val="left"/>
            </w:pPr>
            <w:r>
              <w:t xml:space="preserve">Souveränitätsstufe gestrichen; Pattsituation seit 2024</w:t>
            </w:r>
          </w:p>
        </w:tc>
        <w:tc>
          <w:tcPr/>
          <w:p>
            <w:pPr>
              <w:pStyle w:val="Compact"/>
              <w:jc w:val="left"/>
            </w:pPr>
            <w:r>
              <w:t xml:space="preserve">Nicht absehbar</w:t>
            </w:r>
          </w:p>
        </w:tc>
      </w:tr>
    </w:tbl>
    <w:p>
      <w:pPr>
        <w:pStyle w:val="BlockText"/>
      </w:pPr>
      <w:r>
        <w:rPr>
          <w:bCs/>
          <w:b/>
        </w:rPr>
        <w:t xml:space="preserve">Kernaussage:</w:t>
      </w:r>
      <w:r>
        <w:t xml:space="preserve"> </w:t>
      </w:r>
      <w:r>
        <w:t xml:space="preserve">C5 belegt technische Sicherheit — nicht rechtliche Souveränität. Azure hat C5 und unterliegt dem CLOUD Act. plusserver hat C5 und unterliegt ihm strukturell nicht.</w:t>
      </w:r>
    </w:p>
    <w:bookmarkStart w:id="50" w:name="X718db1e797bc65537cb8957a314a6f721a4f373"/>
    <w:p>
      <w:pPr>
        <w:pStyle w:val="Heading4"/>
      </w:pPr>
      <w:r>
        <w:t xml:space="preserve">Warum Frankreich SecNumCloud hat und Deutschland nicht</w:t>
      </w:r>
    </w:p>
    <w:p>
      <w:pPr>
        <w:pStyle w:val="FirstParagraph"/>
      </w:pPr>
      <w: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pStyle w:val="BodyText"/>
      </w:pPr>
      <w:r>
        <w:rPr>
          <w:bCs/>
          <w:b/>
        </w:rPr>
        <w:t xml:space="preserve">Frankreichs Weg: Von der Souveränitätstradition zum Zertifizierungsstandard</w:t>
      </w:r>
    </w:p>
    <w:p>
      <w:pPr>
        <w:pStyle w:val="BodyText"/>
      </w:pPr>
      <w:r>
        <w:t xml:space="preserve">Frankreich hat eine gewachsene Tradition der</w:t>
      </w:r>
      <w:r>
        <w:t xml:space="preserve"> </w:t>
      </w:r>
      <w:r>
        <w:rPr>
          <w:iCs/>
          <w:i/>
        </w:rPr>
        <w:t xml:space="preserve">souveraineté numérique</w:t>
      </w:r>
      <w: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iCs/>
          <w:i/>
        </w:rPr>
        <w:t xml:space="preserve">force de frappe</w:t>
      </w:r>
      <w:r>
        <w:t xml:space="preserve">) begründet: Souveränität als nicht-delegierbare Kernaufgabe des Staates.</w:t>
      </w:r>
    </w:p>
    <w:p>
      <w:pPr>
        <w:pStyle w:val="BodyText"/>
      </w:pPr>
      <w:r>
        <w:t xml:space="preserve">ANSSI (Agence nationale de la sécurité des systèmes d’information) veröffentlichte die erste SecNumCloud-Version 2016. Version 3.1 (2018) strich die Differenzierung in</w:t>
      </w:r>
      <w:r>
        <w:t xml:space="preserve"> </w:t>
      </w:r>
      <w:r>
        <w:t xml:space="preserve">“</w:t>
      </w:r>
      <w:r>
        <w:t xml:space="preserve">Essential</w:t>
      </w:r>
      <w:r>
        <w:t xml:space="preserve">”</w:t>
      </w:r>
      <w:r>
        <w:t xml:space="preserve"> </w:t>
      </w:r>
      <w:r>
        <w:t xml:space="preserve">und</w:t>
      </w:r>
      <w:r>
        <w:t xml:space="preserve"> </w:t>
      </w:r>
      <w:r>
        <w:t xml:space="preserve">“</w:t>
      </w:r>
      <w:r>
        <w:t xml:space="preserve">Advanced</w:t>
      </w:r>
      <w:r>
        <w:t xml:space="preserve">”</w:t>
      </w:r>
      <w:r>
        <w:t xml:space="preserve"> </w:t>
      </w:r>
      <w:r>
        <w:t xml:space="preserve">zugunsten eines einheitlichen Labels und harmonisierte mit der DSGVO. Der entscheidende Schritt war</w:t>
      </w:r>
      <w:r>
        <w:t xml:space="preserve"> </w:t>
      </w:r>
      <w:r>
        <w:rPr>
          <w:bCs/>
          <w:b/>
        </w:rPr>
        <w:t xml:space="preserve">Version 3.2 (März 2022)</w:t>
      </w:r>
      <w:r>
        <w:t xml:space="preserve">: Erstmals enthielt der Standard explizite</w:t>
      </w:r>
      <w:r>
        <w:t xml:space="preserve"> </w:t>
      </w:r>
      <w:r>
        <w:rPr>
          <w:bCs/>
          <w:b/>
        </w:rPr>
        <w:t xml:space="preserve">Souveränitätsanforderungen</w:t>
      </w:r>
      <w:r>
        <w:t xml:space="preserve"> </w:t>
      </w:r>
      <w:r>
        <w:t xml:space="preserve">— über 360 Anforderungen in 14 Sicherheitsthemen, darunter die Kernklausel, dass qualifizierte Anbieter mehrheitlich in EU-Hand sein, ihren Hauptsitz in der EU haben und</w:t>
      </w:r>
      <w:r>
        <w:t xml:space="preserve"> </w:t>
      </w:r>
      <w:r>
        <w:rPr>
          <w:bCs/>
          <w:b/>
        </w:rPr>
        <w:t xml:space="preserve">nicht dem Recht von Nicht-EU-Staaten unterliegen</w:t>
      </w:r>
      <w:r>
        <w:t xml:space="preserve"> </w:t>
      </w:r>
      <w:r>
        <w:t xml:space="preserve">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pStyle w:val="BodyText"/>
      </w:pPr>
      <w:r>
        <w:rPr>
          <w:bCs/>
          <w:b/>
        </w:rPr>
        <w:t xml:space="preserve">Der Auslöser: Die Health-Data-Hub-Krise</w:t>
      </w:r>
    </w:p>
    <w:p>
      <w:pPr>
        <w:pStyle w:val="BodyText"/>
      </w:pPr>
      <w: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pStyle w:val="BodyText"/>
      </w:pPr>
      <w:r>
        <w:rPr>
          <w:bCs/>
          <w:b/>
        </w:rPr>
        <w:t xml:space="preserve">Die Doctrine</w:t>
      </w:r>
      <w:r>
        <w:rPr>
          <w:bCs/>
          <w:b/>
        </w:rPr>
        <w:t xml:space="preserve"> </w:t>
      </w:r>
      <w:r>
        <w:rPr>
          <w:bCs/>
          <w:b/>
        </w:rPr>
        <w:t xml:space="preserve">“</w:t>
      </w:r>
      <w:r>
        <w:rPr>
          <w:bCs/>
          <w:b/>
        </w:rPr>
        <w:t xml:space="preserve">Cloud au centre</w:t>
      </w:r>
      <w:r>
        <w:rPr>
          <w:bCs/>
          <w:b/>
        </w:rPr>
        <w:t xml:space="preserve">”</w:t>
      </w:r>
    </w:p>
    <w:p>
      <w:pPr>
        <w:pStyle w:val="BodyText"/>
      </w:pPr>
      <w:r>
        <w:t xml:space="preserve">Im Juli 2021 formalisierte Premierminister Jean Castex per Rundschreiben die</w:t>
      </w:r>
      <w:r>
        <w:t xml:space="preserve"> </w:t>
      </w:r>
      <w:r>
        <w:rPr>
          <w:iCs/>
          <w:i/>
        </w:rPr>
        <w:t xml:space="preserve">Doctrine Cloud au centre</w:t>
      </w:r>
      <w:r>
        <w:t xml:space="preserve">: Cloud-Computing wird Voraussetzung für alle neuen digitalen Projekte des Staates. Für Daten</w:t>
      </w:r>
      <w:r>
        <w:t xml:space="preserve"> </w:t>
      </w:r>
      <w:r>
        <w:t xml:space="preserve">“</w:t>
      </w:r>
      <w:r>
        <w:t xml:space="preserve">besonderer Sensibilität</w:t>
      </w:r>
      <w:r>
        <w:t xml:space="preserve">”</w:t>
      </w:r>
      <w:r>
        <w:t xml:space="preserve"> </w:t>
      </w:r>
      <w:r>
        <w:t xml:space="preserve">— auch wenn sie keine personenbezogenen Daten im DSGVO-Sinne sind — ist die Nutzung eines</w:t>
      </w:r>
      <w:r>
        <w:t xml:space="preserve"> </w:t>
      </w:r>
      <w:r>
        <w:rPr>
          <w:bCs/>
          <w:b/>
        </w:rPr>
        <w:t xml:space="preserve">SecNumCloud-qualifizierten Anbieters verpflichtend</w:t>
      </w:r>
      <w:r>
        <w:t xml:space="preserve"> </w:t>
      </w:r>
      <w:r>
        <w:t xml:space="preserve">[176]. Die Doctrine wurde im Mai 2023 unter Premierministerin Borne aktualisiert und der Sensibilitätsbegriff erweitert. Im Januar 2026 bekräftigte Digitalministerin Anne Le Hénanff auf den</w:t>
      </w:r>
      <w:r>
        <w:t xml:space="preserve"> </w:t>
      </w:r>
      <w:r>
        <w:rPr>
          <w:iCs/>
          <w:i/>
        </w:rPr>
        <w:t xml:space="preserve">Rencontres de la souveraineté numérique</w:t>
      </w:r>
      <w:r>
        <w:t xml:space="preserve"> </w:t>
      </w:r>
      <w:r>
        <w:t xml:space="preserve">die Forderung nach einer</w:t>
      </w:r>
      <w:r>
        <w:t xml:space="preserve"> </w:t>
      </w:r>
      <w:r>
        <w:t xml:space="preserve">“</w:t>
      </w:r>
      <w:r>
        <w:t xml:space="preserve">préférence européenne</w:t>
      </w:r>
      <w:r>
        <w:t xml:space="preserve">”</w:t>
      </w:r>
      <w:r>
        <w:t xml:space="preserve">. Das Ergebnis: Ein wachsendes SecNumCloud-Ökosystem mit mittlerweile über einem halben Dutzend qualifizierten Anbietern (3DS Outscale, S3NS, Cloud Temple, OVHcloud, NumSpot, Scaleway in Prüfung) — ein Markt, den es ohne die staatliche Nachfragepolitik so nicht gäbe.</w:t>
      </w:r>
    </w:p>
    <w:p>
      <w:pPr>
        <w:pStyle w:val="BodyText"/>
      </w:pPr>
      <w:r>
        <w:rPr>
          <w:bCs/>
          <w:b/>
        </w:rPr>
        <w:t xml:space="preserve">Deutschlands Weg: C5 als pragmatischer Kompromiss</w:t>
      </w:r>
    </w:p>
    <w:p>
      <w:pPr>
        <w:pStyle w:val="BodyText"/>
      </w:pPr>
      <w:r>
        <w:t xml:space="preserve">Deutschland hat eine andere Tradition. Das BSI hat sich historisch als Behörde für</w:t>
      </w:r>
      <w:r>
        <w:t xml:space="preserve"> </w:t>
      </w:r>
      <w:r>
        <w:rPr>
          <w:bCs/>
          <w:b/>
        </w:rPr>
        <w:t xml:space="preserve">technische</w:t>
      </w:r>
      <w:r>
        <w:t xml:space="preserve"> </w:t>
      </w:r>
      <w:r>
        <w:t xml:space="preserve">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w:t>
      </w:r>
      <w:r>
        <w:t xml:space="preserve"> </w:t>
      </w:r>
      <w:r>
        <w:rPr>
          <w:bCs/>
          <w:b/>
        </w:rPr>
        <w:t xml:space="preserve">C5:2026</w:t>
      </w:r>
      <w:r>
        <w:t xml:space="preserve"> </w:t>
      </w:r>
      <w:r>
        <w:t xml:space="preserve">prüft 168 Kriterien in 17 Domänen — Verschlüsselung, Zugriffskontrolle, Netzwerksicherheit, Container-Management, Post-Quanten-Kryptographie, Confidential Computing — und beantwortet die Frage</w:t>
      </w:r>
      <w:r>
        <w:t xml:space="preserve"> </w:t>
      </w:r>
      <w:r>
        <w:t xml:space="preserve">“</w:t>
      </w:r>
      <w:r>
        <w:t xml:space="preserve">Ist der Cloud-Dienst technisch sicher?</w:t>
      </w:r>
      <w:r>
        <w:t xml:space="preserve">”</w:t>
      </w:r>
      <w:r>
        <w:t xml:space="preserve"> </w:t>
      </w:r>
      <w:r>
        <w:t xml:space="preserve">[188]. Die Frage</w:t>
      </w:r>
      <w:r>
        <w:t xml:space="preserve"> </w:t>
      </w:r>
      <w:r>
        <w:t xml:space="preserve">“</w:t>
      </w:r>
      <w:r>
        <w:t xml:space="preserve">Kann eine ausländische Regierung den Anbieter zur Herausgabe zwingen?</w:t>
      </w:r>
      <w:r>
        <w:t xml:space="preserve">”</w:t>
      </w:r>
      <w:r>
        <w:t xml:space="preserve"> </w:t>
      </w:r>
      <w:r>
        <w:t xml:space="preserve">wird auch in C5:2026</w:t>
      </w:r>
      <w:r>
        <w:t xml:space="preserve"> </w:t>
      </w:r>
      <w:r>
        <w:rPr>
          <w:bCs/>
          <w:b/>
        </w:rPr>
        <w:t xml:space="preserve">bewusst nicht gestellt</w:t>
      </w:r>
      <w:r>
        <w:t xml:space="preserve"> </w:t>
      </w:r>
      <w:r>
        <w:t xml:space="preserve">— obwohl der Katalog strukturell an das europäische EUCS angelehnt wurde [177].</w:t>
      </w:r>
    </w:p>
    <w:p>
      <w:pPr>
        <w:pStyle w:val="BodyText"/>
      </w:pPr>
      <w:r>
        <w:t xml:space="preserve">Für den Bereich der Verschlusssachen (VS-NfD und höher) existiert mit den</w:t>
      </w:r>
      <w:r>
        <w:t xml:space="preserve"> </w:t>
      </w:r>
      <w:r>
        <w:rPr>
          <w:bCs/>
          <w:b/>
        </w:rPr>
        <w:t xml:space="preserve">BSI Cloud Platform Requirements</w:t>
      </w:r>
      <w:r>
        <w:t xml:space="preserve"> </w:t>
      </w:r>
      <w:r>
        <w:t xml:space="preserve">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pStyle w:val="BodyText"/>
      </w:pPr>
      <w: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w:t>
      </w:r>
      <w:r>
        <w:t xml:space="preserve"> </w:t>
      </w:r>
      <w:r>
        <w:rPr>
          <w:bCs/>
          <w:b/>
        </w:rPr>
        <w:t xml:space="preserve">ausgeklammert</w:t>
      </w:r>
      <w:r>
        <w:t xml:space="preserve">: Das BSI hat angekündigt, Souveränitätskriterien als</w:t>
      </w:r>
      <w:r>
        <w:t xml:space="preserve"> </w:t>
      </w:r>
      <w:r>
        <w:rPr>
          <w:bCs/>
          <w:b/>
        </w:rPr>
        <w:t xml:space="preserve">separates Dokument</w:t>
      </w:r>
      <w:r>
        <w:t xml:space="preserve"> </w:t>
      </w:r>
      <w:r>
        <w:t xml:space="preserve">“</w:t>
      </w:r>
      <w:r>
        <w:t xml:space="preserve">in Kürze</w:t>
      </w:r>
      <w:r>
        <w:t xml:space="preserve">”</w:t>
      </w:r>
      <w:r>
        <w:t xml:space="preserve"> </w:t>
      </w:r>
      <w:r>
        <w:t xml:space="preserve">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pStyle w:val="BodyText"/>
      </w:pPr>
      <w:r>
        <w:rPr>
          <w:bCs/>
          <w:b/>
        </w:rPr>
        <w:t xml:space="preserve">Das EUCS-Scheitern — und Deutschlands Rolle</w:t>
      </w:r>
    </w:p>
    <w:p>
      <w:pPr>
        <w:pStyle w:val="BodyText"/>
      </w:pPr>
      <w:r>
        <w:t xml:space="preserve">Die Chance auf eine europäische Harmonisierung bestand im EUCS (European Cybersecurity Certification Scheme for Cloud Services), das unter dem Cybersecurity Act von ENISA entwickelt wurde. Der ursprüngliche Entwurf sah eine höchste Stufe (</w:t>
      </w:r>
      <w:r>
        <w:t xml:space="preserve">“</w:t>
      </w:r>
      <w:r>
        <w:t xml:space="preserve">High+</w:t>
      </w:r>
      <w:r>
        <w:t xml:space="preserve">”</w:t>
      </w:r>
      <w:r>
        <w:t xml:space="preserve">) mit Souveränitätsanforderungen nach SecNumCloud-Vorbild vor: EU-Eigentum, EU-Hauptsitz, Immunität gegen extraterritoriale Gesetze. Frankreich, Italien und Spanien unterstützten diese Stufe.</w:t>
      </w:r>
    </w:p>
    <w:p>
      <w:pPr>
        <w:pStyle w:val="BodyText"/>
      </w:pPr>
      <w: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w:t>
      </w:r>
      <w:r>
        <w:t xml:space="preserve"> </w:t>
      </w:r>
      <w:r>
        <w:t xml:space="preserve">“</w:t>
      </w:r>
      <w:r>
        <w:t xml:space="preserve">diskriminierend gegenüber Nicht-EU-Anbietern</w:t>
      </w:r>
      <w:r>
        <w:t xml:space="preserve">”</w:t>
      </w:r>
      <w:r>
        <w:t xml:space="preserve"> </w:t>
      </w:r>
      <w:r>
        <w:t xml:space="preserve">ablehnte [180].</w:t>
      </w:r>
    </w:p>
    <w:p>
      <w:pPr>
        <w:pStyle w:val="BodyText"/>
      </w:pPr>
      <w: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w:t>
      </w:r>
      <w:r>
        <w:t xml:space="preserve"> </w:t>
      </w:r>
      <w:r>
        <w:t xml:space="preserve">“</w:t>
      </w:r>
      <w:r>
        <w:t xml:space="preserve">Auseinanderdriften</w:t>
      </w:r>
      <w:r>
        <w:t xml:space="preserve">”</w:t>
      </w:r>
      <w:r>
        <w:t xml:space="preserve"> </w:t>
      </w:r>
      <w:r>
        <w:t xml:space="preserve">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w:t>
      </w:r>
      <w:r>
        <w:t xml:space="preserve"> </w:t>
      </w:r>
      <w:r>
        <w:t xml:space="preserve">“</w:t>
      </w:r>
      <w:r>
        <w:t xml:space="preserve">Impasse</w:t>
      </w:r>
      <w:r>
        <w:t xml:space="preserve">”</w:t>
      </w:r>
      <w:r>
        <w:t xml:space="preserve"> </w:t>
      </w:r>
      <w:r>
        <w:t xml:space="preserve">[183]. Frankreich behält SecNumCloud als nationalen Standard bei. Deutschland hat nichts Vergleichbares.</w:t>
      </w:r>
    </w:p>
    <w:p>
      <w:pPr>
        <w:pStyle w:val="BodyText"/>
      </w:pPr>
      <w:r>
        <w:rPr>
          <w:bCs/>
          <w:b/>
        </w:rPr>
        <w:t xml:space="preserve">Gaia-X — der gescheiterte gemeinsame Ansatz</w:t>
      </w:r>
    </w:p>
    <w:p>
      <w:pPr>
        <w:pStyle w:val="BodyText"/>
      </w:pPr>
      <w: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w:t>
      </w:r>
      <w:r>
        <w:t xml:space="preserve"> </w:t>
      </w:r>
      <w:r>
        <w:t xml:space="preserve">“</w:t>
      </w:r>
      <w:r>
        <w:t xml:space="preserve">Labels</w:t>
      </w:r>
      <w:r>
        <w:t xml:space="preserve">”</w:t>
      </w:r>
      <w:r>
        <w:t xml:space="preserve"> </w:t>
      </w:r>
      <w:r>
        <w:t xml:space="preserve">unverbindlich [184]. Frankreich zog daraus den Schluss, den eigenen Weg mit SecNumCloud zu vertiefen. Deutschland verblieb ohne gleichwertigen Standard.</w:t>
      </w:r>
    </w:p>
    <w:p>
      <w:pPr>
        <w:pStyle w:val="BodyText"/>
      </w:pPr>
      <w:r>
        <w:rPr>
          <w:bCs/>
          <w:b/>
        </w:rPr>
        <w:t xml:space="preserve">Ansätze zur Konvergenz — und ihre Grenzen</w:t>
      </w:r>
    </w:p>
    <w:p>
      <w:pPr>
        <w:pStyle w:val="BodyText"/>
      </w:pPr>
      <w:r>
        <w:t xml:space="preserve">Drei jüngere Entwicklungen deuten auf ein deutsches Umdenken hin — wobei die Lücke bis heute fortbesteht:</w:t>
      </w:r>
    </w:p>
    <w:p>
      <w:pPr>
        <w:pStyle w:val="BodyText"/>
      </w:pPr>
      <w:r>
        <w:rPr>
          <w:bCs/>
          <w:b/>
        </w:rPr>
        <w:t xml:space="preserve">Erstens</w:t>
      </w:r>
      <w:r>
        <w:t xml:space="preserve"> </w:t>
      </w:r>
      <w:r>
        <w:t xml:space="preserve">veröffentlichten ANSSI und BSI am 17. November 2025 ein</w:t>
      </w:r>
      <w:r>
        <w:t xml:space="preserve"> </w:t>
      </w:r>
      <w:r>
        <w:rPr>
          <w:bCs/>
          <w:b/>
        </w:rPr>
        <w:t xml:space="preserve">gemeinsames Statement zu Cloud-Souveränitätskriterien</w:t>
      </w:r>
      <w: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w:t>
      </w:r>
      <w:r>
        <w:t xml:space="preserve"> </w:t>
      </w:r>
      <w:r>
        <w:rPr>
          <w:bCs/>
          <w:b/>
        </w:rPr>
        <w:t xml:space="preserve">kein Zugang durch nicht-europäische Dritte</w:t>
      </w:r>
      <w:r>
        <w:t xml:space="preserve">, und Geschäftskontinuität ohne außereuropäische Akteure oder Technologien. Entscheidend: Das Statement führt eine</w:t>
      </w:r>
      <w:r>
        <w:t xml:space="preserve"> </w:t>
      </w:r>
      <w:r>
        <w:rPr>
          <w:bCs/>
          <w:b/>
        </w:rPr>
        <w:t xml:space="preserve">Progressionslogik</w:t>
      </w:r>
      <w:r>
        <w:t xml:space="preserve"> </w:t>
      </w:r>
      <w:r>
        <w:t xml:space="preserve">ein — nicht binär (souverän/nicht-souverän), sondern drei Stufen: minimale Rechtskonformität, erweiterter operativer Kontrolle und volle strategische Autonomie. Wo das Nicht-Erfüllen disqualifizierend wirkt, soll die Methodik festlegen.</w:t>
      </w:r>
    </w:p>
    <w:p>
      <w:pPr>
        <w:pStyle w:val="BodyText"/>
      </w:pPr>
      <w:r>
        <w:rPr>
          <w:bCs/>
          <w:b/>
        </w:rPr>
        <w:t xml:space="preserve">Zweitens</w:t>
      </w:r>
      <w:r>
        <w:t xml:space="preserve"> </w:t>
      </w:r>
      <w:r>
        <w:t xml:space="preserve">veranstalteten Macron und Bundeskanzler Merz am 18. November 2025 den</w:t>
      </w:r>
      <w:r>
        <w:t xml:space="preserve"> </w:t>
      </w:r>
      <w:r>
        <w:rPr>
          <w:bCs/>
          <w:b/>
        </w:rPr>
        <w:t xml:space="preserve">Gipfel für Europäische Digitale Souveränität</w:t>
      </w:r>
      <w:r>
        <w:t xml:space="preserve"> </w:t>
      </w:r>
      <w:r>
        <w:t xml:space="preserve">in Berlin (900+ Teilnehmer) mit privatwirtschaftlichen Investitionszusagen von über 12 Mrd. EUR und einer gemeinsamen Task Force [187].</w:t>
      </w:r>
    </w:p>
    <w:p>
      <w:pPr>
        <w:pStyle w:val="BodyText"/>
      </w:pPr>
      <w:r>
        <w:rPr>
          <w:bCs/>
          <w:b/>
        </w:rPr>
        <w:t xml:space="preserve">Drittens</w:t>
      </w:r>
      <w:r>
        <w:t xml:space="preserve"> </w:t>
      </w:r>
      <w:r>
        <w:t xml:space="preserve">schlug die EU-Kommission im März 2025 eine Überarbeitung des Cybersecurity Act vor, die erstmals</w:t>
      </w:r>
      <w:r>
        <w:t xml:space="preserve"> </w:t>
      </w:r>
      <w:r>
        <w:t xml:space="preserve">“</w:t>
      </w:r>
      <w:r>
        <w:t xml:space="preserve">nicht-technische Anforderungen</w:t>
      </w:r>
      <w:r>
        <w:t xml:space="preserve">”</w:t>
      </w:r>
      <w:r>
        <w:t xml:space="preserve"> </w:t>
      </w:r>
      <w:r>
        <w:t xml:space="preserve">in Zertifizierungsschemata ermöglichen würde — ein Türöffner, um Souveränitätskriterien doch noch in EUCS zu verankern [183].</w:t>
      </w:r>
    </w:p>
    <w:p>
      <w:pPr>
        <w:pStyle w:val="BodyText"/>
      </w:pPr>
      <w: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pStyle w:val="BodyText"/>
      </w:pPr>
      <w:r>
        <w:rPr>
          <w:bCs/>
          <w:b/>
        </w:rPr>
        <w:t xml:space="preserve">Die strukturelle Konsequenz für das Gesundheitswesen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Frankreich</w:t>
            </w:r>
          </w:p>
        </w:tc>
        <w:tc>
          <w:tcPr/>
          <w:p>
            <w:pPr>
              <w:pStyle w:val="Compact"/>
              <w:jc w:val="left"/>
            </w:pPr>
            <w:r>
              <w:t xml:space="preserve">Deutschland</w:t>
            </w:r>
          </w:p>
        </w:tc>
      </w:tr>
      <w:tr>
        <w:tc>
          <w:tcPr/>
          <w:p>
            <w:pPr>
              <w:pStyle w:val="Compact"/>
              <w:jc w:val="left"/>
            </w:pPr>
            <w:r>
              <w:rPr>
                <w:bCs/>
                <w:b/>
              </w:rPr>
              <w:t xml:space="preserve">Zertifizierungsstandard</w:t>
            </w:r>
          </w:p>
        </w:tc>
        <w:tc>
          <w:tcPr/>
          <w:p>
            <w:pPr>
              <w:pStyle w:val="Compact"/>
              <w:jc w:val="left"/>
            </w:pPr>
            <w:r>
              <w:t xml:space="preserve">SecNumCloud 3.2 (seit 2022)</w:t>
            </w:r>
          </w:p>
        </w:tc>
        <w:tc>
          <w:tcPr/>
          <w:p>
            <w:pPr>
              <w:pStyle w:val="Compact"/>
              <w:jc w:val="left"/>
            </w:pPr>
            <w:r>
              <w:t xml:space="preserve">BSI C5:2026 (April 2026, nur technische Sicherheit)</w:t>
            </w:r>
          </w:p>
        </w:tc>
      </w:tr>
      <w:tr>
        <w:tc>
          <w:tcPr/>
          <w:p>
            <w:pPr>
              <w:pStyle w:val="Compact"/>
              <w:jc w:val="left"/>
            </w:pPr>
            <w:r>
              <w:rPr>
                <w:bCs/>
                <w:b/>
              </w:rPr>
              <w:t xml:space="preserve">Souveränitätsprüfung</w:t>
            </w:r>
          </w:p>
        </w:tc>
        <w:tc>
          <w:tcPr/>
          <w:p>
            <w:pPr>
              <w:pStyle w:val="Compact"/>
              <w:jc w:val="left"/>
            </w:pPr>
            <w:r>
              <w:t xml:space="preserve">✅ Seit 2022 in Zertifizierung integriert</w:t>
            </w:r>
          </w:p>
        </w:tc>
        <w:tc>
          <w:tcPr/>
          <w:p>
            <w:pPr>
              <w:pStyle w:val="Compact"/>
              <w:jc w:val="left"/>
            </w:pPr>
            <w:r>
              <w:t xml:space="preserve">⏳ ANSSI-BSI-Statement Nov. 2025: Souveränitätskriterien angekündigt, noch nicht veröffentlicht</w:t>
            </w:r>
          </w:p>
        </w:tc>
      </w:tr>
      <w:tr>
        <w:tc>
          <w:tcPr/>
          <w:p>
            <w:pPr>
              <w:pStyle w:val="Compact"/>
              <w:jc w:val="left"/>
            </w:pPr>
            <w:r>
              <w:rPr>
                <w:bCs/>
                <w:b/>
              </w:rPr>
              <w:t xml:space="preserve">Staatliche Nachfragepolitik</w:t>
            </w:r>
          </w:p>
        </w:tc>
        <w:tc>
          <w:tcPr/>
          <w:p>
            <w:pPr>
              <w:pStyle w:val="Compact"/>
              <w:jc w:val="left"/>
            </w:pPr>
            <w:r>
              <w:t xml:space="preserve">Doctrine</w:t>
            </w:r>
            <w:r>
              <w:t xml:space="preserve"> </w:t>
            </w:r>
            <w:r>
              <w:t xml:space="preserve">“</w:t>
            </w:r>
            <w:r>
              <w:t xml:space="preserve">Cloud au centre</w:t>
            </w:r>
            <w:r>
              <w:t xml:space="preserve">”</w:t>
            </w:r>
            <w:r>
              <w:t xml:space="preserve"> </w:t>
            </w:r>
            <w:r>
              <w:t xml:space="preserve">(2021, 2023)</w:t>
            </w:r>
          </w:p>
        </w:tc>
        <w:tc>
          <w:tcPr/>
          <w:p>
            <w:pPr>
              <w:pStyle w:val="Compact"/>
              <w:jc w:val="left"/>
            </w:pPr>
            <w:r>
              <w:t xml:space="preserve">§ 393 SGB V: C5 als Pflicht, keine Souveränitätspflicht</w:t>
            </w:r>
          </w:p>
        </w:tc>
      </w:tr>
      <w:tr>
        <w:tc>
          <w:tcPr/>
          <w:p>
            <w:pPr>
              <w:pStyle w:val="Compact"/>
              <w:jc w:val="left"/>
            </w:pPr>
            <w:r>
              <w:rPr>
                <w:bCs/>
                <w:b/>
              </w:rPr>
              <w:t xml:space="preserve">Gesundheitsdaten-Konsequenz</w:t>
            </w:r>
          </w:p>
        </w:tc>
        <w:tc>
          <w:tcPr/>
          <w:p>
            <w:pPr>
              <w:pStyle w:val="Compact"/>
              <w:jc w:val="left"/>
            </w:pPr>
            <w:r>
              <w:t xml:space="preserve">Health Data Hub → Migration weg von Azure</w:t>
            </w:r>
          </w:p>
        </w:tc>
        <w:tc>
          <w:tcPr/>
          <w:p>
            <w:pPr>
              <w:pStyle w:val="Compact"/>
              <w:jc w:val="left"/>
            </w:pPr>
            <w:r>
              <w:t xml:space="preserve">ePA / FDZ: Keine vergleichbare Migrationsentscheidung</w:t>
            </w:r>
          </w:p>
        </w:tc>
      </w:tr>
      <w:tr>
        <w:tc>
          <w:tcPr/>
          <w:p>
            <w:pPr>
              <w:pStyle w:val="Compact"/>
              <w:jc w:val="left"/>
            </w:pPr>
            <w:r>
              <w:rPr>
                <w:bCs/>
                <w:b/>
              </w:rPr>
              <w:t xml:space="preserve">Zertifizierte souveräne Anbieter</w:t>
            </w:r>
          </w:p>
        </w:tc>
        <w:tc>
          <w:tcPr/>
          <w:p>
            <w:pPr>
              <w:pStyle w:val="Compact"/>
              <w:jc w:val="left"/>
            </w:pPr>
            <w:r>
              <w:t xml:space="preserve">6+ (Outscale, S3NS, Cloud Temple, OVHcloud, NumSpot…)</w:t>
            </w:r>
          </w:p>
        </w:tc>
        <w:tc>
          <w:tcPr/>
          <w:p>
            <w:pPr>
              <w:pStyle w:val="Compact"/>
              <w:jc w:val="left"/>
            </w:pPr>
            <w:r>
              <w:t xml:space="preserve">0 (C5:2026 prüft Souveränität nicht)</w:t>
            </w:r>
          </w:p>
        </w:tc>
      </w:tr>
      <w:tr>
        <w:tc>
          <w:tcPr/>
          <w:p>
            <w:pPr>
              <w:pStyle w:val="Compact"/>
              <w:jc w:val="left"/>
            </w:pPr>
            <w:r>
              <w:rPr>
                <w:bCs/>
                <w:b/>
              </w:rPr>
              <w:t xml:space="preserve">EU-Harmonisierung (EUCS)</w:t>
            </w:r>
          </w:p>
        </w:tc>
        <w:tc>
          <w:tcPr/>
          <w:p>
            <w:pPr>
              <w:pStyle w:val="Compact"/>
              <w:jc w:val="left"/>
            </w:pPr>
            <w:r>
              <w:t xml:space="preserve">Aktiv für Souveränitätsstufe</w:t>
            </w:r>
          </w:p>
        </w:tc>
        <w:tc>
          <w:tcPr/>
          <w:p>
            <w:pPr>
              <w:pStyle w:val="Compact"/>
              <w:jc w:val="left"/>
            </w:pPr>
            <w:r>
              <w:t xml:space="preserve">Seit Nov. 2025: gemeinsamer Ansatz mit FR (ANSSI-BSI-Statement)</w:t>
            </w:r>
          </w:p>
        </w:tc>
      </w:tr>
    </w:tbl>
    <w:p>
      <w:pPr>
        <w:pStyle w:val="BodyText"/>
      </w:pPr>
      <w: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bookmarkEnd w:id="50"/>
    <w:bookmarkEnd w:id="51"/>
    <w:bookmarkStart w:id="52" w:name="dach-kernmarkt-risikoübersicht"/>
    <w:p>
      <w:pPr>
        <w:pStyle w:val="Heading3"/>
      </w:pPr>
      <w:r>
        <w:t xml:space="preserve">5.4 DACH-Kernmarkt: Risikoübersicht</w:t>
      </w:r>
    </w:p>
    <w:p>
      <w:pPr>
        <w:pStyle w:val="FirstParagraph"/>
      </w:pPr>
      <w:r>
        <w:t xml:space="preserve">Die Tabelle unterscheidet drei Risikotypen, die unterschiedliche CLOUD-Act-Konsequenzen haben:</w:t>
      </w:r>
    </w:p>
    <w:p>
      <w:pPr>
        <w:numPr>
          <w:ilvl w:val="0"/>
          <w:numId w:val="1005"/>
        </w:numPr>
        <w:pStyle w:val="Compact"/>
      </w:pPr>
      <w:r>
        <w:rPr>
          <w:bCs/>
          <w:b/>
        </w:rPr>
        <w:t xml:space="preserve">Typ A — Direkte US-Institution:</w:t>
      </w:r>
      <w:r>
        <w:t xml:space="preserve"> </w:t>
      </w:r>
      <w:r>
        <w:t xml:space="preserve">Eigene US-Niederlassung, US-Tochtergesellschaft oder US-Muttergesellschaft, die denselben Cloud-Dienst betreibt oder direkten Datenzugriff hat. Herausgabepflicht direkt erzwingbar.</w:t>
      </w:r>
    </w:p>
    <w:p>
      <w:pPr>
        <w:numPr>
          <w:ilvl w:val="1"/>
          <w:numId w:val="1006"/>
        </w:numPr>
        <w:pStyle w:val="Compact"/>
      </w:pPr>
      <w:r>
        <w:rPr>
          <w:iCs/>
          <w:i/>
        </w:rPr>
        <w:t xml:space="preserve">Direkt:</w:t>
      </w:r>
      <w:r>
        <w:t xml:space="preserve"> </w:t>
      </w:r>
      <w:r>
        <w:t xml:space="preserve">US-Hauptsitz / US-Mutter (Oracle, Microsoft, AWS, Qlik)</w:t>
      </w:r>
    </w:p>
    <w:p>
      <w:pPr>
        <w:numPr>
          <w:ilvl w:val="1"/>
          <w:numId w:val="1006"/>
        </w:numPr>
        <w:pStyle w:val="Compact"/>
      </w:pPr>
      <w:r>
        <w:rPr>
          <w:iCs/>
          <w:i/>
        </w:rPr>
        <w:t xml:space="preserve">Indirekt:</w:t>
      </w:r>
      <w:r>
        <w:t xml:space="preserve"> </w:t>
      </w:r>
      <w:r>
        <w:t xml:space="preserve">EU-Mutter mit US-Cloud-Tochter im gleichen Geschäftsfeld (Hetzner US LLC, IONOS Cloud Inc., OVH US Corp.)</w:t>
      </w:r>
    </w:p>
    <w:p>
      <w:pPr>
        <w:numPr>
          <w:ilvl w:val="0"/>
          <w:numId w:val="1005"/>
        </w:numPr>
        <w:pStyle w:val="Compact"/>
      </w:pPr>
      <w:r>
        <w:rPr>
          <w:bCs/>
          <w:b/>
        </w:rPr>
        <w:t xml:space="preserve">Typ B — US-Technologieabhängigkeit:</w:t>
      </w:r>
      <w:r>
        <w:t xml:space="preserve"> </w:t>
      </w:r>
      <w:r>
        <w:t xml:space="preserve">Europäischer Anbieter, aber US-Software, US-Lizenz oder US-Infrastrukturpartner. Kein direkter CLOUD-Act-Zugriff auf EU-Kundendaten, aber Restrisiko über den Lieferanten.</w:t>
      </w:r>
    </w:p>
    <w:p>
      <w:pPr>
        <w:numPr>
          <w:ilvl w:val="0"/>
          <w:numId w:val="1005"/>
        </w:numPr>
        <w:pStyle w:val="Compact"/>
      </w:pPr>
      <w:r>
        <w:rPr>
          <w:bCs/>
          <w:b/>
        </w:rPr>
        <w:t xml:space="preserve">Typ C — Konzernhebel:</w:t>
      </w:r>
      <w:r>
        <w:t xml:space="preserve"> </w:t>
      </w:r>
      <w:r>
        <w:t xml:space="preserve">EU-Unternehmen mit US-Tochter oder US-Schwester in einem</w:t>
      </w:r>
      <w:r>
        <w:t xml:space="preserve"> </w:t>
      </w:r>
      <w:r>
        <w:rPr>
          <w:iCs/>
          <w:i/>
        </w:rPr>
        <w:t xml:space="preserve">anderen</w:t>
      </w:r>
      <w:r>
        <w:t xml:space="preserve"> </w:t>
      </w:r>
      <w:r>
        <w:t xml:space="preserve">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Börse / Eigentümer</w:t>
            </w:r>
          </w:p>
        </w:tc>
        <w:tc>
          <w:tcPr/>
          <w:p>
            <w:pPr>
              <w:pStyle w:val="Compact"/>
              <w:jc w:val="left"/>
            </w:pPr>
            <w:r>
              <w:t xml:space="preserve">US-Verbindung</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Regionale Datenhaltung</w:t>
            </w:r>
          </w:p>
        </w:tc>
        <w:tc>
          <w:tcPr/>
          <w:p>
            <w:pPr>
              <w:pStyle w:val="Compact"/>
              <w:jc w:val="left"/>
            </w:pPr>
            <w:r>
              <w:t xml:space="preserve">Empfehlung</w:t>
            </w:r>
          </w:p>
        </w:tc>
      </w:tr>
      <w:tr>
        <w:tc>
          <w:tcPr/>
          <w:p>
            <w:pPr>
              <w:pStyle w:val="Compact"/>
              <w:jc w:val="left"/>
            </w:pPr>
            <w:r>
              <w:rPr>
                <w:bCs/>
                <w:b/>
              </w:rPr>
              <w:t xml:space="preserve">Oracle Cerner / OCI</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Austin/TX</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 Sovereign), Madrid</w:t>
            </w:r>
          </w:p>
        </w:tc>
        <w:tc>
          <w:tcPr/>
          <w:p>
            <w:pPr>
              <w:pStyle w:val="Compact"/>
              <w:jc w:val="left"/>
            </w:pPr>
            <w:r>
              <w:t xml:space="preserve">KIS-Migration (KIS = Krankenhausinformationssystem) auf OCI: CLOUD-Act-Exposition ungelöst</w:t>
            </w:r>
          </w:p>
        </w:tc>
      </w:tr>
      <w:tr>
        <w:tc>
          <w:tcPr/>
          <w:p>
            <w:pPr>
              <w:pStyle w:val="Compact"/>
              <w:jc w:val="left"/>
            </w:pPr>
            <w:r>
              <w:rPr>
                <w:bCs/>
                <w:b/>
              </w:rPr>
              <w:t xml:space="preserve">Microsoft Azure</w:t>
            </w:r>
          </w:p>
        </w:tc>
        <w:tc>
          <w:tcPr/>
          <w:p>
            <w:pPr>
              <w:pStyle w:val="Compact"/>
              <w:jc w:val="left"/>
            </w:pPr>
            <w:r>
              <w:t xml:space="preserve">✅</w:t>
            </w:r>
          </w:p>
        </w:tc>
        <w:tc>
          <w:tcPr/>
          <w:p>
            <w:pPr>
              <w:pStyle w:val="Compact"/>
              <w:jc w:val="left"/>
            </w:pPr>
            <w:r>
              <w:t xml:space="preserve">NYSE: MSFT</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(GWC), Amsterdam</w:t>
            </w:r>
          </w:p>
        </w:tc>
        <w:tc>
          <w:tcPr/>
          <w:p>
            <w:pPr>
              <w:pStyle w:val="Compact"/>
              <w:jc w:val="left"/>
            </w:pPr>
            <w:r>
              <w:t xml:space="preserve">Nicht für Gesundheitsdaten</w:t>
            </w:r>
          </w:p>
        </w:tc>
      </w:tr>
      <w:tr>
        <w:tc>
          <w:tcPr/>
          <w:p>
            <w:pPr>
              <w:pStyle w:val="Compact"/>
              <w:jc w:val="left"/>
            </w:pPr>
            <w:r>
              <w:rPr>
                <w:bCs/>
                <w:b/>
              </w:rPr>
              <w:t xml:space="preserve">AWS Germany</w:t>
            </w:r>
          </w:p>
        </w:tc>
        <w:tc>
          <w:tcPr/>
          <w:p>
            <w:pPr>
              <w:pStyle w:val="Compact"/>
              <w:jc w:val="left"/>
            </w:pPr>
            <w:r>
              <w:t xml:space="preserve">✅</w:t>
            </w:r>
          </w:p>
        </w:tc>
        <w:tc>
          <w:tcPr/>
          <w:p>
            <w:pPr>
              <w:pStyle w:val="Compact"/>
              <w:jc w:val="left"/>
            </w:pPr>
            <w:r>
              <w:t xml:space="preserve">NASDAQ: AMZN</w:t>
            </w:r>
          </w:p>
        </w:tc>
        <w:tc>
          <w:tcPr/>
          <w:p>
            <w:pPr>
              <w:pStyle w:val="Compact"/>
              <w:jc w:val="left"/>
            </w:pPr>
            <w:r>
              <w:t xml:space="preserve">AWS Germany = US-Tochter</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(eu-central-1)</w:t>
            </w:r>
          </w:p>
        </w:tc>
        <w:tc>
          <w:tcPr/>
          <w:p>
            <w:pPr>
              <w:pStyle w:val="Compact"/>
              <w:jc w:val="left"/>
            </w:pPr>
            <w:r>
              <w:t xml:space="preserve">Nicht für Gesundheitsdaten</w:t>
            </w:r>
          </w:p>
        </w:tc>
      </w:tr>
      <w:tr>
        <w:tc>
          <w:tcPr/>
          <w:p>
            <w:pPr>
              <w:pStyle w:val="Compact"/>
              <w:jc w:val="left"/>
            </w:pPr>
            <w:r>
              <w:rPr>
                <w:bCs/>
                <w:b/>
              </w:rPr>
              <w:t xml:space="preserve">Qlik Cloud</w:t>
            </w:r>
          </w:p>
        </w:tc>
        <w:tc>
          <w:tcPr/>
          <w:p>
            <w:pPr>
              <w:pStyle w:val="Compact"/>
              <w:jc w:val="left"/>
            </w:pPr>
            <w:r>
              <w:t xml:space="preserve">Nein (C5 geplant Q1 2026)</w:t>
            </w:r>
          </w:p>
        </w:tc>
        <w:tc>
          <w:tcPr/>
          <w:p>
            <w:pPr>
              <w:pStyle w:val="Compact"/>
              <w:jc w:val="left"/>
            </w:pPr>
            <w:r>
              <w:t xml:space="preserve">US-Unternehmen (PA, Thoma Bravo)</w:t>
            </w:r>
          </w:p>
        </w:tc>
        <w:tc>
          <w:tcPr/>
          <w:p>
            <w:pPr>
              <w:pStyle w:val="Compact"/>
              <w:jc w:val="left"/>
            </w:pPr>
            <w:r>
              <w:t xml:space="preserve">US-Hauptsitz</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Frankfurt, Irland, Paris, London, Mailand (alle auf AWS)</w:t>
            </w:r>
          </w:p>
        </w:tc>
        <w:tc>
          <w:tcPr/>
          <w:p>
            <w:pPr>
              <w:pStyle w:val="Compact"/>
              <w:jc w:val="left"/>
            </w:pPr>
            <w:r>
              <w:t xml:space="preserve">Nicht für Gesundheitsdaten — Frankfurt-Region ändert US-Jurisdiktion nicht</w:t>
            </w:r>
          </w:p>
        </w:tc>
      </w:tr>
      <w:tr>
        <w:tc>
          <w:tcPr/>
          <w:p>
            <w:pPr>
              <w:pStyle w:val="Compact"/>
              <w:jc w:val="left"/>
            </w:pPr>
            <w:r>
              <w:rPr>
                <w:bCs/>
                <w:b/>
              </w:rPr>
              <w:t xml:space="preserve">OVHcloud</w:t>
            </w:r>
          </w:p>
        </w:tc>
        <w:tc>
          <w:tcPr/>
          <w:p>
            <w:pPr>
              <w:pStyle w:val="Compact"/>
              <w:jc w:val="left"/>
            </w:pPr>
            <w:r>
              <w:t xml:space="preserve">✅ 2025</w:t>
            </w:r>
          </w:p>
        </w:tc>
        <w:tc>
          <w:tcPr/>
          <w:p>
            <w:pPr>
              <w:pStyle w:val="Compact"/>
              <w:jc w:val="left"/>
            </w:pPr>
            <w:r>
              <w:t xml:space="preserve">Euronext Paris</w:t>
            </w:r>
          </w:p>
        </w:tc>
        <w:tc>
          <w:tcPr/>
          <w:p>
            <w:pPr>
              <w:pStyle w:val="Compact"/>
              <w:jc w:val="left"/>
            </w:pPr>
            <w:r>
              <w:t xml:space="preserve">OVH US Corp. (eigene US-Tochter)</w:t>
            </w:r>
          </w:p>
        </w:tc>
        <w:tc>
          <w:tcPr/>
          <w:p>
            <w:pPr>
              <w:pStyle w:val="Compact"/>
              <w:jc w:val="left"/>
            </w:pPr>
            <w:r>
              <w:rPr>
                <w:bCs/>
                <w:b/>
              </w:rPr>
              <w:t xml:space="preserve">A — indirekt</w:t>
            </w:r>
          </w:p>
        </w:tc>
        <w:tc>
          <w:tcPr/>
          <w:p>
            <w:pPr>
              <w:pStyle w:val="Compact"/>
              <w:jc w:val="left"/>
            </w:pPr>
            <w:r>
              <w:t xml:space="preserve">🔴 Bestätigt</w:t>
            </w:r>
          </w:p>
        </w:tc>
        <w:tc>
          <w:tcPr/>
          <w:p>
            <w:pPr>
              <w:pStyle w:val="Compact"/>
              <w:jc w:val="left"/>
            </w:pPr>
            <w:r>
              <w:t xml:space="preserve">Strasbourg, Roubaix, Paris, Frankfurt</w:t>
            </w:r>
          </w:p>
        </w:tc>
        <w:tc>
          <w:tcPr/>
          <w:p>
            <w:pPr>
              <w:pStyle w:val="Compact"/>
              <w:jc w:val="left"/>
            </w:pPr>
            <w:r>
              <w:t xml:space="preserve">SNC-Tier für regulierte Workloads</w:t>
            </w:r>
          </w:p>
        </w:tc>
      </w:tr>
      <w:tr>
        <w:tc>
          <w:tcPr/>
          <w:p>
            <w:pPr>
              <w:pStyle w:val="Compact"/>
              <w:jc w:val="left"/>
            </w:pPr>
            <w:r>
              <w:rPr>
                <w:bCs/>
                <w:b/>
              </w:rPr>
              <w:t xml:space="preserve">Hetzner (EU-RZ)</w:t>
            </w:r>
          </w:p>
        </w:tc>
        <w:tc>
          <w:tcPr/>
          <w:p>
            <w:pPr>
              <w:pStyle w:val="Compact"/>
              <w:jc w:val="left"/>
            </w:pPr>
            <w:r>
              <w:t xml:space="preserve">✅ Feb. 2026</w:t>
            </w:r>
          </w:p>
        </w:tc>
        <w:tc>
          <w:tcPr/>
          <w:p>
            <w:pPr>
              <w:pStyle w:val="Compact"/>
              <w:jc w:val="left"/>
            </w:pPr>
            <w:r>
              <w:t xml:space="preserve">Privat (DE)</w:t>
            </w:r>
          </w:p>
        </w:tc>
        <w:tc>
          <w:tcPr/>
          <w:p>
            <w:pPr>
              <w:pStyle w:val="Compact"/>
              <w:jc w:val="left"/>
            </w:pPr>
            <w:r>
              <w:t xml:space="preserve">Hetzner US LLC (eigene US-Cloud-Tochter)</w:t>
            </w:r>
          </w:p>
        </w:tc>
        <w:tc>
          <w:tcPr/>
          <w:p>
            <w:pPr>
              <w:pStyle w:val="Compact"/>
              <w:jc w:val="left"/>
            </w:pPr>
            <w:r>
              <w:rPr>
                <w:bCs/>
                <w:b/>
              </w:rPr>
              <w:t xml:space="preserve">A — indirekt</w:t>
            </w:r>
          </w:p>
        </w:tc>
        <w:tc>
          <w:tcPr/>
          <w:p>
            <w:pPr>
              <w:pStyle w:val="Compact"/>
              <w:jc w:val="left"/>
            </w:pPr>
            <w:r>
              <w:t xml:space="preserve">🟠 Bedingt</w:t>
            </w:r>
          </w:p>
        </w:tc>
        <w:tc>
          <w:tcPr/>
          <w:p>
            <w:pPr>
              <w:pStyle w:val="Compact"/>
              <w:jc w:val="left"/>
            </w:pPr>
            <w:r>
              <w:t xml:space="preserve">Nürnberg, Falkenstein (DE); Helsinki (FI)</w:t>
            </w:r>
          </w:p>
        </w:tc>
        <w:tc>
          <w:tcPr/>
          <w:p>
            <w:pPr>
              <w:pStyle w:val="Compact"/>
              <w:jc w:val="left"/>
            </w:pPr>
            <w:r>
              <w:t xml:space="preserve">Dev/SMB; nicht für § 393-Daten</w:t>
            </w:r>
          </w:p>
        </w:tc>
      </w:tr>
      <w:tr>
        <w:tc>
          <w:tcPr/>
          <w:p>
            <w:pPr>
              <w:pStyle w:val="Compact"/>
              <w:jc w:val="left"/>
            </w:pPr>
            <w:r>
              <w:rPr>
                <w:bCs/>
                <w:b/>
              </w:rPr>
              <w:t xml:space="preserve">Arvato Systems</w:t>
            </w:r>
          </w:p>
        </w:tc>
        <w:tc>
          <w:tcPr/>
          <w:p>
            <w:pPr>
              <w:pStyle w:val="Compact"/>
              <w:jc w:val="left"/>
            </w:pPr>
            <w:r>
              <w:t xml:space="preserve">✅</w:t>
            </w:r>
          </w:p>
        </w:tc>
        <w:tc>
          <w:tcPr/>
          <w:p>
            <w:pPr>
              <w:pStyle w:val="Compact"/>
              <w:jc w:val="left"/>
            </w:pPr>
            <w:r>
              <w:t xml:space="preserve">Bertelsmann (privat, DE)</w:t>
            </w:r>
          </w:p>
        </w:tc>
        <w:tc>
          <w:tcPr/>
          <w:p>
            <w:pPr>
              <w:pStyle w:val="Compact"/>
              <w:jc w:val="left"/>
            </w:pPr>
            <w:r>
              <w:t xml:space="preserve">AWS + Azure als Infrastrukturpartner</w:t>
            </w:r>
          </w:p>
        </w:tc>
        <w:tc>
          <w:tcPr/>
          <w:p>
            <w:pPr>
              <w:pStyle w:val="Compact"/>
              <w:jc w:val="left"/>
            </w:pPr>
            <w:r>
              <w:rPr>
                <w:bCs/>
                <w:b/>
              </w:rPr>
              <w:t xml:space="preserve">B — Technologie</w:t>
            </w:r>
          </w:p>
        </w:tc>
        <w:tc>
          <w:tcPr/>
          <w:p>
            <w:pPr>
              <w:pStyle w:val="Compact"/>
              <w:jc w:val="left"/>
            </w:pPr>
            <w:r>
              <w:t xml:space="preserve">🔴 Indirekt</w:t>
            </w:r>
          </w:p>
        </w:tc>
        <w:tc>
          <w:tcPr/>
          <w:p>
            <w:pPr>
              <w:pStyle w:val="Compact"/>
              <w:jc w:val="left"/>
            </w:pPr>
            <w:r>
              <w:t xml:space="preserve">Gütersloh (3 eigene RZ, DE)</w:t>
            </w:r>
          </w:p>
        </w:tc>
        <w:tc>
          <w:tcPr/>
          <w:p>
            <w:pPr>
              <w:pStyle w:val="Compact"/>
              <w:jc w:val="left"/>
            </w:pPr>
            <w:r>
              <w:t xml:space="preserve">Eigene RZ, aber US-Software-Risiko</w:t>
            </w:r>
          </w:p>
        </w:tc>
      </w:tr>
      <w:tr>
        <w:tc>
          <w:tcPr/>
          <w:p>
            <w:pPr>
              <w:pStyle w:val="Compact"/>
              <w:jc w:val="left"/>
            </w:pPr>
            <w:r>
              <w:rPr>
                <w:bCs/>
                <w:b/>
              </w:rPr>
              <w:t xml:space="preserve">Delos Cloud (SAP × Azure)</w:t>
            </w:r>
          </w:p>
        </w:tc>
        <w:tc>
          <w:tcPr/>
          <w:p>
            <w:pPr>
              <w:pStyle w:val="Compact"/>
              <w:jc w:val="left"/>
            </w:pPr>
            <w:r>
              <w:t xml:space="preserve">BSI CPR</w:t>
            </w:r>
          </w:p>
        </w:tc>
        <w:tc>
          <w:tcPr/>
          <w:p>
            <w:pPr>
              <w:pStyle w:val="Compact"/>
              <w:jc w:val="left"/>
            </w:pPr>
            <w:r>
              <w:t xml:space="preserve">SAP SE (DAX)</w:t>
            </w:r>
          </w:p>
        </w:tc>
        <w:tc>
          <w:tcPr/>
          <w:p>
            <w:pPr>
              <w:pStyle w:val="Compact"/>
              <w:jc w:val="left"/>
            </w:pPr>
            <w:r>
              <w:t xml:space="preserve">Microsoft = Technologielieferant (lizenziert)</w:t>
            </w:r>
          </w:p>
        </w:tc>
        <w:tc>
          <w:tcPr/>
          <w:p>
            <w:pPr>
              <w:pStyle w:val="Compact"/>
              <w:jc w:val="left"/>
            </w:pPr>
            <w:r>
              <w:rPr>
                <w:bCs/>
                <w:b/>
              </w:rPr>
              <w:t xml:space="preserve">B — Technologie</w:t>
            </w:r>
          </w:p>
        </w:tc>
        <w:tc>
          <w:tcPr/>
          <w:p>
            <w:pPr>
              <w:pStyle w:val="Compact"/>
              <w:jc w:val="left"/>
            </w:pPr>
            <w:r>
              <w:t xml:space="preserve">🟡 Operator-Modell</w:t>
            </w:r>
          </w:p>
        </w:tc>
        <w:tc>
          <w:tcPr/>
          <w:p>
            <w:pPr>
              <w:pStyle w:val="Compact"/>
              <w:jc w:val="left"/>
            </w:pPr>
            <w:r>
              <w:t xml:space="preserve">Frankfurt (Azure Germany West Central)</w:t>
            </w:r>
          </w:p>
        </w:tc>
        <w:tc>
          <w:tcPr/>
          <w:p>
            <w:pPr>
              <w:pStyle w:val="Compact"/>
              <w:jc w:val="left"/>
            </w:pPr>
            <w:r>
              <w:t xml:space="preserve">Für M365/Azure-abhängige Verwaltung</w:t>
            </w:r>
          </w:p>
        </w:tc>
      </w:tr>
      <w:tr>
        <w:tc>
          <w:tcPr/>
          <w:p>
            <w:pPr>
              <w:pStyle w:val="Compact"/>
              <w:jc w:val="left"/>
            </w:pPr>
            <w:r>
              <w:rPr>
                <w:bCs/>
                <w:b/>
              </w:rPr>
              <w:t xml:space="preserve">SAP BTP / RISE</w:t>
            </w:r>
          </w:p>
        </w:tc>
        <w:tc>
          <w:tcPr/>
          <w:p>
            <w:pPr>
              <w:pStyle w:val="Compact"/>
              <w:jc w:val="left"/>
            </w:pPr>
            <w:r>
              <w:t xml:space="preserve">Teilweise</w:t>
            </w:r>
          </w:p>
        </w:tc>
        <w:tc>
          <w:tcPr/>
          <w:p>
            <w:pPr>
              <w:pStyle w:val="Compact"/>
              <w:jc w:val="left"/>
            </w:pPr>
            <w:r>
              <w:t xml:space="preserve">DAX: SAP SE</w:t>
            </w:r>
          </w:p>
        </w:tc>
        <w:tc>
          <w:tcPr/>
          <w:p>
            <w:pPr>
              <w:pStyle w:val="Compact"/>
              <w:jc w:val="left"/>
            </w:pPr>
            <w:r>
              <w:t xml:space="preserve">Eigene US-Niederlassungen (SAP America)</w:t>
            </w:r>
          </w:p>
        </w:tc>
        <w:tc>
          <w:tcPr/>
          <w:p>
            <w:pPr>
              <w:pStyle w:val="Compact"/>
              <w:jc w:val="left"/>
            </w:pPr>
            <w:r>
              <w:rPr>
                <w:bCs/>
                <w:b/>
              </w:rPr>
              <w:t xml:space="preserve">A + B</w:t>
            </w:r>
          </w:p>
        </w:tc>
        <w:tc>
          <w:tcPr/>
          <w:p>
            <w:pPr>
              <w:pStyle w:val="Compact"/>
              <w:jc w:val="left"/>
            </w:pPr>
            <w:r>
              <w:t xml:space="preserve">🟡 Infrastrukturell</w:t>
            </w:r>
          </w:p>
        </w:tc>
        <w:tc>
          <w:tcPr/>
          <w:p>
            <w:pPr>
              <w:pStyle w:val="Compact"/>
              <w:jc w:val="left"/>
            </w:pPr>
            <w:r>
              <w:t xml:space="preserve">Frankfurt (Azure GWC + AWS eu-central-1)</w:t>
            </w:r>
          </w:p>
        </w:tc>
        <w:tc>
          <w:tcPr/>
          <w:p>
            <w:pPr>
              <w:pStyle w:val="Compact"/>
              <w:jc w:val="left"/>
            </w:pPr>
            <w:r>
              <w:t xml:space="preserve">Je nach Hosting-Variante prüfen</w:t>
            </w:r>
          </w:p>
        </w:tc>
      </w:tr>
      <w:tr>
        <w:tc>
          <w:tcPr/>
          <w:p>
            <w:pPr>
              <w:pStyle w:val="Compact"/>
              <w:jc w:val="left"/>
            </w:pPr>
            <w:r>
              <w:rPr>
                <w:bCs/>
                <w:b/>
              </w:rPr>
              <w:t xml:space="preserve">IONOS</w:t>
            </w:r>
          </w:p>
        </w:tc>
        <w:tc>
          <w:tcPr/>
          <w:p>
            <w:pPr>
              <w:pStyle w:val="Compact"/>
              <w:jc w:val="left"/>
            </w:pPr>
            <w:r>
              <w:t xml:space="preserve">✅ 2023</w:t>
            </w:r>
          </w:p>
        </w:tc>
        <w:tc>
          <w:tcPr/>
          <w:p>
            <w:pPr>
              <w:pStyle w:val="Compact"/>
              <w:jc w:val="left"/>
            </w:pPr>
            <w:r>
              <w:t xml:space="preserve">MDAX: UTDI</w:t>
            </w:r>
          </w:p>
        </w:tc>
        <w:tc>
          <w:tcPr/>
          <w:p>
            <w:pPr>
              <w:pStyle w:val="Compact"/>
              <w:jc w:val="left"/>
            </w:pPr>
            <w:r>
              <w:t xml:space="preserve">IONOS Cloud Inc. (eigene US-Cloud-Tochter)</w:t>
            </w:r>
          </w:p>
        </w:tc>
        <w:tc>
          <w:tcPr/>
          <w:p>
            <w:pPr>
              <w:pStyle w:val="Compact"/>
              <w:jc w:val="left"/>
            </w:pPr>
            <w:r>
              <w:rPr>
                <w:bCs/>
                <w:b/>
              </w:rPr>
              <w:t xml:space="preserve">A — indirekt</w:t>
            </w:r>
          </w:p>
        </w:tc>
        <w:tc>
          <w:tcPr/>
          <w:p>
            <w:pPr>
              <w:pStyle w:val="Compact"/>
              <w:jc w:val="left"/>
            </w:pPr>
            <w:r>
              <w:t xml:space="preserve">🟠 BMI-bestätigt</w:t>
            </w:r>
          </w:p>
        </w:tc>
        <w:tc>
          <w:tcPr/>
          <w:p>
            <w:pPr>
              <w:pStyle w:val="Compact"/>
              <w:jc w:val="left"/>
            </w:pPr>
            <w:r>
              <w:t xml:space="preserve">Karlsruhe, Berlin, Frankfurt, Nürnberg (DE)</w:t>
            </w:r>
          </w:p>
        </w:tc>
        <w:tc>
          <w:tcPr/>
          <w:p>
            <w:pPr>
              <w:pStyle w:val="Compact"/>
              <w:jc w:val="left"/>
            </w:pPr>
            <w:r>
              <w:t xml:space="preserve">Prüfung erforderlich</w:t>
            </w:r>
          </w:p>
        </w:tc>
      </w:tr>
      <w:tr>
        <w:tc>
          <w:tcPr/>
          <w:p>
            <w:pPr>
              <w:pStyle w:val="Compact"/>
              <w:jc w:val="left"/>
            </w:pPr>
            <w:r>
              <w:rPr>
                <w:bCs/>
                <w:b/>
              </w:rPr>
              <w:t xml:space="preserve">Deutsche Telekom / OTC</w:t>
            </w:r>
          </w:p>
        </w:tc>
        <w:tc>
          <w:tcPr/>
          <w:p>
            <w:pPr>
              <w:pStyle w:val="Compact"/>
              <w:jc w:val="left"/>
            </w:pPr>
            <w:r>
              <w:t xml:space="preserve">✅</w:t>
            </w:r>
          </w:p>
        </w:tc>
        <w:tc>
          <w:tcPr/>
          <w:p>
            <w:pPr>
              <w:pStyle w:val="Compact"/>
              <w:jc w:val="left"/>
            </w:pPr>
            <w:r>
              <w:t xml:space="preserve">DAX: DTE (ADR: NYSE DTEGY)</w:t>
            </w:r>
          </w:p>
        </w:tc>
        <w:tc>
          <w:tcPr/>
          <w:p>
            <w:pPr>
              <w:pStyle w:val="Compact"/>
              <w:jc w:val="left"/>
            </w:pPr>
            <w:r>
              <w:t xml:space="preserve">T-Mobile US = Telekom-Tochter, kein Cloud-Betrieb</w:t>
            </w:r>
          </w:p>
        </w:tc>
        <w:tc>
          <w:tcPr/>
          <w:p>
            <w:pPr>
              <w:pStyle w:val="Compact"/>
              <w:jc w:val="left"/>
            </w:pPr>
            <w:r>
              <w:rPr>
                <w:bCs/>
                <w:b/>
              </w:rPr>
              <w:t xml:space="preserve">C — Konzernhebel</w:t>
            </w:r>
          </w:p>
        </w:tc>
        <w:tc>
          <w:tcPr/>
          <w:p>
            <w:pPr>
              <w:pStyle w:val="Compact"/>
              <w:jc w:val="left"/>
            </w:pPr>
            <w:r>
              <w:t xml:space="preserve">🟡 Strukturell</w:t>
            </w:r>
          </w:p>
        </w:tc>
        <w:tc>
          <w:tcPr/>
          <w:p>
            <w:pPr>
              <w:pStyle w:val="Compact"/>
              <w:jc w:val="left"/>
            </w:pPr>
            <w:r>
              <w:t xml:space="preserve">Biere/Sachsen-Anhalt, Magdeburg (DE); NL</w:t>
            </w:r>
          </w:p>
        </w:tc>
        <w:tc>
          <w:tcPr/>
          <w:p>
            <w:pPr>
              <w:pStyle w:val="Compact"/>
              <w:jc w:val="left"/>
            </w:pPr>
            <w:r>
              <w:t xml:space="preserve">Mit Vorbehalt — T-Mobile US hat keinen Zugriff auf OTC-Daten</w:t>
            </w:r>
          </w:p>
        </w:tc>
      </w:tr>
      <w:tr>
        <w:tc>
          <w:tcPr/>
          <w:p>
            <w:pPr>
              <w:pStyle w:val="Compact"/>
              <w:jc w:val="left"/>
            </w:pPr>
            <w:r>
              <w:rPr>
                <w:bCs/>
                <w:b/>
              </w:rPr>
              <w:t xml:space="preserve">STACKIT</w:t>
            </w:r>
          </w:p>
        </w:tc>
        <w:tc>
          <w:tcPr/>
          <w:p>
            <w:pPr>
              <w:pStyle w:val="Compact"/>
              <w:jc w:val="left"/>
            </w:pPr>
            <w:r>
              <w:t xml:space="preserve">✅ C5 Typ 2 (Aug. 2024)</w:t>
            </w:r>
          </w:p>
        </w:tc>
        <w:tc>
          <w:tcPr/>
          <w:p>
            <w:pPr>
              <w:pStyle w:val="Compact"/>
              <w:jc w:val="left"/>
            </w:pPr>
            <w:r>
              <w:t xml:space="preserve">Privat (Schwarz Gruppe, DE)</w:t>
            </w:r>
          </w:p>
        </w:tc>
        <w:tc>
          <w:tcPr/>
          <w:p>
            <w:pPr>
              <w:pStyle w:val="Compact"/>
              <w:jc w:val="left"/>
            </w:pPr>
            <w:r>
              <w:t xml:space="preserve">Lidl US = Handelsschwester (kein Datenzugriff)</w:t>
            </w:r>
          </w:p>
        </w:tc>
        <w:tc>
          <w:tcPr/>
          <w:p>
            <w:pPr>
              <w:pStyle w:val="Compact"/>
              <w:jc w:val="left"/>
            </w:pPr>
            <w:r>
              <w:rPr>
                <w:bCs/>
                <w:b/>
              </w:rPr>
              <w:t xml:space="preserve">C — Konzernhebel</w:t>
            </w:r>
          </w:p>
        </w:tc>
        <w:tc>
          <w:tcPr/>
          <w:p>
            <w:pPr>
              <w:pStyle w:val="Compact"/>
              <w:jc w:val="left"/>
            </w:pPr>
            <w:r>
              <w:t xml:space="preserve">🟡 Juristisch unklar</w:t>
            </w:r>
          </w:p>
        </w:tc>
        <w:tc>
          <w:tcPr/>
          <w:p>
            <w:pPr>
              <w:pStyle w:val="Compact"/>
              <w:jc w:val="left"/>
            </w:pPr>
            <w:r>
              <w:t xml:space="preserve">Neckarsulm, Düsseldorf (DE); Wien (AT)</w:t>
            </w:r>
          </w:p>
        </w:tc>
        <w:tc>
          <w:tcPr/>
          <w:p>
            <w:pPr>
              <w:pStyle w:val="Compact"/>
              <w:jc w:val="left"/>
            </w:pPr>
            <w:r>
              <w:t xml:space="preserve">Valide mit Vorbehalt</w:t>
            </w:r>
          </w:p>
        </w:tc>
      </w:tr>
      <w:tr>
        <w:tc>
          <w:tcPr/>
          <w:p>
            <w:pPr>
              <w:pStyle w:val="Compact"/>
              <w:jc w:val="left"/>
            </w:pPr>
            <w:r>
              <w:rPr>
                <w:bCs/>
                <w:b/>
              </w:rPr>
              <w:t xml:space="preserve">plusserver</w:t>
            </w:r>
          </w:p>
        </w:tc>
        <w:tc>
          <w:tcPr/>
          <w:p>
            <w:pPr>
              <w:pStyle w:val="Compact"/>
              <w:jc w:val="left"/>
            </w:pPr>
            <w:r>
              <w:t xml:space="preserve">✅ C5</w:t>
            </w:r>
          </w:p>
        </w:tc>
        <w:tc>
          <w:tcPr/>
          <w:p>
            <w:pPr>
              <w:pStyle w:val="Compact"/>
              <w:jc w:val="left"/>
            </w:pPr>
            <w:r>
              <w:t xml:space="preserve">Privat (DE)</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Köln, Hamburg, Frankfurt (DE)</w:t>
            </w:r>
          </w:p>
        </w:tc>
        <w:tc>
          <w:tcPr/>
          <w:p>
            <w:pPr>
              <w:pStyle w:val="Compact"/>
              <w:jc w:val="left"/>
            </w:pPr>
            <w:r>
              <w:t xml:space="preserve">Sauberste DE-Option</w:t>
            </w:r>
          </w:p>
        </w:tc>
      </w:tr>
      <w:tr>
        <w:tc>
          <w:tcPr/>
          <w:p>
            <w:pPr>
              <w:pStyle w:val="Compact"/>
              <w:jc w:val="left"/>
            </w:pPr>
            <w:r>
              <w:rPr>
                <w:bCs/>
                <w:b/>
              </w:rPr>
              <w:t xml:space="preserve">EWERK Leipzig</w:t>
            </w:r>
          </w:p>
        </w:tc>
        <w:tc>
          <w:tcPr/>
          <w:p>
            <w:pPr>
              <w:pStyle w:val="Compact"/>
              <w:jc w:val="left"/>
            </w:pPr>
            <w:r>
              <w:t xml:space="preserve">ISO 27001, ISAE 3402 Typ II (C5 in Vorbereitung)</w:t>
            </w:r>
          </w:p>
        </w:tc>
        <w:tc>
          <w:tcPr/>
          <w:p>
            <w:pPr>
              <w:pStyle w:val="Compact"/>
              <w:jc w:val="left"/>
            </w:pPr>
            <w:r>
              <w:t xml:space="preserve">NORD Holding (DE, privat) + Gründer</w:t>
            </w:r>
          </w:p>
        </w:tc>
        <w:tc>
          <w:tcPr/>
          <w:p>
            <w:pPr>
              <w:pStyle w:val="Compact"/>
              <w:jc w:val="left"/>
            </w:pPr>
            <w:r>
              <w:t xml:space="preserve">Keine</w:t>
            </w:r>
          </w:p>
        </w:tc>
        <w:tc>
          <w:tcPr/>
          <w:p>
            <w:pPr>
              <w:pStyle w:val="Compact"/>
              <w:jc w:val="left"/>
            </w:pPr>
            <w:r>
              <w:rPr>
                <w:bCs/>
                <w:b/>
              </w:rPr>
              <w:t xml:space="preserve">Keiner</w:t>
            </w:r>
          </w:p>
        </w:tc>
        <w:tc>
          <w:tcPr/>
          <w:p>
            <w:pPr>
              <w:pStyle w:val="Compact"/>
              <w:jc w:val="left"/>
            </w:pPr>
            <w:r>
              <w:t xml:space="preserve">🟢 Gering</w:t>
            </w:r>
          </w:p>
        </w:tc>
        <w:tc>
          <w:tcPr/>
          <w:p>
            <w:pPr>
              <w:pStyle w:val="Compact"/>
              <w:jc w:val="left"/>
            </w:pPr>
            <w:r>
              <w:t xml:space="preserve">Leipzig (DE)</w:t>
            </w:r>
          </w:p>
        </w:tc>
        <w:tc>
          <w:tcPr/>
          <w:p>
            <w:pPr>
              <w:pStyle w:val="Compact"/>
              <w:jc w:val="left"/>
            </w:pPr>
            <w:r>
              <w:t xml:space="preserve">KRITIS-Spezialist (Kritische Infrastrukturen — gesetzliche Einstufung systemrelevanter Sektoren); C5-Testat angestrebt</w:t>
            </w:r>
          </w:p>
        </w:tc>
      </w:tr>
    </w:tbl>
    <w:bookmarkEnd w:id="52"/>
    <w:bookmarkStart w:id="61" w:name="juristische-detailanalysen"/>
    <w:p>
      <w:pPr>
        <w:pStyle w:val="Heading3"/>
      </w:pPr>
      <w:r>
        <w:t xml:space="preserve">5.5 Juristische Detailanalysen</w:t>
      </w:r>
    </w:p>
    <w:p>
      <w:pPr>
        <w:pStyle w:val="FirstParagraph"/>
      </w:pPr>
      <w:r>
        <w:t xml:space="preserve">Die Tabelle in 5.4 zeigt die Risikoeinstufung — dieser Abschnitt erklärt für die kritischen Fälle,</w:t>
      </w:r>
      <w:r>
        <w:t xml:space="preserve"> </w:t>
      </w:r>
      <w:r>
        <w:rPr>
          <w:bCs/>
          <w:b/>
        </w:rPr>
        <w:t xml:space="preserve">warum</w:t>
      </w:r>
      <w:r>
        <w:t xml:space="preserve"> </w:t>
      </w:r>
      <w:r>
        <w:t xml:space="preserve">die jeweilige US-Verbindung zum CLOUD-Act-Risiko führt. Die Logik folgt den drei Konstellationen aus Kapitel 2:</w:t>
      </w:r>
    </w:p>
    <w:p>
      <w:pPr>
        <w:numPr>
          <w:ilvl w:val="0"/>
          <w:numId w:val="1007"/>
        </w:numPr>
        <w:pStyle w:val="Compact"/>
      </w:pPr>
      <w:r>
        <w:rPr>
          <w:bCs/>
          <w:b/>
        </w:rPr>
        <w:t xml:space="preserve">Konstellation A:</w:t>
      </w:r>
      <w:r>
        <w:t xml:space="preserve"> </w:t>
      </w:r>
      <w:r>
        <w:t xml:space="preserve">US-Mutter → EU-Tochter. Herausgabepflicht direkt durchsetzbar, kein Widerspruch möglich.</w:t>
      </w:r>
    </w:p>
    <w:p>
      <w:pPr>
        <w:numPr>
          <w:ilvl w:val="0"/>
          <w:numId w:val="1007"/>
        </w:numPr>
        <w:pStyle w:val="Compact"/>
      </w:pPr>
      <w:r>
        <w:rPr>
          <w:bCs/>
          <w:b/>
        </w:rPr>
        <w:t xml:space="preserve">Konstellation B:</w:t>
      </w:r>
      <w:r>
        <w:t xml:space="preserve"> </w:t>
      </w:r>
      <w:r>
        <w:t xml:space="preserve">EU-Mutter → US-Tochter. EU-Mutter kann widersprechen, aber US-Tochter ist Druckmittel.</w:t>
      </w:r>
    </w:p>
    <w:p>
      <w:pPr>
        <w:numPr>
          <w:ilvl w:val="0"/>
          <w:numId w:val="1007"/>
        </w:numPr>
        <w:pStyle w:val="Compact"/>
      </w:pPr>
      <w:r>
        <w:rPr>
          <w:bCs/>
          <w:b/>
        </w:rPr>
        <w:t xml:space="preserve">Konstellation C:</w:t>
      </w:r>
      <w:r>
        <w:t xml:space="preserve"> </w:t>
      </w:r>
      <w:r>
        <w:t xml:space="preserve">Schwestergesellschaften oder Konzernhebel über ein anderes Geschäftsfeld. Juristisch unklar, praktisch geringes Risiko wenn kein operativer Datenzugriff besteht.</w:t>
      </w:r>
    </w:p>
    <w:p>
      <w:pPr>
        <w:pStyle w:val="BlockText"/>
      </w:pPr>
      <w:r>
        <w:rPr>
          <w:bCs/>
          <w:b/>
        </w:rPr>
        <w:t xml:space="preserve">Hinweis Konstellationen ↔ Risikotypen (§5.4):</w:t>
      </w:r>
      <w:r>
        <w:t xml:space="preserve"> </w:t>
      </w:r>
      <w:r>
        <w:t xml:space="preserve">Die juristischen Konstellationen (A/B/C aus Kapitel 2) beschreiben die</w:t>
      </w:r>
      <w:r>
        <w:t xml:space="preserve"> </w:t>
      </w:r>
      <w:r>
        <w:rPr>
          <w:iCs/>
          <w:i/>
        </w:rPr>
        <w:t xml:space="preserve">Rechtsbeziehung</w:t>
      </w:r>
      <w:r>
        <w:t xml:space="preserve"> </w:t>
      </w:r>
      <w:r>
        <w:t xml:space="preserve">zwischen EU- und US-Entität. Die Risikotypen in der Tabelle §5.4 fassen die daraus resultierenden</w:t>
      </w:r>
      <w:r>
        <w:t xml:space="preserve"> </w:t>
      </w:r>
      <w:r>
        <w:rPr>
          <w:iCs/>
          <w:i/>
        </w:rPr>
        <w:t xml:space="preserve">praktischen Risiken</w:t>
      </w:r>
      <w:r>
        <w:t xml:space="preserve"> </w:t>
      </w:r>
      <w:r>
        <w:t xml:space="preserve">zusammen: Typ A-direkt = Konstellation A, Typ A-indirekt = Konstellation B, Typ B = kein Konstellation-Äquivalent (reine Technologieabhängigkeit), Typ C = Konstellation C.</w:t>
      </w:r>
    </w:p>
    <w:bookmarkStart w:id="53" w:name="X7796a944563b467e06818ba2551611db4a5b0fc"/>
    <w:p>
      <w:pPr>
        <w:pStyle w:val="Heading4"/>
      </w:pPr>
      <w:r>
        <w:t xml:space="preserve">Hetzner — eigene US-Tochter als Druckmittel (Konstellation B)</w:t>
      </w:r>
    </w:p>
    <w:p>
      <w:pPr>
        <w:pStyle w:val="FirstParagraph"/>
      </w:pPr>
      <w:r>
        <w:t xml:space="preserve">Hetzner Online GmbH (Gunzenhausen/Bayern) ist ein deutsches Privatunternehmen mit C5-Testat seit Februar 2026. Auf den ersten Blick souverän. Aber: Hetzner betreibt</w:t>
      </w:r>
      <w:r>
        <w:t xml:space="preserve"> </w:t>
      </w:r>
      <w:r>
        <w:rPr>
          <w:bCs/>
          <w:b/>
        </w:rPr>
        <w:t xml:space="preserve">Hetzner US LLC</w:t>
      </w:r>
      <w:r>
        <w:t xml:space="preserve"> </w:t>
      </w:r>
      <w:r>
        <w:t xml:space="preserve">in Ashburn, Virginia — eine eigene US-Tochtergesellschaft für den US-Rechenzentrumsmarkt. Hetzner dokumentiert selbst:</w:t>
      </w:r>
      <w:r>
        <w:t xml:space="preserve"> </w:t>
      </w:r>
      <w:r>
        <w:t xml:space="preserve">“</w:t>
      </w:r>
      <w:r>
        <w:t xml:space="preserve">Hetzner kann nicht damit dienen, keine Verbindung zu den USA zu haben.</w:t>
      </w:r>
      <w:r>
        <w:t xml:space="preserve">”</w:t>
      </w:r>
    </w:p>
    <w:p>
      <w:pPr>
        <w:pStyle w:val="BodyText"/>
      </w:pPr>
      <w: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pStyle w:val="BodyText"/>
      </w:pPr>
      <w: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bookmarkEnd w:id="53"/>
    <w:bookmarkStart w:id="54" w:name="Xa76d2dca95caa1a23270838c842aeb3e8cab554"/>
    <w:p>
      <w:pPr>
        <w:pStyle w:val="Heading4"/>
      </w:pPr>
      <w:r>
        <w:t xml:space="preserve">STACKIT / Schwarz Gruppe — Schwestergesellschaft ohne Konzernverbund (Konstellation C)</w:t>
      </w:r>
    </w:p>
    <w:p>
      <w:pPr>
        <w:pStyle w:val="FirstParagraph"/>
      </w:pPr>
      <w: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pStyle w:val="BodyText"/>
      </w:pPr>
      <w:r>
        <w:t xml:space="preserve">Die entscheidende gesellschaftsrechtliche Besonderheit: Die Schwarz Gruppe ist</w:t>
      </w:r>
      <w:r>
        <w:t xml:space="preserve"> </w:t>
      </w:r>
      <w:r>
        <w:rPr>
          <w:bCs/>
          <w:b/>
        </w:rPr>
        <w:t xml:space="preserve">kein Konzern im handelsrechtlichen Sinne</w:t>
      </w:r>
      <w:r>
        <w:t xml:space="preserve">. Lidl Stiftung, Schwarz Digits (STACKIT) und PreZero sind Schwestergesellschaften unter demselben Privateigentümer (Dieter Schwarz) — aber</w:t>
      </w:r>
      <w:r>
        <w:t xml:space="preserve"> </w:t>
      </w:r>
      <w:r>
        <w:rPr>
          <w:bCs/>
          <w:b/>
        </w:rPr>
        <w:t xml:space="preserve">gesellschaftsrechtlich nicht miteinander verbunden</w:t>
      </w:r>
      <w:r>
        <w:t xml:space="preserve">. Es gibt keine Beherrschungs- oder Gewinnabführungsverträge. STACKIT ist nicht Tochter von Lidl — beide sind eigenständige Gesellschaften.</w:t>
      </w:r>
    </w:p>
    <w:p>
      <w:pPr>
        <w:pStyle w:val="BodyText"/>
      </w:pPr>
      <w:r>
        <w:rPr>
          <w:bCs/>
          <w:b/>
        </w:rPr>
        <w:t xml:space="preserve">Warum das relevant ist:</w:t>
      </w:r>
      <w:r>
        <w:t xml:space="preserve"> </w:t>
      </w:r>
      <w:r>
        <w:t xml:space="preserve">Der CLOUD Act knüpft an</w:t>
      </w:r>
      <w:r>
        <w:t xml:space="preserve"> </w:t>
      </w:r>
      <w:r>
        <w:t xml:space="preserve">“</w:t>
      </w:r>
      <w:r>
        <w:t xml:space="preserve">possession, custody, or control</w:t>
      </w:r>
      <w:r>
        <w:t xml:space="preserve">”</w:t>
      </w:r>
      <w:r>
        <w:t xml:space="preserve"> </w:t>
      </w:r>
      <w:r>
        <w:t xml:space="preserve">an — nicht an bloße Eigentümeridentität. US-Gerichte müssten nachweisen, dass Lidl US tatsächlich Kontrolle über STACKIT-Daten hat, was bei gesellschaftsrechtlicher Trennung und ohne operative Verbindung schwer zu begründen ist. STACKIT-CEO Bernd Wagner:</w:t>
      </w:r>
      <w:r>
        <w:t xml:space="preserve"> </w:t>
      </w:r>
      <w:r>
        <w:rPr>
          <w:iCs/>
          <w:i/>
        </w:rPr>
        <w:t xml:space="preserve">“</w:t>
      </w:r>
      <w:r>
        <w:rPr>
          <w:iCs/>
          <w:i/>
        </w:rPr>
        <w:t xml:space="preserve">Wir investieren nicht in den USA. Es ergibt keinen Sinn, denn somit würden wir sofort den Regularien des US Cloud Act unterliegen.</w:t>
      </w:r>
      <w:r>
        <w:rPr>
          <w:iCs/>
          <w:i/>
        </w:rPr>
        <w:t xml:space="preserve">”</w:t>
      </w:r>
    </w:p>
    <w:p>
      <w:pPr>
        <w:pStyle w:val="BodyText"/>
      </w:pPr>
      <w:r>
        <w:rPr>
          <w:bCs/>
          <w:b/>
        </w:rPr>
        <w:t xml:space="preserve">Bewertung:</w:t>
      </w:r>
      <w:r>
        <w:t xml:space="preserve"> </w:t>
      </w:r>
      <w:r>
        <w:t xml:space="preserve">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w:t>
      </w:r>
      <w:r>
        <w:t xml:space="preserve"> </w:t>
      </w:r>
      <w:r>
        <w:t xml:space="preserve">“</w:t>
      </w:r>
      <w:r>
        <w:t xml:space="preserve">control</w:t>
      </w:r>
      <w:r>
        <w:t xml:space="preserve">”</w:t>
      </w:r>
      <w:r>
        <w:t xml:space="preserve"> </w:t>
      </w:r>
      <w:r>
        <w:t xml:space="preserve">werten würden — juristisch nicht abschließend beantwortet, praktisch unwahrscheinlich solange STACKIT auf US-Investitionen verzichtet.</w:t>
      </w:r>
    </w:p>
    <w:bookmarkEnd w:id="54"/>
    <w:bookmarkStart w:id="55" w:name="Xfa20460bfe98ccf7eb2a67915d8dc1796b4fa34"/>
    <w:p>
      <w:pPr>
        <w:pStyle w:val="Heading4"/>
      </w:pPr>
      <w:r>
        <w:t xml:space="preserve">Arvato Systems — US-Softwareabhängigkeit ohne eigene US-Institution (Typ B)</w:t>
      </w:r>
    </w:p>
    <w:p>
      <w:pPr>
        <w:pStyle w:val="FirstParagraph"/>
      </w:pPr>
      <w: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pStyle w:val="BodyText"/>
      </w:pPr>
      <w: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bookmarkEnd w:id="55"/>
    <w:bookmarkStart w:id="56" w:name="X6c13f51a10a2793eb78d37839af1242eb76f6ae"/>
    <w:p>
      <w:pPr>
        <w:pStyle w:val="Heading4"/>
      </w:pPr>
      <w:r>
        <w:t xml:space="preserve">Deutsche Telekom / Open Telekom Cloud — Telekomtochter als Konzernhebel (Konstellation C)</w:t>
      </w:r>
    </w:p>
    <w:p>
      <w:pPr>
        <w:pStyle w:val="FirstParagraph"/>
      </w:pPr>
      <w: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pStyle w:val="BodyText"/>
      </w:pPr>
      <w:r>
        <w:rPr>
          <w:bCs/>
          <w:b/>
        </w:rPr>
        <w:t xml:space="preserve">Warum das weniger riskant ist als zunächst sichtbar:</w:t>
      </w:r>
      <w:r>
        <w:t xml:space="preserve"> </w:t>
      </w:r>
      <w:r>
        <w:t xml:space="preserve">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pStyle w:val="BodyText"/>
      </w:pPr>
      <w:r>
        <w:rPr>
          <w:bCs/>
          <w:b/>
        </w:rPr>
        <w:t xml:space="preserve">Die CLOUD-Act-Mechanik in dieser Konstellation:</w:t>
      </w:r>
      <w:r>
        <w:t xml:space="preserve"> </w:t>
      </w:r>
      <w:r>
        <w:t xml:space="preserve">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pStyle w:val="BodyText"/>
      </w:pPr>
      <w:r>
        <w:rPr>
          <w:bCs/>
          <w:b/>
        </w:rPr>
        <w:t xml:space="preserve">Abgrenzung zu Hetzner / IONOS:</w:t>
      </w:r>
      <w:r>
        <w:t xml:space="preserve"> </w:t>
      </w:r>
      <w:r>
        <w:t xml:space="preserve">Hetzner US LLC und IONOS Cloud Inc. sind US-Cloud-Betreiber im selben Sektor. Sie haben strukturell administrativen Zugriff auf Systeme, die zum selben Unternehmensverbund gehören. T-Mobile US hat das nicht. Deshalb ist Deutsche Telekom / OTC als</w:t>
      </w:r>
      <w:r>
        <w:t xml:space="preserve"> </w:t>
      </w:r>
      <w:r>
        <w:rPr>
          <w:bCs/>
          <w:b/>
        </w:rPr>
        <w:t xml:space="preserve">C — Konzernhebel</w:t>
      </w:r>
      <w:r>
        <w:t xml:space="preserve"> </w:t>
      </w:r>
      <w:r>
        <w:t xml:space="preserve">einzustufen, nicht als A — indirekt.</w:t>
      </w:r>
    </w:p>
    <w:p>
      <w:pPr>
        <w:pStyle w:val="BodyText"/>
      </w:pPr>
      <w:r>
        <w:rPr>
          <w:bCs/>
          <w:b/>
        </w:rPr>
        <w:t xml:space="preserve">OTC-Rechenzentren:</w:t>
      </w:r>
      <w:r>
        <w:t xml:space="preserve"> </w:t>
      </w:r>
      <w:r>
        <w:t xml:space="preserve">Sachsen-Anhalt (Biere, 100.000 Server, 18 MW) + Magdeburg-Region; sowie eine Niederlande-Region. T-Systems betreibt 33 RZ weltweit, 7 im Eigenbetrieb — ausschließlich europäischer Standortbetrieb für OTC.</w:t>
      </w:r>
    </w:p>
    <w:bookmarkEnd w:id="56"/>
    <w:bookmarkStart w:id="57" w:name="X56b5fa330dea9c84d3f3c104347e567ce68d142"/>
    <w:p>
      <w:pPr>
        <w:pStyle w:val="Heading4"/>
      </w:pPr>
      <w:r>
        <w:t xml:space="preserve">IONOS — US-Tochter trotz europäischer Börsennotierung (Konstellation B)</w:t>
      </w:r>
    </w:p>
    <w:p>
      <w:pPr>
        <w:pStyle w:val="FirstParagraph"/>
      </w:pPr>
      <w:r>
        <w:t xml:space="preserve">IONOS SE ist an der MDAX-notierten United Internet AG (DE) angebunden — auf den ersten Blick ein europäisches Unternehmen. Das Problem: IONOS betreibt</w:t>
      </w:r>
      <w:r>
        <w:t xml:space="preserve"> </w:t>
      </w:r>
      <w:r>
        <w:rPr>
          <w:bCs/>
          <w:b/>
        </w:rPr>
        <w:t xml:space="preserve">IONOS Cloud Inc.</w:t>
      </w:r>
      <w:r>
        <w:t xml:space="preserve"> </w:t>
      </w:r>
      <w:r>
        <w:t xml:space="preserve">in den USA als eigene US-Tochtergesellschaft.</w:t>
      </w:r>
    </w:p>
    <w:p>
      <w:pPr>
        <w:pStyle w:val="BodyText"/>
      </w:pPr>
      <w: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bookmarkEnd w:id="57"/>
    <w:bookmarkStart w:id="58" w:name="Xf8c2007b64c01914c8668e4a3e2d36c6326f1cb"/>
    <w:p>
      <w:pPr>
        <w:pStyle w:val="Heading4"/>
      </w:pPr>
      <w:r>
        <w:t xml:space="preserve">EWERK Leipzig — Private-Equity-Übernahme: Auswirkung auf CLOUD-Act-Bewertung</w:t>
      </w:r>
    </w:p>
    <w:p>
      <w:pPr>
        <w:pStyle w:val="FirstParagraph"/>
      </w:pPr>
      <w:r>
        <w:t xml:space="preserve">EWERK Leipzig hat 2024 mit der NORD Holding einen neuen Mehrheitsgesellschafter erhalten. Die relevante Frage für die CLOUD-Act-Bewertung: Ändert ein Private-Equity-Eigentümer das Risikoprofil?</w:t>
      </w:r>
    </w:p>
    <w:p>
      <w:pPr>
        <w:pStyle w:val="BodyText"/>
      </w:pPr>
      <w:r>
        <w:rPr>
          <w:bCs/>
          <w:b/>
        </w:rPr>
        <w:t xml:space="preserve">NORD Holding:</w:t>
      </w:r>
      <w:r>
        <w:t xml:space="preserve"> </w:t>
      </w:r>
      <w:r>
        <w:t xml:space="preserve">Deutsches Private-Equity-Unternehmen mit Sitz in Hannover, gegründet 1969, ~4 Mrd. EUR verwaltetem Vermögen, ausschließlich DACH-fokussiert (Deutschland, Österreich, Schweiz). Betrieb als</w:t>
      </w:r>
      <w:r>
        <w:t xml:space="preserve"> </w:t>
      </w:r>
      <w:r>
        <w:t xml:space="preserve">“</w:t>
      </w:r>
      <w:r>
        <w:t xml:space="preserve">Evergreen Fund</w:t>
      </w:r>
      <w:r>
        <w:t xml:space="preserve">”</w:t>
      </w:r>
      <w:r>
        <w:t xml:space="preserve"> </w:t>
      </w:r>
      <w:r>
        <w:t xml:space="preserve">aus eigener Bilanz ohne Laufzeitbeschränkung. Keine US-Börsennotierung, keine US-Niederlassungen, keine US-Investoren in der Struktur öffentlich erkennbar. Rechtsform: GmbH, Registrierung Amtsgericht Hannover.</w:t>
      </w:r>
    </w:p>
    <w:p>
      <w:pPr>
        <w:pStyle w:val="BodyText"/>
      </w:pPr>
      <w:r>
        <w:rPr>
          <w:bCs/>
          <w:b/>
        </w:rPr>
        <w:t xml:space="preserve">CLOUD-Act-Konsequenz:</w:t>
      </w:r>
      <w:r>
        <w:t xml:space="preserve"> </w:t>
      </w:r>
      <w:r>
        <w:t xml:space="preserve">Entscheidend ist nicht der PE-Eigentümer als solcher, sondern ob der Eigentümer</w:t>
      </w:r>
      <w:r>
        <w:t xml:space="preserve"> </w:t>
      </w:r>
      <w:r>
        <w:t xml:space="preserve">“</w:t>
      </w:r>
      <w:r>
        <w:t xml:space="preserve">possession, custody, or control</w:t>
      </w:r>
      <w:r>
        <w:t xml:space="preserve">”</w:t>
      </w:r>
      <w:r>
        <w:t xml:space="preserve"> </w:t>
      </w:r>
      <w:r>
        <w:t xml:space="preserve">über Daten im Sinne des CLOUD Act ausübt und ob dieser Eigentümer unter US-Jurisdiktion fällt. Beides ist bei NORD Holding nach aktuellem Kenntnisstand nicht der Fall. Die Übernahme ändert das CLOUD-Act-Risikoprofil von EWERK nicht.</w:t>
      </w:r>
    </w:p>
    <w:p>
      <w:pPr>
        <w:pStyle w:val="BodyText"/>
      </w:pPr>
      <w:r>
        <w:rPr>
          <w:bCs/>
          <w:b/>
        </w:rPr>
        <w:t xml:space="preserve">BSI C5 — aktueller Stand:</w:t>
      </w:r>
      <w:r>
        <w:t xml:space="preserve"> </w:t>
      </w:r>
      <w:r>
        <w:t xml:space="preserve">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pStyle w:val="BodyText"/>
      </w:pPr>
      <w:r>
        <w:rPr>
          <w:bCs/>
          <w:b/>
        </w:rPr>
        <w:t xml:space="preserve">Vorbehalt:</w:t>
      </w:r>
      <w:r>
        <w:t xml:space="preserve"> </w:t>
      </w:r>
      <w:r>
        <w:t xml:space="preserve">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bookmarkEnd w:id="58"/>
    <w:bookmarkStart w:id="59" w:name="X367c1ceddde1326d0fe0232ed2b7d3307f0aa81"/>
    <w:p>
      <w:pPr>
        <w:pStyle w:val="Heading4"/>
      </w:pPr>
      <w:r>
        <w:t xml:space="preserve">Oracle / Oracle Cerner — der unsichtbare Marktführer im Klinik-KIS</w:t>
      </w:r>
    </w:p>
    <w:p>
      <w:pPr>
        <w:pStyle w:val="FirstParagraph"/>
      </w:pPr>
      <w:r>
        <w:t xml:space="preserve">Oracle spielt im deutschen Gesundheitswesen eine strukturell wichtige, aber in der öffentlichen CLOUD-Act-Debatte völlig übersehene Rolle. Der Konzern ist in zwei Funktionen präsent, die beide relevant sind:</w:t>
      </w:r>
    </w:p>
    <w:p>
      <w:pPr>
        <w:pStyle w:val="BodyText"/>
      </w:pPr>
      <w:r>
        <w:rPr>
          <w:bCs/>
          <w:b/>
        </w:rPr>
        <w:t xml:space="preserve">Funktion 1 — Krankenhausinformationssysteme (KIS):</w:t>
      </w:r>
      <w:r>
        <w:t xml:space="preserve"> </w:t>
      </w:r>
      <w:r>
        <w:t xml:space="preserve">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pStyle w:val="BodyText"/>
      </w:pPr>
      <w: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pStyle w:val="BodyText"/>
      </w:pPr>
      <w:r>
        <w:rPr>
          <w:bCs/>
          <w:b/>
        </w:rPr>
        <w:t xml:space="preserve">Die Managed-Service-Frage — reduziert das Risiko, eliminiert es aber nicht:</w:t>
      </w:r>
      <w:r>
        <w:t xml:space="preserve"> </w:t>
      </w:r>
      <w:r>
        <w:t xml:space="preserve">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pStyle w:val="BodyText"/>
      </w:pPr>
      <w:r>
        <w:t xml:space="preserve">Diese Annahme ist falsch. Der CLOUD Act knüpft an</w:t>
      </w:r>
      <w:r>
        <w:t xml:space="preserve"> </w:t>
      </w:r>
      <w:r>
        <w:t xml:space="preserve">“</w:t>
      </w:r>
      <w:r>
        <w:t xml:space="preserve">possession, custody, or control</w:t>
      </w:r>
      <w:r>
        <w:t xml:space="preserve">”</w:t>
      </w:r>
      <w:r>
        <w:t xml:space="preserve"> </w:t>
      </w:r>
      <w:r>
        <w:t xml:space="preserve">an — nicht an den Besitz der Hardware. Oracle Cerner hat als Managed-Service-Betreiber in der Regel administrativen Fernzugriff auf die Systeme: um Patches einzuspielen, Konfigurationen anzupassen, Fehler zu analysieren. Dieser Fernzugriff bedeutet</w:t>
      </w:r>
      <w:r>
        <w:t xml:space="preserve"> </w:t>
      </w:r>
      <w:r>
        <w:t xml:space="preserve">“</w:t>
      </w:r>
      <w:r>
        <w:t xml:space="preserve">control</w:t>
      </w:r>
      <w:r>
        <w:t xml:space="preserve">”</w:t>
      </w:r>
      <w:r>
        <w:t xml:space="preserve"> </w:t>
      </w:r>
      <w:r>
        <w:t xml:space="preserve">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pStyle w:val="BodyText"/>
      </w:pPr>
      <w: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w:t>
      </w:r>
      <w:r>
        <w:t xml:space="preserve"> </w:t>
      </w:r>
      <w:r>
        <w:t xml:space="preserve">“</w:t>
      </w:r>
      <w:r>
        <w:t xml:space="preserve">nur</w:t>
      </w:r>
      <w:r>
        <w:t xml:space="preserve">”</w:t>
      </w:r>
      <w:r>
        <w:t xml:space="preserve"> </w:t>
      </w:r>
      <w:r>
        <w:t xml:space="preserve">den administrativen Zugang. Das ist ein gradueller Unterschied, kein kategorischer. Für die DSGVO-Bewertung bleibt in beiden Fällen ein TIA erforderlich (vgl. §17.4), und in beiden Fällen muss der Auftragsverarbeitungsvertrag die CLOUD-Act-Exposition adressieren (vgl. §17.5).</w:t>
      </w:r>
    </w:p>
    <w:p>
      <w:pPr>
        <w:pStyle w:val="BodyText"/>
      </w:pPr>
      <w: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pStyle w:val="BodyText"/>
      </w:pPr>
      <w:r>
        <w:rPr>
          <w:bCs/>
          <w:b/>
        </w:rPr>
        <w:t xml:space="preserve">Funktion 2 — Oracle Cloud Infrastructure (OCI) als geplanter Nachfolger:</w:t>
      </w:r>
      <w:r>
        <w:t xml:space="preserve"> </w:t>
      </w:r>
      <w:r>
        <w:t xml:space="preserve">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pStyle w:val="BodyText"/>
      </w:pPr>
      <w:r>
        <w:rPr>
          <w:bCs/>
          <w:b/>
        </w:rPr>
        <w:t xml:space="preserve">Was OCI ist und wie Oracle die CLOUD-Act-Frage kommuniziert:</w:t>
      </w:r>
      <w:r>
        <w:t xml:space="preserve"> </w:t>
      </w:r>
      <w:r>
        <w:t xml:space="preserve">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w:t>
      </w:r>
      <w:r>
        <w:t xml:space="preserve"> </w:t>
      </w:r>
      <w:r>
        <w:t xml:space="preserve">“</w:t>
      </w:r>
      <w:r>
        <w:t xml:space="preserve">possession, custody, or control</w:t>
      </w:r>
      <w:r>
        <w:t xml:space="preserve">”</w:t>
      </w:r>
      <w:r>
        <w:t xml:space="preserve"> </w:t>
      </w:r>
      <w:r>
        <w:t xml:space="preserve">über EU-Daten ablehnen könne. [Quelle: Oracle Blog,</w:t>
      </w:r>
      <w:r>
        <w:t xml:space="preserve"> </w:t>
      </w:r>
      <w:r>
        <w:t xml:space="preserve">“</w:t>
      </w:r>
      <w:r>
        <w:t xml:space="preserve">Oracle sovereign cloud solutions: Providing transparent review of data access requests</w:t>
      </w:r>
      <w:r>
        <w:t xml:space="preserve">”</w:t>
      </w:r>
      <w:r>
        <w:t xml:space="preserve">, 2024]</w:t>
      </w:r>
    </w:p>
    <w:p>
      <w:pPr>
        <w:pStyle w:val="BodyText"/>
      </w:pPr>
      <w:r>
        <w:rPr>
          <w:bCs/>
          <w:b/>
        </w:rPr>
        <w:t xml:space="preserve">CLOUD-Act-Bewertung für OCI EU Sovereign Cloud:</w:t>
      </w:r>
      <w:r>
        <w:t xml:space="preserve"> </w:t>
      </w:r>
      <w:r>
        <w:t xml:space="preserve">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pStyle w:val="BodyText"/>
      </w:pPr>
      <w:r>
        <w:rPr>
          <w:bCs/>
          <w:b/>
        </w:rPr>
        <w:t xml:space="preserve">Die strategische Bedeutung:</w:t>
      </w:r>
      <w:r>
        <w:t xml:space="preserve"> </w:t>
      </w:r>
      <w:r>
        <w:t xml:space="preserve">Die SAP-IS-H-Abkündigung löst bis 2030 eine massive KIS-Migrationswelle aus. Oracle Cerner ist bereits in 250 deutschen Kliniken verankert und bietet den</w:t>
      </w:r>
      <w:r>
        <w:t xml:space="preserve"> </w:t>
      </w:r>
      <w:r>
        <w:t xml:space="preserve">“</w:t>
      </w:r>
      <w:r>
        <w:t xml:space="preserve">natürlichsten</w:t>
      </w:r>
      <w:r>
        <w:t xml:space="preserve">”</w:t>
      </w:r>
      <w:r>
        <w:t xml:space="preserve"> </w:t>
      </w:r>
      <w:r>
        <w:t xml:space="preserve">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C5</w:t>
            </w:r>
          </w:p>
        </w:tc>
        <w:tc>
          <w:tcPr/>
          <w:p>
            <w:pPr>
              <w:pStyle w:val="Compact"/>
              <w:jc w:val="left"/>
            </w:pPr>
            <w:r>
              <w:t xml:space="preserve">US-Börse / Eigentümer</w:t>
            </w:r>
          </w:p>
        </w:tc>
        <w:tc>
          <w:tcPr/>
          <w:p>
            <w:pPr>
              <w:pStyle w:val="Compact"/>
              <w:jc w:val="left"/>
            </w:pPr>
            <w:r>
              <w:t xml:space="preserve">US-Präsenz</w:t>
            </w:r>
          </w:p>
        </w:tc>
        <w:tc>
          <w:tcPr/>
          <w:p>
            <w:pPr>
              <w:pStyle w:val="Compact"/>
              <w:jc w:val="left"/>
            </w:pPr>
            <w:r>
              <w:t xml:space="preserve">Risikotyp</w:t>
            </w:r>
          </w:p>
        </w:tc>
        <w:tc>
          <w:tcPr/>
          <w:p>
            <w:pPr>
              <w:pStyle w:val="Compact"/>
              <w:jc w:val="left"/>
            </w:pPr>
            <w:r>
              <w:t xml:space="preserve">CLOUD-Act-Risiko</w:t>
            </w:r>
          </w:p>
        </w:tc>
        <w:tc>
          <w:tcPr/>
          <w:p>
            <w:pPr>
              <w:pStyle w:val="Compact"/>
              <w:jc w:val="left"/>
            </w:pPr>
            <w:r>
              <w:t xml:space="preserve">Empfehlung</w:t>
            </w:r>
          </w:p>
        </w:tc>
      </w:tr>
      <w:tr>
        <w:tc>
          <w:tcPr/>
          <w:p>
            <w:pPr>
              <w:pStyle w:val="Compact"/>
              <w:jc w:val="left"/>
            </w:pPr>
            <w:r>
              <w:rPr>
                <w:bCs/>
                <w:b/>
              </w:rPr>
              <w:t xml:space="preserve">Oracle Cerner (KIS i.s.h.med)</w:t>
            </w:r>
          </w:p>
        </w:tc>
        <w:tc>
          <w:tcPr/>
          <w:p>
            <w:pPr>
              <w:pStyle w:val="Compact"/>
              <w:jc w:val="left"/>
            </w:pPr>
            <w:r>
              <w:t xml:space="preserve">Nein</w:t>
            </w:r>
          </w:p>
        </w:tc>
        <w:tc>
          <w:tcPr/>
          <w:p>
            <w:pPr>
              <w:pStyle w:val="Compact"/>
              <w:jc w:val="left"/>
            </w:pPr>
            <w:r>
              <w:t xml:space="preserve">NYSE: ORCL</w:t>
            </w:r>
          </w:p>
        </w:tc>
        <w:tc>
          <w:tcPr/>
          <w:p>
            <w:pPr>
              <w:pStyle w:val="Compact"/>
              <w:jc w:val="left"/>
            </w:pPr>
            <w:r>
              <w:t xml:space="preserve">US-Hauptsitz Austin</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Nicht für Gesundheitsdaten auf OCI</w:t>
            </w:r>
          </w:p>
        </w:tc>
      </w:tr>
      <w:tr>
        <w:tc>
          <w:tcPr/>
          <w:p>
            <w:pPr>
              <w:pStyle w:val="Compact"/>
              <w:jc w:val="left"/>
            </w:pPr>
            <w:r>
              <w:rPr>
                <w:bCs/>
                <w:b/>
              </w:rPr>
              <w:t xml:space="preserve">Oracle Cloud Infrastructure (OCI)</w:t>
            </w:r>
          </w:p>
        </w:tc>
        <w:tc>
          <w:tcPr/>
          <w:p>
            <w:pPr>
              <w:pStyle w:val="Compact"/>
              <w:jc w:val="left"/>
            </w:pPr>
            <w:r>
              <w:t xml:space="preserve">Nein (kein C5)</w:t>
            </w:r>
          </w:p>
        </w:tc>
        <w:tc>
          <w:tcPr/>
          <w:p>
            <w:pPr>
              <w:pStyle w:val="Compact"/>
              <w:jc w:val="left"/>
            </w:pPr>
            <w:r>
              <w:t xml:space="preserve">NYSE: ORCL</w:t>
            </w:r>
          </w:p>
        </w:tc>
        <w:tc>
          <w:tcPr/>
          <w:p>
            <w:pPr>
              <w:pStyle w:val="Compact"/>
              <w:jc w:val="left"/>
            </w:pPr>
            <w:r>
              <w:t xml:space="preserve">US-Muttergesellschaft</w:t>
            </w:r>
          </w:p>
        </w:tc>
        <w:tc>
          <w:tcPr/>
          <w:p>
            <w:pPr>
              <w:pStyle w:val="Compact"/>
              <w:jc w:val="left"/>
            </w:pPr>
            <w:r>
              <w:rPr>
                <w:bCs/>
                <w:b/>
              </w:rPr>
              <w:t xml:space="preserve">A — direkt</w:t>
            </w:r>
          </w:p>
        </w:tc>
        <w:tc>
          <w:tcPr/>
          <w:p>
            <w:pPr>
              <w:pStyle w:val="Compact"/>
              <w:jc w:val="left"/>
            </w:pPr>
            <w:r>
              <w:t xml:space="preserve">🔴 Hoch</w:t>
            </w:r>
          </w:p>
        </w:tc>
        <w:tc>
          <w:tcPr/>
          <w:p>
            <w:pPr>
              <w:pStyle w:val="Compact"/>
              <w:jc w:val="left"/>
            </w:pPr>
            <w:r>
              <w:t xml:space="preserve">EU Sovereign Cloud-Argumentation offen</w:t>
            </w:r>
          </w:p>
        </w:tc>
      </w:tr>
    </w:tbl>
    <w:bookmarkEnd w:id="59"/>
    <w:bookmarkStart w:id="60" w:name="X852666e646520ed60ed7ae94b11ae711eeb9e75"/>
    <w:p>
      <w:pPr>
        <w:pStyle w:val="Heading4"/>
      </w:pPr>
      <w:r>
        <w:t xml:space="preserve">Sovereignty-Washing — warum Serverstandort nicht schützt</w:t>
      </w:r>
    </w:p>
    <w:p>
      <w:pPr>
        <w:pStyle w:val="FirstParagraph"/>
      </w:pPr>
      <w: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w:t>
      </w:r>
      <w:r>
        <w:t xml:space="preserve"> </w:t>
      </w:r>
      <w:r>
        <w:t xml:space="preserve">“</w:t>
      </w:r>
      <w:r>
        <w:t xml:space="preserve">Wo stehen die Server?</w:t>
      </w:r>
      <w:r>
        <w:t xml:space="preserve">”</w:t>
      </w:r>
      <w:r>
        <w:t xml:space="preserve"> </w:t>
      </w:r>
      <w:r>
        <w:t xml:space="preserve">sondern</w:t>
      </w:r>
      <w:r>
        <w:t xml:space="preserve"> </w:t>
      </w:r>
      <w:r>
        <w:t xml:space="preserve">“</w:t>
      </w:r>
      <w:r>
        <w:t xml:space="preserve">Wer kontrolliert den Provider und unterliegt damit dem CLOUD Act?</w:t>
      </w:r>
      <w:r>
        <w:t xml:space="preserve">”</w:t>
      </w:r>
    </w:p>
    <w:bookmarkEnd w:id="60"/>
    <w:bookmarkEnd w:id="61"/>
    <w:bookmarkStart w:id="62" w:name="frankreich-secnumcloud-ökosystem"/>
    <w:p>
      <w:pPr>
        <w:pStyle w:val="Heading3"/>
      </w:pPr>
      <w:r>
        <w:t xml:space="preserve">5.6 Frankreich — SecNumCloud-Ökosystem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US-Präsenz</w:t>
            </w:r>
          </w:p>
        </w:tc>
        <w:tc>
          <w:tcPr/>
          <w:p>
            <w:pPr>
              <w:pStyle w:val="Compact"/>
              <w:jc w:val="left"/>
            </w:pPr>
            <w:r>
              <w:t xml:space="preserve">SecNumCloud</w:t>
            </w:r>
          </w:p>
        </w:tc>
        <w:tc>
          <w:tcPr/>
          <w:p>
            <w:pPr>
              <w:pStyle w:val="Compact"/>
              <w:jc w:val="left"/>
            </w:pPr>
            <w:r>
              <w:t xml:space="preserve">CLOUD Act</w:t>
            </w:r>
          </w:p>
        </w:tc>
        <w:tc>
          <w:tcPr/>
          <w:p>
            <w:pPr>
              <w:pStyle w:val="Compact"/>
              <w:jc w:val="left"/>
            </w:pPr>
            <w:r>
              <w:t xml:space="preserve">Health</w:t>
            </w:r>
          </w:p>
        </w:tc>
        <w:tc>
          <w:tcPr/>
          <w:p>
            <w:pPr>
              <w:pStyle w:val="Compact"/>
              <w:jc w:val="left"/>
            </w:pPr>
            <w:r>
              <w:t xml:space="preserve">Empfehlung</w:t>
            </w:r>
          </w:p>
        </w:tc>
      </w:tr>
      <w:tr>
        <w:tc>
          <w:tcPr/>
          <w:p>
            <w:pPr>
              <w:pStyle w:val="Compact"/>
              <w:jc w:val="left"/>
            </w:pPr>
            <w:r>
              <w:rPr>
                <w:bCs/>
                <w:b/>
              </w:rPr>
              <w:t xml:space="preserve">OVHcloud</w:t>
            </w:r>
          </w:p>
        </w:tc>
        <w:tc>
          <w:tcPr/>
          <w:p>
            <w:pPr>
              <w:pStyle w:val="Compact"/>
              <w:jc w:val="left"/>
            </w:pPr>
            <w:r>
              <w:t xml:space="preserve">OVH Groupe (FR, Euronext)</w:t>
            </w:r>
          </w:p>
        </w:tc>
        <w:tc>
          <w:tcPr/>
          <w:p>
            <w:pPr>
              <w:pStyle w:val="Compact"/>
              <w:jc w:val="left"/>
            </w:pPr>
            <w:r>
              <w:t xml:space="preserve">OVH US Corp.</w:t>
            </w:r>
          </w:p>
        </w:tc>
        <w:tc>
          <w:tcPr/>
          <w:p>
            <w:pPr>
              <w:pStyle w:val="Compact"/>
              <w:jc w:val="left"/>
            </w:pPr>
            <w:r>
              <w:t xml:space="preserve">✅ Bare Metal Pod + IaaS (2026)</w:t>
            </w:r>
          </w:p>
        </w:tc>
        <w:tc>
          <w:tcPr/>
          <w:p>
            <w:pPr>
              <w:pStyle w:val="Compact"/>
              <w:jc w:val="left"/>
            </w:pPr>
            <w:r>
              <w:t xml:space="preserve">🔴 US Corp. + Kanada-Urteil 2024</w:t>
            </w:r>
          </w:p>
        </w:tc>
        <w:tc>
          <w:tcPr/>
          <w:p>
            <w:pPr>
              <w:pStyle w:val="Compact"/>
              <w:jc w:val="left"/>
            </w:pPr>
            <w:r>
              <w:t xml:space="preserve">✅ HDS</w:t>
            </w:r>
          </w:p>
        </w:tc>
        <w:tc>
          <w:tcPr/>
          <w:p>
            <w:pPr>
              <w:pStyle w:val="Compact"/>
              <w:jc w:val="left"/>
            </w:pPr>
            <w:r>
              <w:t xml:space="preserve">SNC-Tier für regulierte Workloads</w:t>
            </w:r>
          </w:p>
        </w:tc>
      </w:tr>
      <w:tr>
        <w:tc>
          <w:tcPr/>
          <w:p>
            <w:pPr>
              <w:pStyle w:val="Compact"/>
              <w:jc w:val="left"/>
            </w:pPr>
            <w:r>
              <w:rPr>
                <w:bCs/>
                <w:b/>
              </w:rPr>
              <w:t xml:space="preserve">3DS Outscale</w:t>
            </w:r>
          </w:p>
        </w:tc>
        <w:tc>
          <w:tcPr/>
          <w:p>
            <w:pPr>
              <w:pStyle w:val="Compact"/>
              <w:jc w:val="left"/>
            </w:pPr>
            <w:r>
              <w:t xml:space="preserve">Dassault Systèmes (FR)</w:t>
            </w:r>
          </w:p>
        </w:tc>
        <w:tc>
          <w:tcPr/>
          <w:p>
            <w:pPr>
              <w:pStyle w:val="Compact"/>
              <w:jc w:val="left"/>
            </w:pPr>
            <w:r>
              <w:t xml:space="preserve">Keine</w:t>
            </w:r>
          </w:p>
        </w:tc>
        <w:tc>
          <w:tcPr/>
          <w:p>
            <w:pPr>
              <w:pStyle w:val="Compact"/>
              <w:jc w:val="left"/>
            </w:pPr>
            <w:r>
              <w:t xml:space="preserve">✅ 3.2 (Erster!)</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Referenz FR Health</w:t>
            </w:r>
          </w:p>
        </w:tc>
      </w:tr>
      <w:tr>
        <w:tc>
          <w:tcPr/>
          <w:p>
            <w:pPr>
              <w:pStyle w:val="Compact"/>
              <w:jc w:val="left"/>
            </w:pPr>
            <w:r>
              <w:rPr>
                <w:bCs/>
                <w:b/>
              </w:rPr>
              <w:t xml:space="preserve">Cloud Temple</w:t>
            </w:r>
          </w:p>
        </w:tc>
        <w:tc>
          <w:tcPr/>
          <w:p>
            <w:pPr>
              <w:pStyle w:val="Compact"/>
              <w:jc w:val="left"/>
            </w:pPr>
            <w:r>
              <w:t xml:space="preserve">100% FR privat</w:t>
            </w:r>
          </w:p>
        </w:tc>
        <w:tc>
          <w:tcPr/>
          <w:p>
            <w:pPr>
              <w:pStyle w:val="Compact"/>
              <w:jc w:val="left"/>
            </w:pPr>
            <w:r>
              <w:t xml:space="preserve">Keine</w:t>
            </w:r>
          </w:p>
        </w:tc>
        <w:tc>
          <w:tcPr/>
          <w:p>
            <w:pPr>
              <w:pStyle w:val="Compact"/>
              <w:jc w:val="left"/>
            </w:pPr>
            <w:r>
              <w:t xml:space="preserve">✅ IaaS + PaaS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KRITIS/Health</w:t>
            </w:r>
          </w:p>
        </w:tc>
      </w:tr>
      <w:tr>
        <w:tc>
          <w:tcPr/>
          <w:p>
            <w:pPr>
              <w:pStyle w:val="Compact"/>
              <w:jc w:val="left"/>
            </w:pPr>
            <w:r>
              <w:rPr>
                <w:bCs/>
                <w:b/>
              </w:rPr>
              <w:t xml:space="preserve">S3NS (Thales×Google)</w:t>
            </w:r>
          </w:p>
        </w:tc>
        <w:tc>
          <w:tcPr/>
          <w:p>
            <w:pPr>
              <w:pStyle w:val="Compact"/>
              <w:jc w:val="left"/>
            </w:pPr>
            <w:r>
              <w:t xml:space="preserve">Thales S.A. (FR)</w:t>
            </w:r>
          </w:p>
        </w:tc>
        <w:tc>
          <w:tcPr/>
          <w:p>
            <w:pPr>
              <w:pStyle w:val="Compact"/>
              <w:jc w:val="left"/>
            </w:pPr>
            <w:r>
              <w:t xml:space="preserve">Google = Lieferant</w:t>
            </w:r>
          </w:p>
        </w:tc>
        <w:tc>
          <w:tcPr/>
          <w:p>
            <w:pPr>
              <w:pStyle w:val="Compact"/>
              <w:jc w:val="left"/>
            </w:pPr>
            <w:r>
              <w:t xml:space="preserve">✅ 3.2 Dez. 2025</w:t>
            </w:r>
          </w:p>
        </w:tc>
        <w:tc>
          <w:tcPr/>
          <w:p>
            <w:pPr>
              <w:pStyle w:val="Compact"/>
              <w:jc w:val="left"/>
            </w:pPr>
            <w:r>
              <w:t xml:space="preserve">🟡 Operator-Modell</w:t>
            </w:r>
          </w:p>
        </w:tc>
        <w:tc>
          <w:tcPr/>
          <w:p>
            <w:pPr>
              <w:pStyle w:val="Compact"/>
              <w:jc w:val="left"/>
            </w:pPr>
            <w:r>
              <w:t xml:space="preserve">—</w:t>
            </w:r>
          </w:p>
        </w:tc>
        <w:tc>
          <w:tcPr/>
          <w:p>
            <w:pPr>
              <w:pStyle w:val="Compact"/>
              <w:jc w:val="left"/>
            </w:pPr>
            <w:r>
              <w:t xml:space="preserve">Funktionsreichste SNC-Option; Vertex AI ab H2 2026</w:t>
            </w:r>
          </w:p>
        </w:tc>
      </w:tr>
      <w:tr>
        <w:tc>
          <w:tcPr/>
          <w:p>
            <w:pPr>
              <w:pStyle w:val="Compact"/>
              <w:jc w:val="left"/>
            </w:pPr>
            <w:r>
              <w:rPr>
                <w:bCs/>
                <w:b/>
              </w:rPr>
              <w:t xml:space="preserve">Scaleway</w:t>
            </w:r>
          </w:p>
        </w:tc>
        <w:tc>
          <w:tcPr/>
          <w:p>
            <w:pPr>
              <w:pStyle w:val="Compact"/>
              <w:jc w:val="left"/>
            </w:pPr>
            <w:r>
              <w:t xml:space="preserve">Iliad Group (FR)</w:t>
            </w:r>
          </w:p>
        </w:tc>
        <w:tc>
          <w:tcPr/>
          <w:p>
            <w:pPr>
              <w:pStyle w:val="Compact"/>
              <w:jc w:val="left"/>
            </w:pPr>
            <w:r>
              <w:t xml:space="preserve">Keine direkte</w:t>
            </w:r>
          </w:p>
        </w:tc>
        <w:tc>
          <w:tcPr/>
          <w:p>
            <w:pPr>
              <w:pStyle w:val="Compact"/>
              <w:jc w:val="left"/>
            </w:pPr>
            <w:r>
              <w:t xml:space="preserve">✅ (in Prüfung)</w:t>
            </w:r>
          </w:p>
        </w:tc>
        <w:tc>
          <w:tcPr/>
          <w:p>
            <w:pPr>
              <w:pStyle w:val="Compact"/>
              <w:jc w:val="left"/>
            </w:pPr>
            <w:r>
              <w:t xml:space="preserve">🟢 Weitgehend</w:t>
            </w:r>
          </w:p>
        </w:tc>
        <w:tc>
          <w:tcPr/>
          <w:p>
            <w:pPr>
              <w:pStyle w:val="Compact"/>
              <w:jc w:val="left"/>
            </w:pPr>
            <w:r>
              <w:t xml:space="preserve">—</w:t>
            </w:r>
          </w:p>
        </w:tc>
        <w:tc>
          <w:tcPr/>
          <w:p>
            <w:pPr>
              <w:pStyle w:val="Compact"/>
              <w:jc w:val="left"/>
            </w:pPr>
            <w:r>
              <w:t xml:space="preserve">Dev/KI/GPU; Mistral-Anbieter</w:t>
            </w:r>
          </w:p>
        </w:tc>
      </w:tr>
      <w:tr>
        <w:tc>
          <w:tcPr/>
          <w:p>
            <w:pPr>
              <w:pStyle w:val="Compact"/>
              <w:jc w:val="left"/>
            </w:pPr>
            <w:r>
              <w:rPr>
                <w:bCs/>
                <w:b/>
              </w:rPr>
              <w:t xml:space="preserve">NumSpot</w:t>
            </w:r>
          </w:p>
        </w:tc>
        <w:tc>
          <w:tcPr/>
          <w:p>
            <w:pPr>
              <w:pStyle w:val="Compact"/>
              <w:jc w:val="left"/>
            </w:pPr>
            <w:r>
              <w:t xml:space="preserve">Banque des Territoires et al. (FR, staatlich)</w:t>
            </w:r>
          </w:p>
        </w:tc>
        <w:tc>
          <w:tcPr/>
          <w:p>
            <w:pPr>
              <w:pStyle w:val="Compact"/>
              <w:jc w:val="left"/>
            </w:pPr>
            <w:r>
              <w:t xml:space="preserve">Keine</w:t>
            </w:r>
          </w:p>
        </w:tc>
        <w:tc>
          <w:tcPr/>
          <w:p>
            <w:pPr>
              <w:pStyle w:val="Compact"/>
              <w:jc w:val="left"/>
            </w:pPr>
            <w:r>
              <w:t xml:space="preserve">✅ (via Outscale-Basis)</w:t>
            </w:r>
          </w:p>
        </w:tc>
        <w:tc>
          <w:tcPr/>
          <w:p>
            <w:pPr>
              <w:pStyle w:val="Compact"/>
              <w:jc w:val="left"/>
            </w:pPr>
            <w:r>
              <w:t xml:space="preserve">🟢 Sauber</w:t>
            </w:r>
          </w:p>
        </w:tc>
        <w:tc>
          <w:tcPr/>
          <w:p>
            <w:pPr>
              <w:pStyle w:val="Compact"/>
              <w:jc w:val="left"/>
            </w:pPr>
            <w:r>
              <w:t xml:space="preserve">✅ HDS</w:t>
            </w:r>
          </w:p>
        </w:tc>
        <w:tc>
          <w:tcPr/>
          <w:p>
            <w:pPr>
              <w:pStyle w:val="Compact"/>
              <w:jc w:val="left"/>
            </w:pPr>
            <w:r>
              <w:t xml:space="preserve">FR Public Health</w:t>
            </w:r>
          </w:p>
        </w:tc>
      </w:tr>
    </w:tbl>
    <w:p>
      <w:pPr>
        <w:pStyle w:val="BodyText"/>
      </w:pPr>
      <w:r>
        <w:rPr>
          <w:bCs/>
          <w:b/>
        </w:rPr>
        <w:t xml:space="preserve">OVHcloud-Vorbehalt:</w:t>
      </w:r>
      <w:r>
        <w:t xml:space="preserve"> </w:t>
      </w:r>
      <w:r>
        <w:t xml:space="preserve">Kanada-Urteil 2024 — OVH-Kanada-Tochter musste europäische Serverdaten herausgeben. Zeigt strukturelles Restrisiko trotz EU-Hauptsitz.</w:t>
      </w:r>
      <w:r>
        <w:t xml:space="preserve"> </w:t>
      </w:r>
      <w:r>
        <w:rPr>
          <w:bCs/>
          <w:b/>
        </w:rPr>
        <w:t xml:space="preserve">S3NS:</w:t>
      </w:r>
      <w:r>
        <w:t xml:space="preserve"> </w:t>
      </w:r>
      <w:r>
        <w:t xml:space="preserve">Mechanismus erklärt in Kapitel 6 (Operator-Modell).</w:t>
      </w:r>
    </w:p>
    <w:bookmarkEnd w:id="62"/>
    <w:bookmarkStart w:id="63" w:name="weitere-europäische-länder"/>
    <w:p>
      <w:pPr>
        <w:pStyle w:val="Heading3"/>
      </w:pPr>
      <w:r>
        <w:t xml:space="preserve">5.7 Weitere europäische Länder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Land/Eigentümer</w:t>
            </w:r>
          </w:p>
        </w:tc>
        <w:tc>
          <w:tcPr/>
          <w:p>
            <w:pPr>
              <w:pStyle w:val="Compact"/>
              <w:jc w:val="left"/>
            </w:pPr>
            <w:r>
              <w:t xml:space="preserve">US-Präsenz</w:t>
            </w:r>
          </w:p>
        </w:tc>
        <w:tc>
          <w:tcPr/>
          <w:p>
            <w:pPr>
              <w:pStyle w:val="Compact"/>
              <w:jc w:val="left"/>
            </w:pPr>
            <w:r>
              <w:t xml:space="preserve">Zertifizierung</w:t>
            </w:r>
          </w:p>
        </w:tc>
        <w:tc>
          <w:tcPr/>
          <w:p>
            <w:pPr>
              <w:pStyle w:val="Compact"/>
              <w:jc w:val="left"/>
            </w:pPr>
            <w:r>
              <w:t xml:space="preserve">CLOUD Act</w:t>
            </w:r>
          </w:p>
        </w:tc>
        <w:tc>
          <w:tcPr/>
          <w:p>
            <w:pPr>
              <w:pStyle w:val="Compact"/>
              <w:jc w:val="left"/>
            </w:pPr>
            <w:r>
              <w:t xml:space="preserve">Stärke</w:t>
            </w:r>
          </w:p>
        </w:tc>
      </w:tr>
      <w:tr>
        <w:tc>
          <w:tcPr/>
          <w:p>
            <w:pPr>
              <w:pStyle w:val="Compact"/>
              <w:jc w:val="left"/>
            </w:pPr>
            <w:r>
              <w:rPr>
                <w:bCs/>
                <w:b/>
              </w:rPr>
              <w:t xml:space="preserve">Exoscale</w:t>
            </w:r>
          </w:p>
        </w:tc>
        <w:tc>
          <w:tcPr/>
          <w:p>
            <w:pPr>
              <w:pStyle w:val="Compact"/>
              <w:jc w:val="left"/>
            </w:pPr>
            <w:r>
              <w:t xml:space="preserve">AT — A1/América Móvil</w:t>
            </w:r>
          </w:p>
        </w:tc>
        <w:tc>
          <w:tcPr/>
          <w:p>
            <w:pPr>
              <w:pStyle w:val="Compact"/>
              <w:jc w:val="left"/>
            </w:pPr>
            <w:r>
              <w:t xml:space="preserve">América Móvil (MX)</w:t>
            </w:r>
          </w:p>
        </w:tc>
        <w:tc>
          <w:tcPr/>
          <w:p>
            <w:pPr>
              <w:pStyle w:val="Compact"/>
              <w:jc w:val="left"/>
            </w:pPr>
            <w:r>
              <w:t xml:space="preserve">ISO 27001, SOC 2</w:t>
            </w:r>
          </w:p>
        </w:tc>
        <w:tc>
          <w:tcPr/>
          <w:p>
            <w:pPr>
              <w:pStyle w:val="Compact"/>
              <w:jc w:val="left"/>
            </w:pPr>
            <w:r>
              <w:t xml:space="preserve">🟡 Nicht-EU-Eigentum</w:t>
            </w:r>
          </w:p>
        </w:tc>
        <w:tc>
          <w:tcPr/>
          <w:p>
            <w:pPr>
              <w:pStyle w:val="Compact"/>
              <w:jc w:val="left"/>
            </w:pPr>
            <w:r>
              <w:t xml:space="preserve">Beste DBaaS-Breite (Kafka, OpenSearch, Grafana)</w:t>
            </w:r>
          </w:p>
        </w:tc>
      </w:tr>
      <w:tr>
        <w:tc>
          <w:tcPr/>
          <w:p>
            <w:pPr>
              <w:pStyle w:val="Compact"/>
              <w:jc w:val="left"/>
            </w:pPr>
            <w:r>
              <w:rPr>
                <w:bCs/>
                <w:b/>
              </w:rPr>
              <w:t xml:space="preserve">UpCloud</w:t>
            </w:r>
          </w:p>
        </w:tc>
        <w:tc>
          <w:tcPr/>
          <w:p>
            <w:pPr>
              <w:pStyle w:val="Compact"/>
              <w:jc w:val="left"/>
            </w:pPr>
            <w:r>
              <w:t xml:space="preserve">FI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Developer UX, 15 RZ weltweit</w:t>
            </w:r>
          </w:p>
        </w:tc>
      </w:tr>
      <w:tr>
        <w:tc>
          <w:tcPr/>
          <w:p>
            <w:pPr>
              <w:pStyle w:val="Compact"/>
              <w:jc w:val="left"/>
            </w:pPr>
            <w:r>
              <w:rPr>
                <w:bCs/>
                <w:b/>
              </w:rPr>
              <w:t xml:space="preserve">Infomaniak</w:t>
            </w:r>
          </w:p>
        </w:tc>
        <w:tc>
          <w:tcPr/>
          <w:p>
            <w:pPr>
              <w:pStyle w:val="Compact"/>
              <w:jc w:val="left"/>
            </w:pPr>
            <w:r>
              <w:t xml:space="preserve">CH — privat</w:t>
            </w:r>
          </w:p>
        </w:tc>
        <w:tc>
          <w:tcPr/>
          <w:p>
            <w:pPr>
              <w:pStyle w:val="Compact"/>
              <w:jc w:val="left"/>
            </w:pPr>
            <w:r>
              <w:t xml:space="preserve">Keine</w:t>
            </w:r>
          </w:p>
        </w:tc>
        <w:tc>
          <w:tcPr/>
          <w:p>
            <w:pPr>
              <w:pStyle w:val="Compact"/>
              <w:jc w:val="left"/>
            </w:pPr>
            <w:r>
              <w:t xml:space="preserve">ISO 27001, CH-Recht</w:t>
            </w:r>
          </w:p>
        </w:tc>
        <w:tc>
          <w:tcPr/>
          <w:p>
            <w:pPr>
              <w:pStyle w:val="Compact"/>
              <w:jc w:val="left"/>
            </w:pPr>
            <w:r>
              <w:t xml:space="preserve">🟢 Sauber</w:t>
            </w:r>
          </w:p>
        </w:tc>
        <w:tc>
          <w:tcPr/>
          <w:p>
            <w:pPr>
              <w:pStyle w:val="Compact"/>
              <w:jc w:val="left"/>
            </w:pPr>
            <w:r>
              <w:t xml:space="preserve">Ab 5,84 €/Monat; Schweizer Datenschutz (strenger als DSGVO)</w:t>
            </w:r>
          </w:p>
        </w:tc>
      </w:tr>
      <w:tr>
        <w:tc>
          <w:tcPr/>
          <w:p>
            <w:pPr>
              <w:pStyle w:val="Compact"/>
              <w:jc w:val="left"/>
            </w:pPr>
            <w:r>
              <w:rPr>
                <w:bCs/>
                <w:b/>
              </w:rPr>
              <w:t xml:space="preserve">Aruba Cloud</w:t>
            </w:r>
          </w:p>
        </w:tc>
        <w:tc>
          <w:tcPr/>
          <w:p>
            <w:pPr>
              <w:pStyle w:val="Compact"/>
              <w:jc w:val="left"/>
            </w:pPr>
            <w:r>
              <w:t xml:space="preserve">IT — Aruba SpA</w:t>
            </w:r>
          </w:p>
        </w:tc>
        <w:tc>
          <w:tcPr/>
          <w:p>
            <w:pPr>
              <w:pStyle w:val="Compact"/>
              <w:jc w:val="left"/>
            </w:pPr>
            <w:r>
              <w:t xml:space="preserve">Keine</w:t>
            </w:r>
          </w:p>
        </w:tc>
        <w:tc>
          <w:tcPr/>
          <w:p>
            <w:pPr>
              <w:pStyle w:val="Compact"/>
              <w:jc w:val="left"/>
            </w:pPr>
            <w:r>
              <w:t xml:space="preserve">ISO 27001, AgID</w:t>
            </w:r>
          </w:p>
        </w:tc>
        <w:tc>
          <w:tcPr/>
          <w:p>
            <w:pPr>
              <w:pStyle w:val="Compact"/>
              <w:jc w:val="left"/>
            </w:pPr>
            <w:r>
              <w:t xml:space="preserve">🟢 Sauber</w:t>
            </w:r>
          </w:p>
        </w:tc>
        <w:tc>
          <w:tcPr/>
          <w:p>
            <w:pPr>
              <w:pStyle w:val="Compact"/>
              <w:jc w:val="left"/>
            </w:pPr>
            <w:r>
              <w:t xml:space="preserve">Größter IT-Anbieter, günstig</w:t>
            </w:r>
          </w:p>
        </w:tc>
      </w:tr>
      <w:tr>
        <w:tc>
          <w:tcPr/>
          <w:p>
            <w:pPr>
              <w:pStyle w:val="Compact"/>
              <w:jc w:val="left"/>
            </w:pPr>
            <w:r>
              <w:rPr>
                <w:bCs/>
                <w:b/>
              </w:rPr>
              <w:t xml:space="preserve">ELASTX</w:t>
            </w:r>
          </w:p>
        </w:tc>
        <w:tc>
          <w:tcPr/>
          <w:p>
            <w:pPr>
              <w:pStyle w:val="Compact"/>
              <w:jc w:val="left"/>
            </w:pPr>
            <w:r>
              <w:t xml:space="preserve">SE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OpenStack/Kubernetes, 100% erneuerbar</w:t>
            </w:r>
          </w:p>
        </w:tc>
      </w:tr>
      <w:tr>
        <w:tc>
          <w:tcPr/>
          <w:p>
            <w:pPr>
              <w:pStyle w:val="Compact"/>
              <w:jc w:val="left"/>
            </w:pPr>
            <w:r>
              <w:rPr>
                <w:bCs/>
                <w:b/>
              </w:rPr>
              <w:t xml:space="preserve">Cyso Cloud</w:t>
            </w:r>
          </w:p>
        </w:tc>
        <w:tc>
          <w:tcPr/>
          <w:p>
            <w:pPr>
              <w:pStyle w:val="Compact"/>
              <w:jc w:val="left"/>
            </w:pPr>
            <w:r>
              <w:t xml:space="preserve">NL — privat</w:t>
            </w:r>
          </w:p>
        </w:tc>
        <w:tc>
          <w:tcPr/>
          <w:p>
            <w:pPr>
              <w:pStyle w:val="Compact"/>
              <w:jc w:val="left"/>
            </w:pPr>
            <w:r>
              <w:t xml:space="preserve">Keine</w:t>
            </w:r>
          </w:p>
        </w:tc>
        <w:tc>
          <w:tcPr/>
          <w:p>
            <w:pPr>
              <w:pStyle w:val="Compact"/>
              <w:jc w:val="left"/>
            </w:pPr>
            <w:r>
              <w:t xml:space="preserve">ISO 27001</w:t>
            </w:r>
          </w:p>
        </w:tc>
        <w:tc>
          <w:tcPr/>
          <w:p>
            <w:pPr>
              <w:pStyle w:val="Compact"/>
              <w:jc w:val="left"/>
            </w:pPr>
            <w:r>
              <w:t xml:space="preserve">🟢 Sauber</w:t>
            </w:r>
          </w:p>
        </w:tc>
        <w:tc>
          <w:tcPr/>
          <w:p>
            <w:pPr>
              <w:pStyle w:val="Compact"/>
              <w:jc w:val="left"/>
            </w:pPr>
            <w:r>
              <w:t xml:space="preserve">NL-Workloads, OpenStack</w:t>
            </w:r>
          </w:p>
        </w:tc>
      </w:tr>
    </w:tbl>
    <w:p>
      <w:pPr>
        <w:pStyle w:val="BodyText"/>
      </w:pPr>
      <w:r>
        <w:rPr>
          <w:bCs/>
          <w:b/>
        </w:rPr>
        <w:t xml:space="preserve">Exoscale-Vorbehalt:</w:t>
      </w:r>
      <w:r>
        <w:t xml:space="preserve"> </w:t>
      </w:r>
      <w:r>
        <w:t xml:space="preserve">A1 gehört zu América Móvil (Carlos Slim, Mexiko) — kein direktes US-CLOUD-Act-Risiko, aber nicht-europäische Ultimateigentümerschaft.</w:t>
      </w:r>
    </w:p>
    <w:bookmarkEnd w:id="63"/>
    <w:bookmarkStart w:id="64" w:name="vollständige-zertifizierungsmatrix"/>
    <w:p>
      <w:pPr>
        <w:pStyle w:val="Heading3"/>
      </w:pPr>
      <w:r>
        <w:t xml:space="preserve">5.8 Vollständige Zertifizierungsmatrix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Anbieter</w:t>
            </w:r>
          </w:p>
        </w:tc>
        <w:tc>
          <w:tcPr/>
          <w:p>
            <w:pPr>
              <w:pStyle w:val="Compact"/>
              <w:jc w:val="left"/>
            </w:pPr>
            <w:r>
              <w:t xml:space="preserve">BSI C5</w:t>
            </w:r>
          </w:p>
        </w:tc>
        <w:tc>
          <w:tcPr/>
          <w:p>
            <w:pPr>
              <w:pStyle w:val="Compact"/>
              <w:jc w:val="left"/>
            </w:pPr>
            <w:r>
              <w:t xml:space="preserve">SecNumCloud</w:t>
            </w:r>
          </w:p>
        </w:tc>
        <w:tc>
          <w:tcPr/>
          <w:p>
            <w:pPr>
              <w:pStyle w:val="Compact"/>
              <w:jc w:val="left"/>
            </w:pPr>
            <w:r>
              <w:t xml:space="preserve">ISO 27001</w:t>
            </w:r>
          </w:p>
        </w:tc>
        <w:tc>
          <w:tcPr/>
          <w:p>
            <w:pPr>
              <w:pStyle w:val="Compact"/>
              <w:jc w:val="left"/>
            </w:pPr>
            <w:r>
              <w:t xml:space="preserve">HDS</w:t>
            </w:r>
          </w:p>
        </w:tc>
        <w:tc>
          <w:tcPr/>
          <w:p>
            <w:pPr>
              <w:pStyle w:val="Compact"/>
              <w:jc w:val="left"/>
            </w:pPr>
            <w:r>
              <w:t xml:space="preserve">CLOUD Act</w:t>
            </w:r>
          </w:p>
        </w:tc>
        <w:tc>
          <w:tcPr/>
          <w:p>
            <w:pPr>
              <w:pStyle w:val="Compact"/>
              <w:jc w:val="left"/>
            </w:pPr>
            <w:r>
              <w:t xml:space="preserve">§ 393 SGB V</w:t>
            </w:r>
          </w:p>
        </w:tc>
      </w:tr>
      <w:tr>
        <w:tc>
          <w:tcPr/>
          <w:p>
            <w:pPr>
              <w:pStyle w:val="Compact"/>
              <w:jc w:val="left"/>
            </w:pPr>
            <w:r>
              <w:t xml:space="preserve">Oracle Cerner / OCI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KIS-Migration kritisch prüfen</w:t>
            </w:r>
          </w:p>
        </w:tc>
      </w:tr>
      <w:tr>
        <w:tc>
          <w:tcPr/>
          <w:p>
            <w:pPr>
              <w:pStyle w:val="Compact"/>
              <w:jc w:val="left"/>
            </w:pPr>
            <w:r>
              <w:t xml:space="preserve">Microsoft Azure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AWS Germany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Direkt</w:t>
            </w:r>
          </w:p>
        </w:tc>
        <w:tc>
          <w:tcPr/>
          <w:p>
            <w:pPr>
              <w:pStyle w:val="Compact"/>
              <w:jc w:val="left"/>
            </w:pPr>
            <w:r>
              <w:t xml:space="preserve">❌ Nicht geeignet</w:t>
            </w:r>
          </w:p>
        </w:tc>
      </w:tr>
      <w:tr>
        <w:tc>
          <w:tcPr/>
          <w:p>
            <w:pPr>
              <w:pStyle w:val="Compact"/>
              <w:jc w:val="left"/>
            </w:pPr>
            <w:r>
              <w:t xml:space="preserve">STACKIT</w:t>
            </w:r>
          </w:p>
        </w:tc>
        <w:tc>
          <w:tcPr/>
          <w:p>
            <w:pPr>
              <w:pStyle w:val="Compact"/>
              <w:jc w:val="left"/>
            </w:pPr>
            <w:r>
              <w:t xml:space="preserve">✅ C5 Typ 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Unklar</w:t>
            </w:r>
          </w:p>
        </w:tc>
        <w:tc>
          <w:tcPr/>
          <w:p>
            <w:pPr>
              <w:pStyle w:val="Compact"/>
              <w:jc w:val="left"/>
            </w:pPr>
            <w:r>
              <w:t xml:space="preserve">Gut (Vorbehalt)</w:t>
            </w:r>
          </w:p>
        </w:tc>
      </w:tr>
      <w:tr>
        <w:tc>
          <w:tcPr/>
          <w:p>
            <w:pPr>
              <w:pStyle w:val="Compact"/>
              <w:jc w:val="left"/>
            </w:pPr>
            <w:r>
              <w:t xml:space="preserve">plusserver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Beste DE-Option</w:t>
            </w:r>
          </w:p>
        </w:tc>
      </w:tr>
      <w:tr>
        <w:tc>
          <w:tcPr/>
          <w:p>
            <w:pPr>
              <w:pStyle w:val="Compact"/>
              <w:jc w:val="left"/>
            </w:pPr>
            <w:r>
              <w:t xml:space="preserve">Open Telekom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Konzernhebel (C)</w:t>
            </w:r>
          </w:p>
        </w:tc>
        <w:tc>
          <w:tcPr/>
          <w:p>
            <w:pPr>
              <w:pStyle w:val="Compact"/>
              <w:jc w:val="left"/>
            </w:pPr>
            <w:r>
              <w:t xml:space="preserve">Mit Vorbehalt</w:t>
            </w:r>
          </w:p>
        </w:tc>
      </w:tr>
      <w:tr>
        <w:tc>
          <w:tcPr/>
          <w:p>
            <w:pPr>
              <w:pStyle w:val="Compact"/>
              <w:jc w:val="left"/>
            </w:pPr>
            <w:r>
              <w:t xml:space="preserve">Hetzner (EU-RZ)</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Cloud-LLC</w:t>
            </w:r>
          </w:p>
        </w:tc>
        <w:tc>
          <w:tcPr/>
          <w:p>
            <w:pPr>
              <w:pStyle w:val="Compact"/>
              <w:jc w:val="left"/>
            </w:pPr>
            <w:r>
              <w:t xml:space="preserve">Dev/SMB</w:t>
            </w:r>
          </w:p>
        </w:tc>
      </w:tr>
      <w:tr>
        <w:tc>
          <w:tcPr/>
          <w:p>
            <w:pPr>
              <w:pStyle w:val="Compact"/>
              <w:jc w:val="left"/>
            </w:pPr>
            <w:r>
              <w:t xml:space="preserve">IONOS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BMI-bestätigt (A-ind.)</w:t>
            </w:r>
          </w:p>
        </w:tc>
        <w:tc>
          <w:tcPr/>
          <w:p>
            <w:pPr>
              <w:pStyle w:val="Compact"/>
              <w:jc w:val="left"/>
            </w:pPr>
            <w:r>
              <w:t xml:space="preserve">Prüfung erforderlich</w:t>
            </w:r>
          </w:p>
        </w:tc>
      </w:tr>
      <w:tr>
        <w:tc>
          <w:tcPr/>
          <w:p>
            <w:pPr>
              <w:pStyle w:val="Compact"/>
              <w:jc w:val="left"/>
            </w:pPr>
            <w:r>
              <w:t xml:space="preserve">EWERK Leipzig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Lokal KRITIS</w:t>
            </w:r>
          </w:p>
        </w:tc>
      </w:tr>
      <w:tr>
        <w:tc>
          <w:tcPr/>
          <w:p>
            <w:pPr>
              <w:pStyle w:val="Compact"/>
              <w:jc w:val="left"/>
            </w:pPr>
            <w:r>
              <w:t xml:space="preserve">Delos Cloud</w:t>
            </w:r>
          </w:p>
        </w:tc>
        <w:tc>
          <w:tcPr/>
          <w:p>
            <w:pPr>
              <w:pStyle w:val="Compact"/>
              <w:jc w:val="left"/>
            </w:pPr>
            <w:r>
              <w:t xml:space="preserve">BSI CPR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M365-Org.</w:t>
            </w:r>
          </w:p>
        </w:tc>
      </w:tr>
      <w:tr>
        <w:tc>
          <w:tcPr/>
          <w:p>
            <w:pPr>
              <w:pStyle w:val="Compact"/>
              <w:jc w:val="left"/>
            </w:pPr>
            <w:r>
              <w:t xml:space="preserve">Arvato Systems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Indirekt</w:t>
            </w:r>
          </w:p>
        </w:tc>
        <w:tc>
          <w:tcPr/>
          <w:p>
            <w:pPr>
              <w:pStyle w:val="Compact"/>
              <w:jc w:val="left"/>
            </w:pPr>
            <w:r>
              <w:t xml:space="preserve">US-Software-Risiko</w:t>
            </w:r>
          </w:p>
        </w:tc>
      </w:tr>
      <w:tr>
        <w:tc>
          <w:tcPr/>
          <w:p>
            <w:pPr>
              <w:pStyle w:val="Compact"/>
              <w:jc w:val="left"/>
            </w:pPr>
            <w:r>
              <w:t xml:space="preserve">OVHcloud (SNC)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US Corp.</w:t>
            </w:r>
          </w:p>
        </w:tc>
        <w:tc>
          <w:tcPr/>
          <w:p>
            <w:pPr>
              <w:pStyle w:val="Compact"/>
              <w:jc w:val="left"/>
            </w:pPr>
            <w:r>
              <w:t xml:space="preserve">SNC-Tier</w:t>
            </w:r>
          </w:p>
        </w:tc>
      </w:tr>
      <w:tr>
        <w:tc>
          <w:tcPr/>
          <w:p>
            <w:pPr>
              <w:pStyle w:val="Compact"/>
              <w:jc w:val="left"/>
            </w:pPr>
            <w:r>
              <w:t xml:space="preserve">3DS Outscale</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rPr>
                <w:bCs/>
                <w:b/>
              </w:rPr>
              <w:t xml:space="preserve">Referenz FR Health</w:t>
            </w:r>
          </w:p>
        </w:tc>
      </w:tr>
      <w:tr>
        <w:tc>
          <w:tcPr/>
          <w:p>
            <w:pPr>
              <w:pStyle w:val="Compact"/>
              <w:jc w:val="left"/>
            </w:pPr>
            <w:r>
              <w:t xml:space="preserve">Cloud Temple</w:t>
            </w:r>
          </w:p>
        </w:tc>
        <w:tc>
          <w:tcPr/>
          <w:p>
            <w:pPr>
              <w:pStyle w:val="Compact"/>
              <w:jc w:val="left"/>
            </w:pPr>
            <w:r>
              <w:t xml:space="preserve">—</w:t>
            </w:r>
          </w:p>
        </w:tc>
        <w:tc>
          <w:tcPr/>
          <w:p>
            <w:pPr>
              <w:pStyle w:val="Compact"/>
              <w:jc w:val="left"/>
            </w:pPr>
            <w:r>
              <w:t xml:space="preserve">✅ IaaS+PaaS</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KRITIS</w:t>
            </w:r>
          </w:p>
        </w:tc>
      </w:tr>
      <w:tr>
        <w:tc>
          <w:tcPr/>
          <w:p>
            <w:pPr>
              <w:pStyle w:val="Compact"/>
              <w:jc w:val="left"/>
            </w:pPr>
            <w:r>
              <w:t xml:space="preserve">S3NS</w:t>
            </w:r>
          </w:p>
        </w:tc>
        <w:tc>
          <w:tcPr/>
          <w:p>
            <w:pPr>
              <w:pStyle w:val="Compact"/>
              <w:jc w:val="left"/>
            </w:pPr>
            <w:r>
              <w:t xml:space="preserve">—</w:t>
            </w:r>
          </w:p>
        </w:tc>
        <w:tc>
          <w:tcPr/>
          <w:p>
            <w:pPr>
              <w:pStyle w:val="Compact"/>
              <w:jc w:val="left"/>
            </w:pPr>
            <w:r>
              <w:t xml:space="preserve">✅ 3.2</w:t>
            </w:r>
          </w:p>
        </w:tc>
        <w:tc>
          <w:tcPr/>
          <w:p>
            <w:pPr>
              <w:pStyle w:val="Compact"/>
              <w:jc w:val="left"/>
            </w:pPr>
            <w:r>
              <w:t xml:space="preserve">✅</w:t>
            </w:r>
          </w:p>
        </w:tc>
        <w:tc>
          <w:tcPr/>
          <w:p>
            <w:pPr>
              <w:pStyle w:val="Compact"/>
              <w:jc w:val="left"/>
            </w:pPr>
            <w:r>
              <w:t xml:space="preserve">—</w:t>
            </w:r>
          </w:p>
        </w:tc>
        <w:tc>
          <w:tcPr/>
          <w:p>
            <w:pPr>
              <w:pStyle w:val="Compact"/>
              <w:jc w:val="left"/>
            </w:pPr>
            <w:r>
              <w:t xml:space="preserve">🟡 Operator</w:t>
            </w:r>
          </w:p>
        </w:tc>
        <w:tc>
          <w:tcPr/>
          <w:p>
            <w:pPr>
              <w:pStyle w:val="Compact"/>
              <w:jc w:val="left"/>
            </w:pPr>
            <w:r>
              <w:t xml:space="preserve">Funktionsreich</w:t>
            </w:r>
          </w:p>
        </w:tc>
      </w:tr>
      <w:tr>
        <w:tc>
          <w:tcPr/>
          <w:p>
            <w:pPr>
              <w:pStyle w:val="Compact"/>
              <w:jc w:val="left"/>
            </w:pPr>
            <w:r>
              <w:t xml:space="preserve">Scaleway</w:t>
            </w:r>
          </w:p>
        </w:tc>
        <w:tc>
          <w:tcPr/>
          <w:p>
            <w:pPr>
              <w:pStyle w:val="Compact"/>
              <w:jc w:val="left"/>
            </w:pPr>
            <w:r>
              <w:t xml:space="preserve">—</w:t>
            </w:r>
          </w:p>
        </w:tc>
        <w:tc>
          <w:tcPr/>
          <w:p>
            <w:pPr>
              <w:pStyle w:val="Compact"/>
              <w:jc w:val="left"/>
            </w:pPr>
            <w:r>
              <w:t xml:space="preserve">⚠️ Prüfung</w:t>
            </w:r>
          </w:p>
        </w:tc>
        <w:tc>
          <w:tcPr/>
          <w:p>
            <w:pPr>
              <w:pStyle w:val="Compact"/>
              <w:jc w:val="left"/>
            </w:pPr>
            <w:r>
              <w:t xml:space="preserve">✅</w:t>
            </w:r>
          </w:p>
        </w:tc>
        <w:tc>
          <w:tcPr/>
          <w:p>
            <w:pPr>
              <w:pStyle w:val="Compact"/>
              <w:jc w:val="left"/>
            </w:pPr>
            <w:r>
              <w:t xml:space="preserve">—</w:t>
            </w:r>
          </w:p>
        </w:tc>
        <w:tc>
          <w:tcPr/>
          <w:p>
            <w:pPr>
              <w:pStyle w:val="Compact"/>
              <w:jc w:val="left"/>
            </w:pPr>
            <w:r>
              <w:t xml:space="preserve">🟢 Weitgehend</w:t>
            </w:r>
          </w:p>
        </w:tc>
        <w:tc>
          <w:tcPr/>
          <w:p>
            <w:pPr>
              <w:pStyle w:val="Compact"/>
              <w:jc w:val="left"/>
            </w:pPr>
            <w:r>
              <w:t xml:space="preserve">Dev/KI/GPU</w:t>
            </w:r>
          </w:p>
        </w:tc>
      </w:tr>
      <w:tr>
        <w:tc>
          <w:tcPr/>
          <w:p>
            <w:pPr>
              <w:pStyle w:val="Compact"/>
              <w:jc w:val="left"/>
            </w:pPr>
            <w:r>
              <w:t xml:space="preserve">NumSpot</w:t>
            </w:r>
          </w:p>
        </w:tc>
        <w:tc>
          <w:tcPr/>
          <w:p>
            <w:pPr>
              <w:pStyle w:val="Compact"/>
              <w:jc w:val="left"/>
            </w:pPr>
            <w:r>
              <w:t xml:space="preserve">—</w:t>
            </w:r>
          </w:p>
        </w:tc>
        <w:tc>
          <w:tcPr/>
          <w:p>
            <w:pPr>
              <w:pStyle w:val="Compact"/>
              <w:jc w:val="left"/>
            </w:pPr>
            <w:r>
              <w:t xml:space="preserve">✅ (Outscale)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FR Public Health</w:t>
            </w:r>
          </w:p>
        </w:tc>
      </w:tr>
      <w:tr>
        <w:tc>
          <w:tcPr/>
          <w:p>
            <w:pPr>
              <w:pStyle w:val="Compact"/>
              <w:jc w:val="left"/>
            </w:pPr>
            <w:r>
              <w:t xml:space="preserve">Exoscale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MX-Eigentum</w:t>
            </w:r>
          </w:p>
        </w:tc>
        <w:tc>
          <w:tcPr/>
          <w:p>
            <w:pPr>
              <w:pStyle w:val="Compact"/>
              <w:jc w:val="left"/>
            </w:pPr>
            <w:r>
              <w:t xml:space="preserve">DBaaS-Stärke</w:t>
            </w:r>
          </w:p>
        </w:tc>
      </w:tr>
      <w:tr>
        <w:tc>
          <w:tcPr/>
          <w:p>
            <w:pPr>
              <w:pStyle w:val="Compact"/>
              <w:jc w:val="left"/>
            </w:pPr>
            <w:r>
              <w:t xml:space="preserve">UpCloud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Dev/SMB</w:t>
            </w:r>
          </w:p>
        </w:tc>
      </w:tr>
      <w:tr>
        <w:tc>
          <w:tcPr/>
          <w:p>
            <w:pPr>
              <w:pStyle w:val="Compact"/>
              <w:jc w:val="left"/>
            </w:pPr>
            <w:r>
              <w:t xml:space="preserve">Infomaniak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KMU</w:t>
            </w:r>
          </w:p>
        </w:tc>
      </w:tr>
      <w:tr>
        <w:tc>
          <w:tcPr/>
          <w:p>
            <w:pPr>
              <w:pStyle w:val="Compact"/>
              <w:jc w:val="left"/>
            </w:pPr>
            <w:r>
              <w:t xml:space="preserve">Aruba Cloud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Sauber</w:t>
            </w:r>
          </w:p>
        </w:tc>
        <w:tc>
          <w:tcPr/>
          <w:p>
            <w:pPr>
              <w:pStyle w:val="Compact"/>
              <w:jc w:val="left"/>
            </w:pPr>
            <w:r>
              <w:t xml:space="preserve">IT-Markt</w:t>
            </w:r>
          </w:p>
        </w:tc>
      </w:tr>
    </w:tbl>
    <w:bookmarkEnd w:id="64"/>
    <w:bookmarkStart w:id="65" w:name="empfehlungen-nach-anwendungsfall"/>
    <w:p>
      <w:pPr>
        <w:pStyle w:val="Heading3"/>
      </w:pPr>
      <w:r>
        <w:t xml:space="preserve">5.9 Empfehlungen nach Anwendungsfall</w:t>
      </w:r>
    </w:p>
    <w:p>
      <w:pPr>
        <w:pStyle w:val="BlockText"/>
      </w:pPr>
      <w:r>
        <w:t xml:space="preserve">Vollständige Entscheidungsmatrix mit Workload-Zuordnung, AVV-Klauseln und Migrationsstrategie:</w:t>
      </w:r>
      <w:r>
        <w:t xml:space="preserve"> </w:t>
      </w:r>
      <w:r>
        <w:rPr>
          <w:bCs/>
          <w:b/>
        </w:rPr>
        <w:t xml:space="preserve">Kapitel 17</w:t>
      </w:r>
      <w:r>
        <w:t xml:space="preserve"> </w:t>
      </w:r>
      <w:r>
        <w:t xml:space="preserve">(Handlungsempfehlungen).</w:t>
      </w:r>
    </w:p>
    <w:p>
      <w:pPr>
        <w:pStyle w:val="FirstParagraph"/>
      </w:pPr>
      <w:r>
        <w:rPr>
          <w:bCs/>
          <w:b/>
        </w:rPr>
        <w:t xml:space="preserve">Tier 1 — ePA / KRITIS / § 393 Klasse 1:</w:t>
      </w:r>
      <w:r>
        <w:t xml:space="preserve"> </w:t>
      </w:r>
      <w:r>
        <w:t xml:space="preserve">plusserver · EWERK Leipzig · 3DS Outscale · Cloud Temple</w:t>
      </w:r>
    </w:p>
    <w:p>
      <w:pPr>
        <w:pStyle w:val="BodyText"/>
      </w:pPr>
      <w:r>
        <w:rPr>
          <w:bCs/>
          <w:b/>
        </w:rPr>
        <w:t xml:space="preserve">Tier 2 — Regulierte Enterprise-Workloads / Microsoft-Migration:</w:t>
      </w:r>
      <w:r>
        <w:t xml:space="preserve"> </w:t>
      </w:r>
      <w:r>
        <w:t xml:space="preserve">STACKIT · Open Telekom Cloud (C — Konzernhebel) · Delos Cloud (+15%) · OVHcloud SNC-Tier · Scaleway (GPU/KI)</w:t>
      </w:r>
    </w:p>
    <w:p>
      <w:pPr>
        <w:pStyle w:val="BodyText"/>
      </w:pPr>
      <w:r>
        <w:rPr>
          <w:bCs/>
          <w:b/>
        </w:rPr>
        <w:t xml:space="preserve">Tier 3 — Dev/Test, unkritische Workloads:</w:t>
      </w:r>
      <w:r>
        <w:t xml:space="preserve"> </w:t>
      </w:r>
      <w:r>
        <w:t xml:space="preserve">Hetzner (EU-RZ) · IONOS · Infomaniak</w:t>
      </w:r>
    </w:p>
    <w:p>
      <w:r>
        <w:pict>
          <v:rect style="width:0;height:1.5pt" o:hralign="center" o:hrstd="t" o:hr="t"/>
        </w:pict>
      </w:r>
    </w:p>
    <w:bookmarkEnd w:id="65"/>
    <w:bookmarkEnd w:id="66"/>
    <w:bookmarkStart w:id="73" w:name="X0d02ecc722baeac90ff57a0b987ac02b795e89d"/>
    <w:p>
      <w:pPr>
        <w:pStyle w:val="Heading2"/>
      </w:pPr>
      <w:r>
        <w:t xml:space="preserve">6. Das Operator-Modell: US-Technologie unter EU-Kontrolle</w:t>
      </w:r>
    </w:p>
    <w:bookmarkStart w:id="67" w:name="X13938770337728b34d2b8e89c3da2d70f5b4f8f"/>
    <w:p>
      <w:pPr>
        <w:pStyle w:val="Heading3"/>
      </w:pPr>
      <w:r>
        <w:t xml:space="preserve">6.1 Die Grundidee — und warum sie juristisch funktioniert</w:t>
      </w:r>
    </w:p>
    <w:p>
      <w:pPr>
        <w:pStyle w:val="FirstParagraph"/>
      </w:pPr>
      <w:r>
        <w:t xml:space="preserve">Frankreich hat mit S3NS (Thales × Google Cloud) einen Weg gefunden, der den scheinbaren Widerspruch auflöst:</w:t>
      </w:r>
      <w:r>
        <w:t xml:space="preserve"> </w:t>
      </w:r>
      <w:r>
        <w:t xml:space="preserve">“</w:t>
      </w:r>
      <w:r>
        <w:t xml:space="preserve">Google Cloud kann SecNumCloud nicht erhalten</w:t>
      </w:r>
      <w:r>
        <w:t xml:space="preserve">”</w:t>
      </w:r>
      <w:r>
        <w:t xml:space="preserve"> </w:t>
      </w:r>
      <w:r>
        <w:t xml:space="preserve">— und trotzdem trägt S3NS das Zertifikat.</w:t>
      </w:r>
    </w:p>
    <w:p>
      <w:pPr>
        <w:pStyle w:val="BodyText"/>
      </w:pPr>
      <w:r>
        <w:t xml:space="preserve">Die Auflösung ist juristisch präzise:</w:t>
      </w:r>
      <w:r>
        <w:t xml:space="preserve"> </w:t>
      </w:r>
      <w:r>
        <w:rPr>
          <w:bCs/>
          <w:b/>
        </w:rPr>
        <w:t xml:space="preserve">Google LLC (Mountain View, CA)</w:t>
      </w:r>
      <w:r>
        <w:t xml:space="preserve"> </w:t>
      </w:r>
      <w:r>
        <w:t xml:space="preserve">kann SecNumCloud nie erhalten. Korrekt. Aber</w:t>
      </w:r>
      <w:r>
        <w:t xml:space="preserve"> </w:t>
      </w:r>
      <w:r>
        <w:rPr>
          <w:bCs/>
          <w:b/>
        </w:rPr>
        <w:t xml:space="preserve">S3NS SAS (Paris, Frankreich)</w:t>
      </w:r>
      <w:r>
        <w:t xml:space="preserve"> </w:t>
      </w:r>
      <w:r>
        <w:t xml:space="preserve">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pStyle w:val="BodyText"/>
      </w:pPr>
      <w:r>
        <w:t xml:space="preserve">Das Modell in der Struktur:</w:t>
      </w:r>
    </w:p>
    <w:p>
      <w:pPr>
        <w:pStyle w:val="SourceCode"/>
      </w:pPr>
      <w:r>
        <w:rPr>
          <w:rStyle w:val="VerbatimChar"/>
        </w:rPr>
        <w:t xml:space="preserve">Thales S.A. (Paris, Frankreich, CAC 40)</w:t>
      </w:r>
      <w:r>
        <w:br/>
      </w:r>
      <w:r>
        <w:rPr>
          <w:rStyle w:val="VerbatimChar"/>
        </w:rPr>
        <w:t xml:space="preserve">        ↓ 100% Eigentum + vollständige Kontrolle</w:t>
      </w:r>
      <w:r>
        <w:br/>
      </w:r>
      <w:r>
        <w:rPr>
          <w:rStyle w:val="VerbatimChar"/>
        </w:rPr>
        <w:t xml:space="preserve">    S3NS SAS (Paris, Frankreich)</w:t>
      </w:r>
      <w:r>
        <w:br/>
      </w:r>
      <w:r>
        <w:rPr>
          <w:rStyle w:val="VerbatimChar"/>
        </w:rPr>
        <w:t xml:space="preserve">        ↓ Technologielizenz / API-Zugang</w:t>
      </w:r>
      <w:r>
        <w:br/>
      </w:r>
      <w:r>
        <w:rPr>
          <w:rStyle w:val="VerbatimChar"/>
        </w:rPr>
        <w:t xml:space="preserve">    Google Cloud Technologie (Compute Engine, Cloud Storage etc.)</w:t>
      </w:r>
    </w:p>
    <w:p>
      <w:pPr>
        <w:pStyle w:val="FirstParagraph"/>
      </w:pPr>
      <w:r>
        <w:t xml:space="preserve">ANSSI hat dieses Modell nach einem</w:t>
      </w:r>
      <w:r>
        <w:t xml:space="preserve"> </w:t>
      </w:r>
      <w:r>
        <w:t xml:space="preserve">“</w:t>
      </w:r>
      <w:r>
        <w:t xml:space="preserve">in-depth risk assessment</w:t>
      </w:r>
      <w:r>
        <w:t xml:space="preserve">”</w:t>
      </w:r>
      <w:r>
        <w:t xml:space="preserve"> </w:t>
      </w:r>
      <w:r>
        <w:t xml:space="preserve">als SecNumCloud-3.2-konform anerkannt — inklusive expliziter Validierung der Immunität gegen extraterritoriale Gesetze.</w:t>
      </w:r>
    </w:p>
    <w:bookmarkEnd w:id="67"/>
    <w:bookmarkStart w:id="68" w:name="X5b762fba3c92a617375cd68a6271a5a1c21dbcb"/>
    <w:p>
      <w:pPr>
        <w:pStyle w:val="Heading3"/>
      </w:pPr>
      <w:r>
        <w:t xml:space="preserve">6.2 Die konkreten Schutzmaßnahmen im Operator-Modell</w:t>
      </w:r>
    </w:p>
    <w:p>
      <w:pPr>
        <w:pStyle w:val="FirstParagraph"/>
      </w:pPr>
      <w:r>
        <w:t xml:space="preserve">Was das Modell technisch und organisatorisch absichert: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Anforderung</w:t>
            </w:r>
          </w:p>
        </w:tc>
        <w:tc>
          <w:tcPr/>
          <w:p>
            <w:pPr>
              <w:pStyle w:val="Compact"/>
              <w:jc w:val="left"/>
            </w:pPr>
            <w:r>
              <w:t xml:space="preserve">Umsetzung</w:t>
            </w:r>
          </w:p>
        </w:tc>
      </w:tr>
      <w:tr>
        <w:tc>
          <w:tcPr/>
          <w:p>
            <w:pPr>
              <w:pStyle w:val="Compact"/>
              <w:jc w:val="left"/>
            </w:pPr>
            <w:r>
              <w:t xml:space="preserve">Eigentümer muss EU-Rechtsperson sein</w:t>
            </w:r>
          </w:p>
        </w:tc>
        <w:tc>
          <w:tcPr/>
          <w:p>
            <w:pPr>
              <w:pStyle w:val="Compact"/>
              <w:jc w:val="left"/>
            </w:pPr>
            <w:r>
              <w:t xml:space="preserve">S3NS = 100% Thales-Tochter, französisches Recht</w:t>
            </w:r>
          </w:p>
        </w:tc>
      </w:tr>
      <w:tr>
        <w:tc>
          <w:tcPr/>
          <w:p>
            <w:pPr>
              <w:pStyle w:val="Compact"/>
              <w:jc w:val="left"/>
            </w:pPr>
            <w:r>
              <w:t xml:space="preserve">Kein US-Unternehmen darf Kontrolle haben</w:t>
            </w:r>
          </w:p>
        </w:tc>
        <w:tc>
          <w:tcPr/>
          <w:p>
            <w:pPr>
              <w:pStyle w:val="Compact"/>
              <w:jc w:val="left"/>
            </w:pPr>
            <w:r>
              <w:t xml:space="preserve">Google hat Null Stimmrechte, kein Datenzugang</w:t>
            </w:r>
          </w:p>
        </w:tc>
      </w:tr>
      <w:tr>
        <w:tc>
          <w:tcPr/>
          <w:p>
            <w:pPr>
              <w:pStyle w:val="Compact"/>
              <w:jc w:val="left"/>
            </w:pPr>
            <w:r>
              <w:t xml:space="preserve">Ausschließlich EU-Personal im Betrieb</w:t>
            </w:r>
          </w:p>
        </w:tc>
        <w:tc>
          <w:tcPr/>
          <w:p>
            <w:pPr>
              <w:pStyle w:val="Compact"/>
              <w:jc w:val="left"/>
            </w:pPr>
            <w:r>
              <w:t xml:space="preserve">Nur S3NS-Mitarbeiter (Frankreich)</w:t>
            </w:r>
          </w:p>
        </w:tc>
      </w:tr>
      <w:tr>
        <w:tc>
          <w:tcPr/>
          <w:p>
            <w:pPr>
              <w:pStyle w:val="Compact"/>
              <w:jc w:val="left"/>
            </w:pPr>
            <w:r>
              <w:t xml:space="preserve">Quellcode-Kontrolle</w:t>
            </w:r>
          </w:p>
        </w:tc>
        <w:tc>
          <w:tcPr/>
          <w:p>
            <w:pPr>
              <w:pStyle w:val="Compact"/>
              <w:jc w:val="left"/>
            </w:pPr>
            <w:r>
              <w:t xml:space="preserve">Quarantänezone: alle Google-Updates werden von S3NS analysiert und validiert vor Deployment</w:t>
            </w:r>
          </w:p>
        </w:tc>
      </w:tr>
      <w:tr>
        <w:tc>
          <w:tcPr/>
          <w:p>
            <w:pPr>
              <w:pStyle w:val="Compact"/>
              <w:jc w:val="left"/>
            </w:pPr>
            <w:r>
              <w:t xml:space="preserve">CLOUD-Act-Immunität</w:t>
            </w:r>
          </w:p>
        </w:tc>
        <w:tc>
          <w:tcPr/>
          <w:p>
            <w:pPr>
              <w:pStyle w:val="Compact"/>
              <w:jc w:val="left"/>
            </w:pPr>
            <w:r>
              <w:t xml:space="preserve">Gilt gegen Google LLC, nicht gegen S3NS SAS</w:t>
            </w:r>
          </w:p>
        </w:tc>
      </w:tr>
      <w:tr>
        <w:tc>
          <w:tcPr/>
          <w:p>
            <w:pPr>
              <w:pStyle w:val="Compact"/>
              <w:jc w:val="left"/>
            </w:pPr>
            <w:r>
              <w:t xml:space="preserve">Schlüsselverwaltung</w:t>
            </w:r>
          </w:p>
        </w:tc>
        <w:tc>
          <w:tcPr/>
          <w:p>
            <w:pPr>
              <w:pStyle w:val="Compact"/>
              <w:jc w:val="left"/>
            </w:pPr>
            <w:r>
              <w:t xml:space="preserve">Kundenkontrollierte Schlüssel, nie bei Google</w:t>
            </w:r>
          </w:p>
        </w:tc>
      </w:tr>
    </w:tbl>
    <w:bookmarkEnd w:id="68"/>
    <w:bookmarkStart w:id="69" w:name="X9d611e0511fbbab92a5e028067547276deb01f5"/>
    <w:p>
      <w:pPr>
        <w:pStyle w:val="Heading3"/>
      </w:pPr>
      <w:r>
        <w:t xml:space="preserve">6.3 Das deutsche Pendant — Delos Cloud (SAP × Microsoft Azure)</w:t>
      </w:r>
    </w:p>
    <w:p>
      <w:pPr>
        <w:pStyle w:val="FirstParagraph"/>
      </w:pPr>
      <w:r>
        <w:t xml:space="preserve">Deutschland hat dasselbe Modell entwickelt, allerdings für Microsoft Azure statt Google Cloud, und mit SAP als Operator statt Thales:</w:t>
      </w:r>
    </w:p>
    <w:p>
      <w:pPr>
        <w:pStyle w:val="BodyText"/>
      </w:pPr>
      <w:r>
        <w:rPr>
          <w:bCs/>
          <w:b/>
        </w:rPr>
        <w:t xml:space="preserve">Delos Cloud GmbH</w:t>
      </w:r>
      <w:r>
        <w:t xml:space="preserve"> </w:t>
      </w:r>
      <w:r>
        <w:t xml:space="preserve">ist eine 100%-Tochter der SAP SE (Walldorf, DAX-notiert). Microsoft ist ausschließlich Technologielieferant — kein Eigentümer, kein Betreiber.</w:t>
      </w:r>
    </w:p>
    <w:p>
      <w:pPr>
        <w:pStyle w:val="BodyText"/>
      </w:pPr>
      <w:r>
        <w:t xml:space="preserve">Die Kernanforderungen laut BSI Cloud Platform Requirements, die Delos erfüllt:</w:t>
      </w:r>
      <w:r>
        <w:t xml:space="preserve"> </w:t>
      </w:r>
      <w:r>
        <w:t xml:space="preserve">- Alle Daten der deutschen Verwaltung werden ausschließlich innerhalb Deutschlands verarbeitet</w:t>
      </w:r>
      <w:r>
        <w:t xml:space="preserve"> </w:t>
      </w:r>
      <w:r>
        <w:t xml:space="preserve">- Betrieb durch eine deutsche Betreibergesellschaft mit sicherheitsüberprüftem deutschem Personal</w:t>
      </w:r>
      <w:r>
        <w:t xml:space="preserve"> </w:t>
      </w:r>
      <w:r>
        <w:t xml:space="preserve">- Microsoft selbst kann in der Delos Cloud keinerlei Daten einsehen</w:t>
      </w:r>
      <w:r>
        <w:t xml:space="preserve"> </w:t>
      </w:r>
      <w:r>
        <w:t xml:space="preserve">- Updates werden erst vom BSI geprüft; das Funktionieren der Plattform ist auch bei Ablehnung bestimmter Updates gewährleistet</w:t>
      </w:r>
      <w:r>
        <w:t xml:space="preserve"> </w:t>
      </w:r>
      <w:r>
        <w:t xml:space="preserve">- Delos Cloud GmbH ist Eigentümerin der Infrastruktur, lizenziert und betreibt eigenständig</w:t>
      </w:r>
    </w:p>
    <w:p>
      <w:pPr>
        <w:pStyle w:val="BodyText"/>
      </w:pPr>
      <w:r>
        <w:t xml:space="preserve">Der operative Betrieb erfolgt durch</w:t>
      </w:r>
      <w:r>
        <w:t xml:space="preserve"> </w:t>
      </w:r>
      <w:r>
        <w:rPr>
          <w:bCs/>
          <w:b/>
        </w:rPr>
        <w:t xml:space="preserve">Arvato Systems</w:t>
      </w:r>
      <w:r>
        <w:t xml:space="preserve"> </w:t>
      </w:r>
      <w:r>
        <w:t xml:space="preserve">(Bertelsmann-Tochter) — ein langjähriger Microsoft-Cloud-Partner mit Rechenzentren in Deutschland.</w:t>
      </w:r>
    </w:p>
    <w:p>
      <w:pPr>
        <w:pStyle w:val="BodyText"/>
      </w:pPr>
      <w:r>
        <w:rPr>
          <w:bCs/>
          <w:b/>
        </w:rPr>
        <w:t xml:space="preserve">Preis der Souveränität:</w:t>
      </w:r>
      <w:r>
        <w:t xml:space="preserve"> </w:t>
      </w:r>
      <w:r>
        <w:t xml:space="preserve">Die souveränen Microsoft-Dienste aus der Delos Cloud kosten</w:t>
      </w:r>
      <w:r>
        <w:t xml:space="preserve"> </w:t>
      </w:r>
      <w:r>
        <w:rPr>
          <w:bCs/>
          <w:b/>
        </w:rPr>
        <w:t xml:space="preserve">+15% auf die Microsoft-Listenpreise</w:t>
      </w:r>
      <w:r>
        <w:t xml:space="preserve">. Das ist das messbare Kostenniveau für das Operator-Modell in Deutschland.</w:t>
      </w:r>
    </w:p>
    <w:bookmarkEnd w:id="69"/>
    <w:bookmarkStart w:id="70" w:name="weitere-operator-modelle-in-europa"/>
    <w:p>
      <w:pPr>
        <w:pStyle w:val="Heading3"/>
      </w:pPr>
      <w:r>
        <w:t xml:space="preserve">6.4 Weitere Operator-Modelle in Europa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Operator-Modell</w:t>
            </w:r>
          </w:p>
        </w:tc>
        <w:tc>
          <w:tcPr/>
          <w:p>
            <w:pPr>
              <w:pStyle w:val="Compact"/>
              <w:jc w:val="left"/>
            </w:pPr>
            <w:r>
              <w:t xml:space="preserve">Operator (EU)</w:t>
            </w:r>
          </w:p>
        </w:tc>
        <w:tc>
          <w:tcPr/>
          <w:p>
            <w:pPr>
              <w:pStyle w:val="Compact"/>
              <w:jc w:val="left"/>
            </w:pPr>
            <w:r>
              <w:t xml:space="preserve">US-Technologie</w:t>
            </w:r>
          </w:p>
        </w:tc>
        <w:tc>
          <w:tcPr/>
          <w:p>
            <w:pPr>
              <w:pStyle w:val="Compact"/>
              <w:jc w:val="left"/>
            </w:pPr>
            <w:r>
              <w:t xml:space="preserve">Zertifizierung</w:t>
            </w:r>
          </w:p>
        </w:tc>
        <w:tc>
          <w:tcPr/>
          <w:p>
            <w:pPr>
              <w:pStyle w:val="Compact"/>
              <w:jc w:val="left"/>
            </w:pPr>
            <w:r>
              <w:t xml:space="preserve">Markt</w:t>
            </w:r>
          </w:p>
        </w:tc>
      </w:tr>
      <w:tr>
        <w:tc>
          <w:tcPr/>
          <w:p>
            <w:pPr>
              <w:pStyle w:val="Compact"/>
              <w:jc w:val="left"/>
            </w:pPr>
            <w:r>
              <w:rPr>
                <w:bCs/>
                <w:b/>
              </w:rPr>
              <w:t xml:space="preserve">S3NS PREMI3NS</w:t>
            </w:r>
          </w:p>
        </w:tc>
        <w:tc>
          <w:tcPr/>
          <w:p>
            <w:pPr>
              <w:pStyle w:val="Compact"/>
              <w:jc w:val="left"/>
            </w:pPr>
            <w:r>
              <w:t xml:space="preserve">Thales (FR)</w:t>
            </w:r>
          </w:p>
        </w:tc>
        <w:tc>
          <w:tcPr/>
          <w:p>
            <w:pPr>
              <w:pStyle w:val="Compact"/>
              <w:jc w:val="left"/>
            </w:pPr>
            <w:r>
              <w:t xml:space="preserve">Google Cloud</w:t>
            </w:r>
          </w:p>
        </w:tc>
        <w:tc>
          <w:tcPr/>
          <w:p>
            <w:pPr>
              <w:pStyle w:val="Compact"/>
              <w:jc w:val="left"/>
            </w:pPr>
            <w:r>
              <w:t xml:space="preserve">SecNumCloud 3.2 ✅ (Dez. 2025)</w:t>
            </w:r>
          </w:p>
        </w:tc>
        <w:tc>
          <w:tcPr/>
          <w:p>
            <w:pPr>
              <w:pStyle w:val="Compact"/>
              <w:jc w:val="left"/>
            </w:pPr>
            <w:r>
              <w:t xml:space="preserve">FR public sector, enterprise</w:t>
            </w:r>
          </w:p>
        </w:tc>
      </w:tr>
      <w:tr>
        <w:tc>
          <w:tcPr/>
          <w:p>
            <w:pPr>
              <w:pStyle w:val="Compact"/>
              <w:jc w:val="left"/>
            </w:pPr>
            <w:r>
              <w:rPr>
                <w:bCs/>
                <w:b/>
              </w:rPr>
              <w:t xml:space="preserve">Delos Cloud</w:t>
            </w:r>
          </w:p>
        </w:tc>
        <w:tc>
          <w:tcPr/>
          <w:p>
            <w:pPr>
              <w:pStyle w:val="Compact"/>
              <w:jc w:val="left"/>
            </w:pPr>
            <w:r>
              <w:t xml:space="preserve">SAP SE (DE)</w:t>
            </w:r>
          </w:p>
        </w:tc>
        <w:tc>
          <w:tcPr/>
          <w:p>
            <w:pPr>
              <w:pStyle w:val="Compact"/>
              <w:jc w:val="left"/>
            </w:pPr>
            <w:r>
              <w:t xml:space="preserve">Microsoft Azure</w:t>
            </w:r>
          </w:p>
        </w:tc>
        <w:tc>
          <w:tcPr/>
          <w:p>
            <w:pPr>
              <w:pStyle w:val="Compact"/>
              <w:jc w:val="left"/>
            </w:pPr>
            <w:r>
              <w:t xml:space="preserve">BSI Cloud Platform Requirements</w:t>
            </w:r>
          </w:p>
        </w:tc>
        <w:tc>
          <w:tcPr/>
          <w:p>
            <w:pPr>
              <w:pStyle w:val="Compact"/>
              <w:jc w:val="left"/>
            </w:pPr>
            <w:r>
              <w:t xml:space="preserve">DE Verwaltung, KRITIS</w:t>
            </w:r>
          </w:p>
        </w:tc>
      </w:tr>
      <w:tr>
        <w:tc>
          <w:tcPr/>
          <w:p>
            <w:pPr>
              <w:pStyle w:val="Compact"/>
              <w:jc w:val="left"/>
            </w:pPr>
            <w:r>
              <w:rPr>
                <w:bCs/>
                <w:b/>
              </w:rPr>
              <w:t xml:space="preserve">Bleu</w:t>
            </w:r>
          </w:p>
        </w:tc>
        <w:tc>
          <w:tcPr/>
          <w:p>
            <w:pPr>
              <w:pStyle w:val="Compact"/>
              <w:jc w:val="left"/>
            </w:pPr>
            <w:r>
              <w:t xml:space="preserve">Orange + Capgemini (FR)</w:t>
            </w:r>
          </w:p>
        </w:tc>
        <w:tc>
          <w:tcPr/>
          <w:p>
            <w:pPr>
              <w:pStyle w:val="Compact"/>
              <w:jc w:val="left"/>
            </w:pPr>
            <w:r>
              <w:t xml:space="preserve">Microsoft Azure</w:t>
            </w:r>
          </w:p>
        </w:tc>
        <w:tc>
          <w:tcPr/>
          <w:p>
            <w:pPr>
              <w:pStyle w:val="Compact"/>
              <w:jc w:val="left"/>
            </w:pPr>
            <w:r>
              <w:t xml:space="preserve">SecNumCloud (in Qualifizierung)</w:t>
            </w:r>
          </w:p>
        </w:tc>
        <w:tc>
          <w:tcPr/>
          <w:p>
            <w:pPr>
              <w:pStyle w:val="Compact"/>
              <w:jc w:val="left"/>
            </w:pPr>
            <w:r>
              <w:t xml:space="preserve">FR public sector</w:t>
            </w:r>
          </w:p>
        </w:tc>
      </w:tr>
      <w:tr>
        <w:tc>
          <w:tcPr/>
          <w:p>
            <w:pPr>
              <w:pStyle w:val="Compact"/>
              <w:jc w:val="left"/>
            </w:pPr>
            <w:r>
              <w:rPr>
                <w:bCs/>
                <w:b/>
              </w:rPr>
              <w:t xml:space="preserve">T-Systems × Google</w:t>
            </w:r>
          </w:p>
        </w:tc>
        <w:tc>
          <w:tcPr/>
          <w:p>
            <w:pPr>
              <w:pStyle w:val="Compact"/>
              <w:jc w:val="left"/>
            </w:pPr>
            <w:r>
              <w:t xml:space="preserve">Deutsche Telekom (DE)</w:t>
            </w:r>
          </w:p>
        </w:tc>
        <w:tc>
          <w:tcPr/>
          <w:p>
            <w:pPr>
              <w:pStyle w:val="Compact"/>
              <w:jc w:val="left"/>
            </w:pPr>
            <w:r>
              <w:t xml:space="preserve">Google Cloud</w:t>
            </w:r>
          </w:p>
        </w:tc>
        <w:tc>
          <w:tcPr/>
          <w:p>
            <w:pPr>
              <w:pStyle w:val="Compact"/>
              <w:jc w:val="left"/>
            </w:pPr>
            <w:r>
              <w:t xml:space="preserve">BSI C5, Gaia-X</w:t>
            </w:r>
          </w:p>
        </w:tc>
        <w:tc>
          <w:tcPr/>
          <w:p>
            <w:pPr>
              <w:pStyle w:val="Compact"/>
              <w:jc w:val="left"/>
            </w:pPr>
            <w:r>
              <w:t xml:space="preserve">DE Verwaltung, Gesundheit</w:t>
            </w:r>
          </w:p>
        </w:tc>
      </w:tr>
    </w:tbl>
    <w:bookmarkEnd w:id="70"/>
    <w:bookmarkStart w:id="71" w:name="X84719bc231b3b3de4520ca002215ee9be98ff70"/>
    <w:p>
      <w:pPr>
        <w:pStyle w:val="Heading3"/>
      </w:pPr>
      <w:r>
        <w:t xml:space="preserve">6.5 Kritische Bewertung — was das Modell löst und was nicht</w:t>
      </w:r>
    </w:p>
    <w:p>
      <w:pPr>
        <w:pStyle w:val="FirstParagraph"/>
      </w:pPr>
      <w:r>
        <w:t xml:space="preserve">Das Operator-Modell ist eine pragmatische Brücke zwischen Realitätsprinzip und Souveränitätsziel. Es ist kein Sovereignty-Washing — aber auch keine vollständige Souveränität.</w:t>
      </w:r>
    </w:p>
    <w:p>
      <w:pPr>
        <w:pStyle w:val="BodyText"/>
      </w:pPr>
      <w:r>
        <w:rPr>
          <w:bCs/>
          <w:b/>
        </w:rPr>
        <w:t xml:space="preserve">Was gelöst ist:</w:t>
      </w:r>
    </w:p>
    <w:p>
      <w:pPr>
        <w:numPr>
          <w:ilvl w:val="0"/>
          <w:numId w:val="1008"/>
        </w:numPr>
        <w:pStyle w:val="Compact"/>
      </w:pPr>
      <w:r>
        <w:t xml:space="preserve">US-Behörden können nicht direkt an Microsoft/Google herantreten und Daten aus Delos/S3NS verlangen — der Operator ist eine EU-Rechtsperson ohne US-Jurisdiktion</w:t>
      </w:r>
    </w:p>
    <w:p>
      <w:pPr>
        <w:numPr>
          <w:ilvl w:val="0"/>
          <w:numId w:val="1008"/>
        </w:numPr>
        <w:pStyle w:val="Compact"/>
      </w:pPr>
      <w:r>
        <w:t xml:space="preserve">CLOUD Act trifft Google LLC und Microsoft Corp. — nicht Delos Cloud GmbH oder S3NS SAS</w:t>
      </w:r>
    </w:p>
    <w:p>
      <w:pPr>
        <w:numPr>
          <w:ilvl w:val="0"/>
          <w:numId w:val="1008"/>
        </w:numPr>
        <w:pStyle w:val="Compact"/>
      </w:pPr>
      <w:r>
        <w:t xml:space="preserve">Für Microsoft Office 365 und Azure-abhängige Organisationen, die nicht vollständig migrieren können: eine legitime Compliance-Lösung unter BSI-Aufsicht</w:t>
      </w:r>
    </w:p>
    <w:p>
      <w:pPr>
        <w:numPr>
          <w:ilvl w:val="0"/>
          <w:numId w:val="1008"/>
        </w:numPr>
        <w:pStyle w:val="Compact"/>
      </w:pPr>
      <w:r>
        <w:t xml:space="preserve">VS-NfD-eingestufte Verwaltungsdaten können auf Azure-Technologie verarbeitet werden — das war vorher nicht möglich</w:t>
      </w:r>
    </w:p>
    <w:p>
      <w:pPr>
        <w:pStyle w:val="FirstParagraph"/>
      </w:pPr>
      <w:r>
        <w:rPr>
          <w:bCs/>
          <w:b/>
        </w:rPr>
        <w:t xml:space="preserve">Was strukturell offen bleibt:</w:t>
      </w:r>
    </w:p>
    <w:p>
      <w:pPr>
        <w:numPr>
          <w:ilvl w:val="0"/>
          <w:numId w:val="1009"/>
        </w:numPr>
        <w:pStyle w:val="Compact"/>
      </w:pPr>
      <w:r>
        <w:t xml:space="preserve">Google/Microsoft liefern den Quellcode und die Software-Updates — das ist eine fundamentale Technologieabhängigkeit</w:t>
      </w:r>
    </w:p>
    <w:p>
      <w:pPr>
        <w:numPr>
          <w:ilvl w:val="0"/>
          <w:numId w:val="1009"/>
        </w:numPr>
        <w:pStyle w:val="Compact"/>
      </w:pPr>
      <w:r>
        <w:t xml:space="preserve">Wenn der US-Anbieter die Technologielizenz kündigt, läuft der Operator nicht mehr (strategisches Klumpenrisiko)</w:t>
      </w:r>
    </w:p>
    <w:p>
      <w:pPr>
        <w:numPr>
          <w:ilvl w:val="0"/>
          <w:numId w:val="1009"/>
        </w:numPr>
        <w:pStyle w:val="Compact"/>
      </w:pPr>
      <w:r>
        <w:t xml:space="preserve">Ob ein US-Gericht den Technologielieferanten zwingen könnte, eine Hintertür in einen Update einzubauen, der durch die Quarantänezone geht — juristisch offene Frage, praktisch nicht beobachtet</w:t>
      </w:r>
    </w:p>
    <w:p>
      <w:pPr>
        <w:numPr>
          <w:ilvl w:val="0"/>
          <w:numId w:val="1009"/>
        </w:numPr>
        <w:pStyle w:val="Compact"/>
      </w:pPr>
      <w:r>
        <w:t xml:space="preserve">Die Quarantänezone analysiert Updates auf bekannte Probleme — aber nicht auf theoretisch staatlich aufgezwungene versteckte Hintertüren</w:t>
      </w:r>
    </w:p>
    <w:bookmarkEnd w:id="71"/>
    <w:bookmarkStart w:id="72" w:name="das-souveränitätsspektrum-vier-stufen"/>
    <w:p>
      <w:pPr>
        <w:pStyle w:val="Heading3"/>
      </w:pPr>
      <w:r>
        <w:t xml:space="preserve">6.6 Das Souveränitätsspektrum — vier Stufen</w:t>
      </w:r>
    </w:p>
    <w:p>
      <w:pPr>
        <w:pStyle w:val="SourceCode"/>
      </w:pPr>
      <w:r>
        <w:rPr>
          <w:rStyle w:val="VerbatimChar"/>
        </w:rPr>
        <w:t xml:space="preserve">FULL ISOLATION          OPERATOR MODEL          HYPERSCALER SOVEREIGN    SOVEREIGNTY WASHING</w:t>
      </w:r>
      <w:r>
        <w:br/>
      </w:r>
      <w:r>
        <w:rPr>
          <w:rStyle w:val="VerbatimChar"/>
        </w:rPr>
        <w:t xml:space="preserve">       │                      │                         │                       │</w:t>
      </w:r>
      <w:r>
        <w:br/>
      </w:r>
      <w:r>
        <w:rPr>
          <w:rStyle w:val="VerbatimChar"/>
        </w:rPr>
        <w:t xml:space="preserve">Cloud Temple (FR)         S3NS / Thales           AWS European Sovereign     AWS Frankfurt</w:t>
      </w:r>
      <w:r>
        <w:br/>
      </w:r>
      <w:r>
        <w:rPr>
          <w:rStyle w:val="VerbatimChar"/>
        </w:rPr>
        <w:t xml:space="preserve">3DS Outscale (FR)       Delos Cloud / SAP          Azure EU Boundary         Azure Deutschland</w:t>
      </w:r>
      <w:r>
        <w:br/>
      </w:r>
      <w:r>
        <w:rPr>
          <w:rStyle w:val="VerbatimChar"/>
        </w:rPr>
        <w:t xml:space="preserve">plusserver (DE)       T-Systems × Google           Google Workspace DE        Google Cloud DE</w:t>
      </w:r>
      <w:r>
        <w:br/>
      </w:r>
      <w:r>
        <w:rPr>
          <w:rStyle w:val="VerbatimChar"/>
        </w:rPr>
        <w:t xml:space="preserve">STACKIT (EU-RZ)       Bleu / Orange+Cap.</w:t>
      </w:r>
      <w:r>
        <w:br/>
      </w:r>
      <w:r>
        <w:rPr>
          <w:rStyle w:val="VerbatimChar"/>
        </w:rPr>
        <w:t xml:space="preserve">EWERK Leipzig (DE)</w:t>
      </w:r>
      <w:r>
        <w:br/>
      </w:r>
      <w:r>
        <w:br/>
      </w:r>
      <w:r>
        <w:rPr>
          <w:rStyle w:val="VerbatimChar"/>
        </w:rPr>
        <w:t xml:space="preserve">Eigentümer: EU          Eigentümer: EU           Eigentümer: US            Eigentümer: US</w:t>
      </w:r>
      <w:r>
        <w:br/>
      </w:r>
      <w:r>
        <w:rPr>
          <w:rStyle w:val="VerbatimChar"/>
        </w:rPr>
        <w:t xml:space="preserve">Technologie: EU/OSS     Technologie: US (lizenz)  Technologie: US           Technologie: US</w:t>
      </w:r>
      <w:r>
        <w:br/>
      </w:r>
      <w:r>
        <w:rPr>
          <w:rStyle w:val="VerbatimChar"/>
        </w:rPr>
        <w:t xml:space="preserve">CLOUD Act: kein         CLOUD Act: kein direkter  CLOUD Act: nur            CLOUD Act: direkt</w:t>
      </w:r>
      <w:r>
        <w:br/>
      </w:r>
      <w:r>
        <w:rPr>
          <w:rStyle w:val="VerbatimChar"/>
        </w:rPr>
        <w:t xml:space="preserve">Angriffspunkt           Angriff; Restfrage         Data Residency            angreifbar</w:t>
      </w:r>
    </w:p>
    <w:p>
      <w:pPr>
        <w:pStyle w:val="FirstParagraph"/>
      </w:pPr>
      <w:r>
        <w:t xml:space="preserve">Workload-Zuordnung und vollständige Entscheidungsmatrix: →</w:t>
      </w:r>
      <w:r>
        <w:t xml:space="preserve"> </w:t>
      </w:r>
      <w:r>
        <w:rPr>
          <w:bCs/>
          <w:b/>
        </w:rPr>
        <w:t xml:space="preserve">Kapitel 17</w:t>
      </w:r>
      <w:r>
        <w:t xml:space="preserve"> </w:t>
      </w:r>
      <w:r>
        <w:t xml:space="preserve">(Handlungsempfehlungen).</w:t>
      </w:r>
    </w:p>
    <w:p>
      <w:r>
        <w:pict>
          <v:rect style="width:0;height:1.5pt" o:hralign="center" o:hrstd="t" o:hr="t"/>
        </w:pict>
      </w:r>
    </w:p>
    <w:bookmarkEnd w:id="72"/>
    <w:bookmarkEnd w:id="73"/>
    <w:bookmarkStart w:id="91" w:name="X920d15c91dcf17b182252ea6d68568db8bff5ea"/>
    <w:p>
      <w:pPr>
        <w:pStyle w:val="Heading2"/>
      </w:pPr>
      <w:r>
        <w:t xml:space="preserve">7. Das Hyperscaling-Problem: Wer kann tatsächlich skalieren?</w:t>
      </w:r>
    </w:p>
    <w:bookmarkStart w:id="74" w:name="was-hyperscaling-wirklich-bedeutet"/>
    <w:p>
      <w:pPr>
        <w:pStyle w:val="Heading3"/>
      </w:pPr>
      <w:r>
        <w:t xml:space="preserve">7.1 Was Hyperscaling wirklich bedeutet</w:t>
      </w:r>
    </w:p>
    <w:p>
      <w:pPr>
        <w:pStyle w:val="FirstParagraph"/>
      </w:pPr>
      <w:r>
        <w:t xml:space="preserve">Echtes Hyperscaling hat drei Dimensionen:</w:t>
      </w:r>
    </w:p>
    <w:p>
      <w:pPr>
        <w:numPr>
          <w:ilvl w:val="0"/>
          <w:numId w:val="1010"/>
        </w:numPr>
        <w:pStyle w:val="Compact"/>
      </w:pPr>
      <w:r>
        <w:rPr>
          <w:bCs/>
          <w:b/>
        </w:rPr>
        <w:t xml:space="preserve">Rohkapazität:</w:t>
      </w:r>
      <w:r>
        <w:t xml:space="preserve"> </w:t>
      </w:r>
      <w:r>
        <w:t xml:space="preserve">Millionen von Servern, globale Verfügbarkeit innerhalb von Sekunden auf Abruf</w:t>
      </w:r>
    </w:p>
    <w:p>
      <w:pPr>
        <w:numPr>
          <w:ilvl w:val="0"/>
          <w:numId w:val="1010"/>
        </w:numPr>
        <w:pStyle w:val="Compact"/>
      </w:pPr>
      <w:r>
        <w:rPr>
          <w:bCs/>
          <w:b/>
        </w:rPr>
        <w:t xml:space="preserve">Service-Breite:</w:t>
      </w:r>
      <w:r>
        <w:t xml:space="preserve"> </w:t>
      </w:r>
      <w:r>
        <w:t xml:space="preserve">Nicht nur Compute/Storage, sondern hunderte spezialisierte Managed Services von KI bis IoT</w:t>
      </w:r>
    </w:p>
    <w:p>
      <w:pPr>
        <w:numPr>
          <w:ilvl w:val="0"/>
          <w:numId w:val="1010"/>
        </w:numPr>
        <w:pStyle w:val="Compact"/>
      </w:pPr>
      <w:r>
        <w:rPr>
          <w:bCs/>
          <w:b/>
        </w:rPr>
        <w:t xml:space="preserve">Economies of Scale:</w:t>
      </w:r>
      <w:r>
        <w:t xml:space="preserve"> </w:t>
      </w:r>
      <w:r>
        <w:t xml:space="preserve">Hardwareeinkauf in Milliardenvolumen drückt Preise auf ein Niveau, das kein kleinerer Anbieter erreicht</w:t>
      </w:r>
    </w:p>
    <w:bookmarkEnd w:id="74"/>
    <w:bookmarkStart w:id="75" w:name="die-kapazitätslücke-ehrliche-zahlen"/>
    <w:p>
      <w:pPr>
        <w:pStyle w:val="Heading3"/>
      </w:pPr>
      <w:r>
        <w:t xml:space="preserve">7.2 Die Kapazitätslücke — ehrliche Zahlen</w:t>
      </w:r>
    </w:p>
    <w:p>
      <w:pPr>
        <w:pStyle w:val="FirstParagraph"/>
      </w:pPr>
      <w:r>
        <w:rPr>
          <w:bCs/>
          <w:b/>
        </w:rPr>
        <w:t xml:space="preserve">Hinweis zur Methodik:</w:t>
      </w:r>
      <w:r>
        <w:t xml:space="preserve"> </w:t>
      </w:r>
      <w:r>
        <w:t xml:space="preserve">Physische Serverzahlen werden von Hyperscalern nicht veröffentlicht — alle Zahlen in der Spalte</w:t>
      </w:r>
      <w:r>
        <w:t xml:space="preserve"> </w:t>
      </w:r>
      <w:r>
        <w:t xml:space="preserve">“</w:t>
      </w:r>
      <w:r>
        <w:t xml:space="preserve">GPU (H100-Äquivalente)</w:t>
      </w:r>
      <w:r>
        <w:t xml:space="preserve">”</w:t>
      </w:r>
      <w:r>
        <w:t xml:space="preserve"> </w:t>
      </w:r>
      <w:r>
        <w:t xml:space="preserve">sind Schätzungen auf Basis von Nvidia-Umsatzdaten, Unternehmensangaben und unabhängigen Analysen (Epoch AI, LessWrong Research, Nov. 2024). Die GPU-Spalte ist für die KI-Bewertung relevanter als Serverzahlen, da GPUs die KI-Trainingsfähigkeit bestimmen.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RZ-Regionen / Standorte</w:t>
            </w:r>
          </w:p>
        </w:tc>
        <w:tc>
          <w:tcPr/>
          <w:p>
            <w:pPr>
              <w:pStyle w:val="Compact"/>
              <w:jc w:val="left"/>
            </w:pPr>
            <w:r>
              <w:t xml:space="preserve">Server (phys., geschätzt)</w:t>
            </w:r>
          </w:p>
        </w:tc>
        <w:tc>
          <w:tcPr/>
          <w:p>
            <w:pPr>
              <w:pStyle w:val="Compact"/>
              <w:jc w:val="left"/>
            </w:pPr>
            <w:r>
              <w:t xml:space="preserve">GPU (H100-Äquivalente, EOY 2024)</w:t>
            </w:r>
          </w:p>
        </w:tc>
        <w:tc>
          <w:tcPr/>
          <w:p>
            <w:pPr>
              <w:pStyle w:val="Compact"/>
              <w:jc w:val="left"/>
            </w:pPr>
            <w:r>
              <w:t xml:space="preserve">Investitionsvolumen</w:t>
            </w:r>
          </w:p>
        </w:tc>
        <w:tc>
          <w:tcPr/>
          <w:p>
            <w:pPr>
              <w:pStyle w:val="Compact"/>
              <w:jc w:val="left"/>
            </w:pPr>
            <w:r>
              <w:t xml:space="preserve">Services</w:t>
            </w:r>
          </w:p>
        </w:tc>
      </w:tr>
      <w:tr>
        <w:tc>
          <w:tcPr/>
          <w:p>
            <w:pPr>
              <w:pStyle w:val="Compact"/>
              <w:jc w:val="left"/>
            </w:pPr>
            <w:r>
              <w:rPr>
                <w:bCs/>
                <w:b/>
              </w:rPr>
              <w:t xml:space="preserve">AWS</w:t>
            </w:r>
          </w:p>
        </w:tc>
        <w:tc>
          <w:tcPr/>
          <w:p>
            <w:pPr>
              <w:pStyle w:val="Compact"/>
              <w:jc w:val="left"/>
            </w:pPr>
            <w:r>
              <w:t xml:space="preserve">38 Regionen, 121 AZs</w:t>
            </w:r>
          </w:p>
        </w:tc>
        <w:tc>
          <w:tcPr/>
          <w:p>
            <w:pPr>
              <w:pStyle w:val="Compact"/>
              <w:jc w:val="left"/>
            </w:pPr>
            <w:r>
              <w:t xml:space="preserve">~3,5 Mio.</w:t>
            </w:r>
          </w:p>
        </w:tc>
        <w:tc>
          <w:tcPr/>
          <w:p>
            <w:pPr>
              <w:pStyle w:val="Compact"/>
              <w:jc w:val="left"/>
            </w:pPr>
            <w:r>
              <w:rPr>
                <w:bCs/>
                <w:b/>
              </w:rPr>
              <w:t xml:space="preserve">~400.000–600.000</w:t>
            </w:r>
            <w:r>
              <w:t xml:space="preserve"> </w:t>
            </w:r>
            <w:r>
              <w:t xml:space="preserve">(H100-Äq.)</w:t>
            </w:r>
          </w:p>
        </w:tc>
        <w:tc>
          <w:tcPr/>
          <w:p>
            <w:pPr>
              <w:pStyle w:val="Compact"/>
              <w:jc w:val="left"/>
            </w:pPr>
            <w:r>
              <w:t xml:space="preserve">7,8 Mrd. USD allein DE</w:t>
            </w:r>
          </w:p>
        </w:tc>
        <w:tc>
          <w:tcPr/>
          <w:p>
            <w:pPr>
              <w:pStyle w:val="Compact"/>
              <w:jc w:val="left"/>
            </w:pPr>
            <w:r>
              <w:t xml:space="preserve">~250 Services</w:t>
            </w:r>
          </w:p>
        </w:tc>
      </w:tr>
      <w:tr>
        <w:tc>
          <w:tcPr/>
          <w:p>
            <w:pPr>
              <w:pStyle w:val="Compact"/>
              <w:jc w:val="left"/>
            </w:pPr>
            <w:r>
              <w:rPr>
                <w:bCs/>
                <w:b/>
              </w:rPr>
              <w:t xml:space="preserve">Microsoft Azure</w:t>
            </w:r>
          </w:p>
        </w:tc>
        <w:tc>
          <w:tcPr/>
          <w:p>
            <w:pPr>
              <w:pStyle w:val="Compact"/>
              <w:jc w:val="left"/>
            </w:pPr>
            <w:r>
              <w:t xml:space="preserve">60+ Regionen</w:t>
            </w:r>
          </w:p>
        </w:tc>
        <w:tc>
          <w:tcPr/>
          <w:p>
            <w:pPr>
              <w:pStyle w:val="Compact"/>
              <w:jc w:val="left"/>
            </w:pPr>
            <w:r>
              <w:t xml:space="preserve">~3 Mio.</w:t>
            </w:r>
          </w:p>
        </w:tc>
        <w:tc>
          <w:tcPr/>
          <w:p>
            <w:pPr>
              <w:pStyle w:val="Compact"/>
              <w:jc w:val="left"/>
            </w:pPr>
            <w:r>
              <w:rPr>
                <w:bCs/>
                <w:b/>
              </w:rPr>
              <w:t xml:space="preserve">~500.000</w:t>
            </w:r>
            <w:r>
              <w:t xml:space="preserve"> </w:t>
            </w:r>
            <w:r>
              <w:t xml:space="preserve">(H100-Äq., größte NVIDIA-Flotte)</w:t>
            </w:r>
          </w:p>
        </w:tc>
        <w:tc>
          <w:tcPr/>
          <w:p>
            <w:pPr>
              <w:pStyle w:val="Compact"/>
              <w:jc w:val="left"/>
            </w:pPr>
            <w:r>
              <w:t xml:space="preserve">~100 Mrd. USD/Jahr</w:t>
            </w:r>
          </w:p>
        </w:tc>
        <w:tc>
          <w:tcPr/>
          <w:p>
            <w:pPr>
              <w:pStyle w:val="Compact"/>
              <w:jc w:val="left"/>
            </w:pPr>
            <w:r>
              <w:t xml:space="preserve">~200 Services</w:t>
            </w:r>
          </w:p>
        </w:tc>
      </w:tr>
      <w:tr>
        <w:tc>
          <w:tcPr/>
          <w:p>
            <w:pPr>
              <w:pStyle w:val="Compact"/>
              <w:jc w:val="left"/>
            </w:pPr>
            <w:r>
              <w:rPr>
                <w:bCs/>
                <w:b/>
              </w:rPr>
              <w:t xml:space="preserve">Google Cloud</w:t>
            </w:r>
          </w:p>
        </w:tc>
        <w:tc>
          <w:tcPr/>
          <w:p>
            <w:pPr>
              <w:pStyle w:val="Compact"/>
              <w:jc w:val="left"/>
            </w:pPr>
            <w:r>
              <w:t xml:space="preserve">42 Regionen</w:t>
            </w:r>
          </w:p>
        </w:tc>
        <w:tc>
          <w:tcPr/>
          <w:p>
            <w:pPr>
              <w:pStyle w:val="Compact"/>
              <w:jc w:val="left"/>
            </w:pPr>
            <w:r>
              <w:t xml:space="preserve">~1,5 Mio.</w:t>
            </w:r>
          </w:p>
        </w:tc>
        <w:tc>
          <w:tcPr/>
          <w:p>
            <w:pPr>
              <w:pStyle w:val="Compact"/>
              <w:jc w:val="left"/>
            </w:pPr>
            <w:r>
              <w:rPr>
                <w:bCs/>
                <w:b/>
              </w:rPr>
              <w:t xml:space="preserve">&gt;1 Mio.</w:t>
            </w:r>
            <w:r>
              <w:t xml:space="preserve"> </w:t>
            </w:r>
            <w:r>
              <w:t xml:space="preserve">(H100-Äq. inkl. TPUs; davon ~300.000 NVIDIA H100)</w:t>
            </w:r>
          </w:p>
        </w:tc>
        <w:tc>
          <w:tcPr/>
          <w:p>
            <w:pPr>
              <w:pStyle w:val="Compact"/>
              <w:jc w:val="left"/>
            </w:pPr>
            <w:r>
              <w:t xml:space="preserve">—</w:t>
            </w:r>
          </w:p>
        </w:tc>
        <w:tc>
          <w:tcPr/>
          <w:p>
            <w:pPr>
              <w:pStyle w:val="Compact"/>
              <w:jc w:val="left"/>
            </w:pPr>
            <w:r>
              <w:t xml:space="preserve">~150 Services</w:t>
            </w:r>
          </w:p>
        </w:tc>
      </w:tr>
      <w:tr>
        <w:tc>
          <w:tcPr/>
          <w:p>
            <w:pPr>
              <w:pStyle w:val="Compact"/>
              <w:jc w:val="left"/>
            </w:pPr>
            <w:r>
              <w:rPr>
                <w:bCs/>
                <w:b/>
              </w:rPr>
              <w:t xml:space="preserve">Meta</w:t>
            </w:r>
            <w:r>
              <w:t xml:space="preserve"> </w:t>
            </w:r>
            <w:r>
              <w:rPr>
                <w:iCs/>
                <w:i/>
              </w:rPr>
              <w:t xml:space="preserve">(kein Cloud-Anbieter)</w:t>
            </w:r>
          </w:p>
        </w:tc>
        <w:tc>
          <w:tcPr/>
          <w:p>
            <w:pPr>
              <w:pStyle w:val="Compact"/>
              <w:jc w:val="left"/>
            </w:pPr>
            <w:r>
              <w:t xml:space="preserve">Eigene RZ (USA)</w:t>
            </w:r>
          </w:p>
        </w:tc>
        <w:tc>
          <w:tcPr/>
          <w:p>
            <w:pPr>
              <w:pStyle w:val="Compact"/>
              <w:jc w:val="left"/>
            </w:pPr>
            <w:r>
              <w:t xml:space="preserve">k.A.</w:t>
            </w:r>
          </w:p>
        </w:tc>
        <w:tc>
          <w:tcPr/>
          <w:p>
            <w:pPr>
              <w:pStyle w:val="Compact"/>
              <w:jc w:val="left"/>
            </w:pPr>
            <w:r>
              <w:rPr>
                <w:bCs/>
                <w:b/>
              </w:rPr>
              <w:t xml:space="preserve">~600.000</w:t>
            </w:r>
            <w:r>
              <w:t xml:space="preserve"> </w:t>
            </w:r>
            <w:r>
              <w:t xml:space="preserve">H100-Äq. (EOY 2024, Zuckerberg bestätigt)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xAI / Colossus</w:t>
            </w:r>
            <w:r>
              <w:t xml:space="preserve"> </w:t>
            </w:r>
            <w:r>
              <w:rPr>
                <w:iCs/>
                <w:i/>
              </w:rPr>
              <w:t xml:space="preserve">(kein Cloud)</w:t>
            </w:r>
          </w:p>
        </w:tc>
        <w:tc>
          <w:tcPr/>
          <w:p>
            <w:pPr>
              <w:pStyle w:val="Compact"/>
              <w:jc w:val="left"/>
            </w:pPr>
            <w:r>
              <w:t xml:space="preserve">Memphis, Tennessee</w:t>
            </w:r>
          </w:p>
        </w:tc>
        <w:tc>
          <w:tcPr/>
          <w:p>
            <w:pPr>
              <w:pStyle w:val="Compact"/>
              <w:jc w:val="left"/>
            </w:pPr>
            <w:r>
              <w:t xml:space="preserve">—</w:t>
            </w:r>
          </w:p>
        </w:tc>
        <w:tc>
          <w:tcPr/>
          <w:p>
            <w:pPr>
              <w:pStyle w:val="Compact"/>
              <w:jc w:val="left"/>
            </w:pPr>
            <w:r>
              <w:rPr>
                <w:bCs/>
                <w:b/>
              </w:rPr>
              <w:t xml:space="preserve">100.000 H100</w:t>
            </w:r>
            <w:r>
              <w:t xml:space="preserve"> </w:t>
            </w:r>
            <w:r>
              <w:t xml:space="preserve">(Cluster 1); Ziel 200.000 H200</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Alibaba Cloud</w:t>
            </w:r>
          </w:p>
        </w:tc>
        <w:tc>
          <w:tcPr/>
          <w:p>
            <w:pPr>
              <w:pStyle w:val="Compact"/>
              <w:jc w:val="left"/>
            </w:pPr>
            <w:r>
              <w:t xml:space="preserve">36 Regionen</w:t>
            </w:r>
          </w:p>
        </w:tc>
        <w:tc>
          <w:tcPr/>
          <w:p>
            <w:pPr>
              <w:pStyle w:val="Compact"/>
              <w:jc w:val="left"/>
            </w:pPr>
            <w:r>
              <w:t xml:space="preserve">~1 Mio.</w:t>
            </w:r>
          </w:p>
        </w:tc>
        <w:tc>
          <w:tcPr/>
          <w:p>
            <w:pPr>
              <w:pStyle w:val="Compact"/>
              <w:jc w:val="left"/>
            </w:pPr>
            <w:r>
              <w:t xml:space="preserve">~100.000–200.000 (H100-Äq., Schätzung)</w:t>
            </w:r>
          </w:p>
        </w:tc>
        <w:tc>
          <w:tcPr/>
          <w:p>
            <w:pPr>
              <w:pStyle w:val="Compact"/>
              <w:jc w:val="left"/>
            </w:pPr>
            <w:r>
              <w:t xml:space="preserve">—</w:t>
            </w:r>
          </w:p>
        </w:tc>
        <w:tc>
          <w:tcPr/>
          <w:p>
            <w:pPr>
              <w:pStyle w:val="Compact"/>
              <w:jc w:val="left"/>
            </w:pPr>
            <w:r>
              <w:t xml:space="preserve">~100 Services</w:t>
            </w:r>
          </w:p>
        </w:tc>
      </w:tr>
      <w:tr>
        <w:tc>
          <w:tcPr/>
          <w:p>
            <w:pPr>
              <w:pStyle w:val="Compact"/>
              <w:jc w:val="left"/>
            </w:pPr>
            <w:r>
              <w:rPr>
                <w:bCs/>
                <w:b/>
              </w:rPr>
              <w:t xml:space="preserve">OVHcloud</w:t>
            </w:r>
          </w:p>
        </w:tc>
        <w:tc>
          <w:tcPr/>
          <w:p>
            <w:pPr>
              <w:pStyle w:val="Compact"/>
              <w:jc w:val="left"/>
            </w:pPr>
            <w:r>
              <w:t xml:space="preserve">4 EU-Regionen, 43 RZ</w:t>
            </w:r>
          </w:p>
        </w:tc>
        <w:tc>
          <w:tcPr/>
          <w:p>
            <w:pPr>
              <w:pStyle w:val="Compact"/>
              <w:jc w:val="left"/>
            </w:pPr>
            <w:r>
              <w:t xml:space="preserve">~350.000</w:t>
            </w:r>
          </w:p>
        </w:tc>
        <w:tc>
          <w:tcPr/>
          <w:p>
            <w:pPr>
              <w:pStyle w:val="Compact"/>
              <w:jc w:val="left"/>
            </w:pPr>
            <w:r>
              <w:t xml:space="preserve">k.A. (limitiert, keine GPU-Fokus-Strategie)</w:t>
            </w:r>
          </w:p>
        </w:tc>
        <w:tc>
          <w:tcPr/>
          <w:p>
            <w:pPr>
              <w:pStyle w:val="Compact"/>
              <w:jc w:val="left"/>
            </w:pPr>
            <w:r>
              <w:t xml:space="preserve">—</w:t>
            </w:r>
          </w:p>
        </w:tc>
        <w:tc>
          <w:tcPr/>
          <w:p>
            <w:pPr>
              <w:pStyle w:val="Compact"/>
              <w:jc w:val="left"/>
            </w:pPr>
            <w:r>
              <w:t xml:space="preserve">~50 Services</w:t>
            </w:r>
          </w:p>
        </w:tc>
      </w:tr>
      <w:tr>
        <w:tc>
          <w:tcPr/>
          <w:p>
            <w:pPr>
              <w:pStyle w:val="Compact"/>
              <w:jc w:val="left"/>
            </w:pPr>
            <w:r>
              <w:rPr>
                <w:bCs/>
                <w:b/>
              </w:rPr>
              <w:t xml:space="preserve">Open Telekom Cloud (T-Systems)</w:t>
            </w:r>
          </w:p>
        </w:tc>
        <w:tc>
          <w:tcPr/>
          <w:p>
            <w:pPr>
              <w:pStyle w:val="Compact"/>
              <w:jc w:val="left"/>
            </w:pPr>
            <w:r>
              <w:t xml:space="preserve">2 Regionen (DE+NL), 4 RZ</w:t>
            </w:r>
          </w:p>
        </w:tc>
        <w:tc>
          <w:tcPr/>
          <w:p>
            <w:pPr>
              <w:pStyle w:val="Compact"/>
              <w:jc w:val="left"/>
            </w:pPr>
            <w:r>
              <w:rPr>
                <w:bCs/>
                <w:b/>
              </w:rPr>
              <w:t xml:space="preserve">~100.000</w:t>
            </w:r>
            <w:r>
              <w:t xml:space="preserve"> </w:t>
            </w:r>
            <w:r>
              <w:t xml:space="preserve">(Biere allein); 640.000 VMs</w:t>
            </w:r>
          </w:p>
        </w:tc>
        <w:tc>
          <w:tcPr/>
          <w:p>
            <w:pPr>
              <w:pStyle w:val="Compact"/>
              <w:jc w:val="left"/>
            </w:pPr>
            <w:r>
              <w:t xml:space="preserve">k.A. öffentlich (kein GPU-First-Anbieter)</w:t>
            </w:r>
          </w:p>
        </w:tc>
        <w:tc>
          <w:tcPr/>
          <w:p>
            <w:pPr>
              <w:pStyle w:val="Compact"/>
              <w:jc w:val="left"/>
            </w:pPr>
            <w:r>
              <w:t xml:space="preserve">—</w:t>
            </w:r>
          </w:p>
        </w:tc>
        <w:tc>
          <w:tcPr/>
          <w:p>
            <w:pPr>
              <w:pStyle w:val="Compact"/>
              <w:jc w:val="left"/>
            </w:pPr>
            <w:r>
              <w:t xml:space="preserve">~80 Services</w:t>
            </w:r>
          </w:p>
        </w:tc>
      </w:tr>
      <w:tr>
        <w:tc>
          <w:tcPr/>
          <w:p>
            <w:pPr>
              <w:pStyle w:val="Compact"/>
              <w:jc w:val="left"/>
            </w:pPr>
            <w:r>
              <w:rPr>
                <w:bCs/>
                <w:b/>
              </w:rPr>
              <w:t xml:space="preserve">STACKIT</w:t>
            </w:r>
          </w:p>
        </w:tc>
        <w:tc>
          <w:tcPr/>
          <w:p>
            <w:pPr>
              <w:pStyle w:val="Compact"/>
              <w:jc w:val="left"/>
            </w:pPr>
            <w:r>
              <w:t xml:space="preserve">4 operative RZ (DE+AT), Lübbenau ab 2027</w:t>
            </w:r>
          </w:p>
        </w:tc>
        <w:tc>
          <w:tcPr/>
          <w:p>
            <w:pPr>
              <w:pStyle w:val="Compact"/>
              <w:jc w:val="left"/>
            </w:pPr>
            <w:r>
              <w:t xml:space="preserve">Heute: ~15.000–25.000 (Schätzung) · Lübbenau ab 2027:</w:t>
            </w:r>
            <w:r>
              <w:t xml:space="preserve"> </w:t>
            </w:r>
            <w:r>
              <w:rPr>
                <w:bCs/>
                <w:b/>
              </w:rPr>
              <w:t xml:space="preserve">bis zu 100.000 GPUs</w:t>
            </w:r>
            <w:r>
              <w:t xml:space="preserve">, 200 MW — Ausbau der Schwarz-Gruppe-Rechenleistung auf das</w:t>
            </w:r>
            <w:r>
              <w:t xml:space="preserve"> </w:t>
            </w:r>
            <w:r>
              <w:rPr>
                <w:bCs/>
                <w:b/>
              </w:rPr>
              <w:t xml:space="preserve">7-fache</w:t>
            </w:r>
          </w:p>
        </w:tc>
        <w:tc>
          <w:tcPr/>
          <w:p>
            <w:pPr>
              <w:pStyle w:val="Compact"/>
              <w:jc w:val="left"/>
            </w:pPr>
            <w:r>
              <w:t xml:space="preserve">Heute: k.A. ·</w:t>
            </w:r>
            <w:r>
              <w:t xml:space="preserve"> </w:t>
            </w:r>
            <w:r>
              <w:rPr>
                <w:bCs/>
                <w:b/>
              </w:rPr>
              <w:t xml:space="preserve">Ab 2027: bis zu 100.000 GPUs</w:t>
            </w:r>
          </w:p>
        </w:tc>
        <w:tc>
          <w:tcPr/>
          <w:p>
            <w:pPr>
              <w:pStyle w:val="Compact"/>
              <w:jc w:val="left"/>
            </w:pPr>
            <w:r>
              <w:rPr>
                <w:bCs/>
                <w:b/>
              </w:rPr>
              <w:t xml:space="preserve">11 Mrd. EUR</w:t>
            </w:r>
            <w:r>
              <w:t xml:space="preserve"> </w:t>
            </w:r>
            <w:r>
              <w:t xml:space="preserve">bis 2027</w:t>
            </w:r>
          </w:p>
        </w:tc>
        <w:tc>
          <w:tcPr/>
          <w:p>
            <w:pPr>
              <w:pStyle w:val="Compact"/>
              <w:jc w:val="left"/>
            </w:pPr>
            <w:r>
              <w:t xml:space="preserve">~40–60 Services</w:t>
            </w:r>
          </w:p>
        </w:tc>
      </w:tr>
      <w:tr>
        <w:tc>
          <w:tcPr/>
          <w:p>
            <w:pPr>
              <w:pStyle w:val="Compact"/>
              <w:jc w:val="left"/>
            </w:pPr>
            <w:r>
              <w:rPr>
                <w:bCs/>
                <w:b/>
              </w:rPr>
              <w:t xml:space="preserve">Hetzner</w:t>
            </w:r>
          </w:p>
        </w:tc>
        <w:tc>
          <w:tcPr/>
          <w:p>
            <w:pPr>
              <w:pStyle w:val="Compact"/>
              <w:jc w:val="left"/>
            </w:pPr>
            <w:r>
              <w:t xml:space="preserve">5 Standorte (DE/FI/US)</w:t>
            </w:r>
          </w:p>
        </w:tc>
        <w:tc>
          <w:tcPr/>
          <w:p>
            <w:pPr>
              <w:pStyle w:val="Compact"/>
              <w:jc w:val="left"/>
            </w:pPr>
            <w:r>
              <w:t xml:space="preserve">~100.000</w:t>
            </w:r>
          </w:p>
        </w:tc>
        <w:tc>
          <w:tcPr/>
          <w:p>
            <w:pPr>
              <w:pStyle w:val="Compact"/>
              <w:jc w:val="left"/>
            </w:pPr>
            <w:r>
              <w:t xml:space="preserve">k.A. (RTX-Pro-6000-Angebot, kein H100-Training)</w:t>
            </w:r>
          </w:p>
        </w:tc>
        <w:tc>
          <w:tcPr/>
          <w:p>
            <w:pPr>
              <w:pStyle w:val="Compact"/>
              <w:jc w:val="left"/>
            </w:pPr>
            <w:r>
              <w:t xml:space="preserve">—</w:t>
            </w:r>
          </w:p>
        </w:tc>
        <w:tc>
          <w:tcPr/>
          <w:p>
            <w:pPr>
              <w:pStyle w:val="Compact"/>
              <w:jc w:val="left"/>
            </w:pPr>
            <w:r>
              <w:t xml:space="preserve">~20 Services</w:t>
            </w:r>
          </w:p>
        </w:tc>
      </w:tr>
      <w:tr>
        <w:tc>
          <w:tcPr/>
          <w:p>
            <w:pPr>
              <w:pStyle w:val="Compact"/>
              <w:jc w:val="left"/>
            </w:pPr>
            <w:r>
              <w:rPr>
                <w:bCs/>
                <w:b/>
              </w:rPr>
              <w:t xml:space="preserve">plusserver</w:t>
            </w:r>
          </w:p>
        </w:tc>
        <w:tc>
          <w:tcPr/>
          <w:p>
            <w:pPr>
              <w:pStyle w:val="Compact"/>
              <w:jc w:val="left"/>
            </w:pPr>
            <w:r>
              <w:t xml:space="preserve">4 DE-Standorte</w:t>
            </w:r>
          </w:p>
        </w:tc>
        <w:tc>
          <w:tcPr/>
          <w:p>
            <w:pPr>
              <w:pStyle w:val="Compact"/>
              <w:jc w:val="left"/>
            </w:pPr>
            <w:r>
              <w:t xml:space="preserve">~20.000</w:t>
            </w:r>
          </w:p>
        </w:tc>
        <w:tc>
          <w:tcPr/>
          <w:p>
            <w:pPr>
              <w:pStyle w:val="Compact"/>
              <w:jc w:val="left"/>
            </w:pPr>
            <w:r>
              <w:t xml:space="preserve">k.A. (kein GPU-Cloud-Angebot)</w:t>
            </w:r>
          </w:p>
        </w:tc>
        <w:tc>
          <w:tcPr/>
          <w:p>
            <w:pPr>
              <w:pStyle w:val="Compact"/>
              <w:jc w:val="left"/>
            </w:pPr>
            <w:r>
              <w:t xml:space="preserve">—</w:t>
            </w:r>
          </w:p>
        </w:tc>
        <w:tc>
          <w:tcPr/>
          <w:p>
            <w:pPr>
              <w:pStyle w:val="Compact"/>
              <w:jc w:val="left"/>
            </w:pPr>
            <w:r>
              <w:t xml:space="preserve">~15 Services</w:t>
            </w:r>
          </w:p>
        </w:tc>
      </w:tr>
      <w:tr>
        <w:tc>
          <w:tcPr/>
          <w:p>
            <w:pPr>
              <w:pStyle w:val="Compact"/>
              <w:jc w:val="left"/>
            </w:pPr>
            <w:r>
              <w:rPr>
                <w:bCs/>
                <w:b/>
              </w:rPr>
              <w:t xml:space="preserve">Arvato Systems</w:t>
            </w:r>
          </w:p>
        </w:tc>
        <w:tc>
          <w:tcPr/>
          <w:p>
            <w:pPr>
              <w:pStyle w:val="Compact"/>
              <w:jc w:val="left"/>
            </w:pPr>
            <w:r>
              <w:t xml:space="preserve">3 eigene RZ Gütersloh + Colocation</w:t>
            </w:r>
          </w:p>
        </w:tc>
        <w:tc>
          <w:tcPr/>
          <w:p>
            <w:pPr>
              <w:pStyle w:val="Compact"/>
              <w:jc w:val="left"/>
            </w:pPr>
            <w:r>
              <w:t xml:space="preserve">k.A.</w:t>
            </w:r>
          </w:p>
        </w:tc>
        <w:tc>
          <w:tcPr/>
          <w:p>
            <w:pPr>
              <w:pStyle w:val="Compact"/>
              <w:jc w:val="left"/>
            </w:pPr>
            <w:r>
              <w:t xml:space="preserve">Nicht-Cloud-Betreiber — MSP (Managed Service Provider) auf Azure/AWS/GCP</w:t>
            </w:r>
          </w:p>
        </w:tc>
        <w:tc>
          <w:tcPr/>
          <w:p>
            <w:pPr>
              <w:pStyle w:val="Compact"/>
              <w:jc w:val="left"/>
            </w:pPr>
            <w:r>
              <w:t xml:space="preserve">—</w:t>
            </w:r>
          </w:p>
        </w:tc>
        <w:tc>
          <w:tcPr/>
          <w:p>
            <w:pPr>
              <w:pStyle w:val="Compact"/>
              <w:jc w:val="left"/>
            </w:pPr>
            <w:r>
              <w:t xml:space="preserve">MSP-Modell</w:t>
            </w:r>
          </w:p>
        </w:tc>
      </w:tr>
    </w:tbl>
    <w:p>
      <w:pPr>
        <w:pStyle w:val="BodyText"/>
      </w:pPr>
      <w:r>
        <w:rPr>
          <w:bCs/>
          <w:b/>
        </w:rPr>
        <w:t xml:space="preserve">Warum Meta und xAI in der Tabelle stehen — obwohl sie keine Cloud-Anbieter sind:</w:t>
      </w:r>
      <w:r>
        <w:t xml:space="preserve"> </w:t>
      </w:r>
      <w:r>
        <w:t xml:space="preserve">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pStyle w:val="BodyText"/>
      </w:pPr>
      <w:r>
        <w:rPr>
          <w:bCs/>
          <w:b/>
        </w:rPr>
        <w:t xml:space="preserve">Die GPU-Hierarchie in Zahlen (Epoch AI, Stand EOY 2024):</w:t>
      </w:r>
      <w:r>
        <w:t xml:space="preserve"> </w:t>
      </w:r>
      <w:r>
        <w:t xml:space="preserve">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pStyle w:val="BodyText"/>
      </w:pPr>
      <w:r>
        <w:rPr>
          <w:bCs/>
          <w:b/>
        </w:rPr>
        <w:t xml:space="preserve">Open Telekom Cloud — Kapazitätszahlen konkret:</w:t>
      </w:r>
      <w:r>
        <w:t xml:space="preserve"> </w:t>
      </w:r>
      <w:r>
        <w:t xml:space="preserve">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pStyle w:val="BodyText"/>
      </w:pPr>
      <w:r>
        <w:rPr>
          <w:bCs/>
          <w:b/>
        </w:rPr>
        <w:t xml:space="preserve">STACKIT — aktuelle Kapazität und GPU-Roadmap:</w:t>
      </w:r>
      <w:r>
        <w:t xml:space="preserve"> </w:t>
      </w:r>
      <w:r>
        <w:t xml:space="preserve">Keine offiziellen Server-Zahlen. Rückrechnung aus dem Lübbenau-Faktor (7-fache Erhöhung) → schätzungsweise</w:t>
      </w:r>
      <w:r>
        <w:t xml:space="preserve"> </w:t>
      </w:r>
      <w:r>
        <w:rPr>
          <w:bCs/>
          <w:b/>
        </w:rPr>
        <w:t xml:space="preserve">15.000–25.000 physische Server</w:t>
      </w:r>
      <w:r>
        <w:t xml:space="preserve"> </w:t>
      </w:r>
      <w:r>
        <w:t xml:space="preserve">heute. Lübbenau ab 2027: 200 MW Anschlussleistung (vs. 18 MW in Biere), bis zu</w:t>
      </w:r>
      <w:r>
        <w:t xml:space="preserve"> </w:t>
      </w:r>
      <w:r>
        <w:rPr>
          <w:bCs/>
          <w:b/>
        </w:rPr>
        <w:t xml:space="preserve">100.000 GPUs</w:t>
      </w:r>
      <w:r>
        <w:t xml:space="preserve"> </w:t>
      </w:r>
      <w:r>
        <w:t xml:space="preserve">(Dell PowerEdge XE9680, NVIDIA Blackwell, 8 GPUs/Server), Direct Liquid Cooling. STACKIT wird kein Hyperscaler durch CPU-Server-Masse — sondern durch GPU-Dichte für KI-Workloads.</w:t>
      </w:r>
    </w:p>
    <w:p>
      <w:pPr>
        <w:pStyle w:val="BodyText"/>
      </w:pPr>
      <w:r>
        <w:rPr>
          <w:bCs/>
          <w:b/>
        </w:rPr>
        <w:t xml:space="preserve">Arvato Systems — kein Cloud-Betreiber, sondern MSP:</w:t>
      </w:r>
      <w:r>
        <w:t xml:space="preserve"> </w:t>
      </w:r>
      <w:r>
        <w:t xml:space="preserve">3 eigene RZ in Gütersloh für Managed Services und SAP-Hosting. Kein eigenständiger Cloud-Anbieter — relevante Rolle ist der Betrieb der</w:t>
      </w:r>
      <w:r>
        <w:t xml:space="preserve"> </w:t>
      </w:r>
      <w:r>
        <w:rPr>
          <w:bCs/>
          <w:b/>
        </w:rPr>
        <w:t xml:space="preserve">Delos Cloud</w:t>
      </w:r>
      <w:r>
        <w:t xml:space="preserve"> </w:t>
      </w:r>
      <w:r>
        <w:t xml:space="preserve">als Betriebsdienstleister.</w:t>
      </w:r>
    </w:p>
    <w:bookmarkEnd w:id="75"/>
    <w:bookmarkStart w:id="81" w:name="Xcef1f7378f140f0f1af82c29fe168d8ae591ffe"/>
    <w:p>
      <w:pPr>
        <w:pStyle w:val="Heading3"/>
      </w:pPr>
      <w:r>
        <w:t xml:space="preserve">7.3 Service-Tiefe im Vergleich — gesundheitssektorrelevant</w:t>
      </w:r>
    </w:p>
    <w:p>
      <w:pPr>
        <w:pStyle w:val="FirstParagraph"/>
      </w:pPr>
      <w: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pStyle w:val="BodyText"/>
      </w:pPr>
      <w:r>
        <w:rPr>
          <w:bCs/>
          <w:b/>
        </w:rPr>
        <w:t xml:space="preserve">Legende:</w:t>
      </w:r>
      <w:r>
        <w:t xml:space="preserve"> </w:t>
      </w:r>
      <w:r>
        <w:t xml:space="preserve">✅ Vorhanden und produktionsreif · ⚠️ Vorhanden, aber eingeschränkt oder mit Mehraufwand · ❌ Nicht vorhanden / kein souveräner Ersatz</w:t>
      </w:r>
    </w:p>
    <w:bookmarkStart w:id="76" w:name="X1b7f4b2bc746a7c6a4b9fe20b67059cbc80094e"/>
    <w:p>
      <w:pPr>
        <w:pStyle w:val="Heading4"/>
      </w:pPr>
      <w:r>
        <w:t xml:space="preserve">A — Collaboration &amp; Productivity (tiefstes Lock-in, höchstes CLOUD-Act-Risiko)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 (direkt)</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Office-Suite (Word, Excel, PowerPoint)</w:t>
            </w:r>
          </w:p>
        </w:tc>
        <w:tc>
          <w:tcPr/>
          <w:p>
            <w:pPr>
              <w:pStyle w:val="Compact"/>
              <w:jc w:val="left"/>
            </w:pPr>
            <w:r>
              <w:t xml:space="preserve">Microsoft 365 (MSFT)</w:t>
            </w:r>
          </w:p>
        </w:tc>
        <w:tc>
          <w:tcPr/>
          <w:p>
            <w:pPr>
              <w:pStyle w:val="Compact"/>
              <w:jc w:val="left"/>
            </w:pPr>
            <w:r>
              <w:t xml:space="preserve">Delos Cloud (+15%)</w:t>
            </w:r>
          </w:p>
        </w:tc>
        <w:tc>
          <w:tcPr/>
          <w:p>
            <w:pPr>
              <w:pStyle w:val="Compact"/>
              <w:jc w:val="left"/>
            </w:pPr>
            <w:r>
              <w:t xml:space="preserve">✅ Euro-Office / Office.eu / LibreOffice</w:t>
            </w:r>
          </w:p>
        </w:tc>
      </w:tr>
      <w:tr>
        <w:tc>
          <w:tcPr/>
          <w:p>
            <w:pPr>
              <w:pStyle w:val="Compact"/>
              <w:jc w:val="left"/>
            </w:pPr>
            <w:r>
              <w:rPr>
                <w:bCs/>
                <w:b/>
              </w:rPr>
              <w:t xml:space="preserve">E-Mail &amp; Kalender</w:t>
            </w:r>
          </w:p>
        </w:tc>
        <w:tc>
          <w:tcPr/>
          <w:p>
            <w:pPr>
              <w:pStyle w:val="Compact"/>
              <w:jc w:val="left"/>
            </w:pPr>
            <w:r>
              <w:t xml:space="preserve">Exchange Online (MSFT)</w:t>
            </w:r>
          </w:p>
        </w:tc>
        <w:tc>
          <w:tcPr/>
          <w:p>
            <w:pPr>
              <w:pStyle w:val="Compact"/>
              <w:jc w:val="left"/>
            </w:pPr>
            <w:r>
              <w:t xml:space="preserve">Delos Cloud</w:t>
            </w:r>
          </w:p>
        </w:tc>
        <w:tc>
          <w:tcPr/>
          <w:p>
            <w:pPr>
              <w:pStyle w:val="Compact"/>
              <w:jc w:val="left"/>
            </w:pPr>
            <w:r>
              <w:t xml:space="preserve">✅ Open-Xchange + Thunderbird</w:t>
            </w:r>
          </w:p>
        </w:tc>
      </w:tr>
      <w:tr>
        <w:tc>
          <w:tcPr/>
          <w:p>
            <w:pPr>
              <w:pStyle w:val="Compact"/>
              <w:jc w:val="left"/>
            </w:pPr>
            <w:r>
              <w:rPr>
                <w:bCs/>
                <w:b/>
              </w:rPr>
              <w:t xml:space="preserve">Dokumentenmanagement / Intranet</w:t>
            </w:r>
          </w:p>
        </w:tc>
        <w:tc>
          <w:tcPr/>
          <w:p>
            <w:pPr>
              <w:pStyle w:val="Compact"/>
              <w:jc w:val="left"/>
            </w:pPr>
            <w:r>
              <w:t xml:space="preserve">SharePoint Online (MSFT)</w:t>
            </w:r>
          </w:p>
        </w:tc>
        <w:tc>
          <w:tcPr/>
          <w:p>
            <w:pPr>
              <w:pStyle w:val="Compact"/>
              <w:jc w:val="left"/>
            </w:pPr>
            <w:r>
              <w:t xml:space="preserve">Delos Cloud</w:t>
            </w:r>
          </w:p>
        </w:tc>
        <w:tc>
          <w:tcPr/>
          <w:p>
            <w:pPr>
              <w:pStyle w:val="Compact"/>
              <w:jc w:val="left"/>
            </w:pPr>
            <w:r>
              <w:t xml:space="preserve">✅ Nextcloud Hub, OpenCloud 1.0, GoFAST</w:t>
            </w:r>
          </w:p>
        </w:tc>
      </w:tr>
      <w:tr>
        <w:tc>
          <w:tcPr/>
          <w:p>
            <w:pPr>
              <w:pStyle w:val="Compact"/>
              <w:jc w:val="left"/>
            </w:pPr>
            <w:r>
              <w:rPr>
                <w:bCs/>
                <w:b/>
              </w:rPr>
              <w:t xml:space="preserve">Videokonferenz &amp; Chat</w:t>
            </w:r>
          </w:p>
        </w:tc>
        <w:tc>
          <w:tcPr/>
          <w:p>
            <w:pPr>
              <w:pStyle w:val="Compact"/>
              <w:jc w:val="left"/>
            </w:pPr>
            <w:r>
              <w:t xml:space="preserve">Microsoft Teams (MSFT)</w:t>
            </w:r>
          </w:p>
        </w:tc>
        <w:tc>
          <w:tcPr/>
          <w:p>
            <w:pPr>
              <w:pStyle w:val="Compact"/>
              <w:jc w:val="left"/>
            </w:pPr>
            <w:r>
              <w:t xml:space="preserve">Delos Cloud</w:t>
            </w:r>
          </w:p>
        </w:tc>
        <w:tc>
          <w:tcPr/>
          <w:p>
            <w:pPr>
              <w:pStyle w:val="Compact"/>
              <w:jc w:val="left"/>
            </w:pPr>
            <w:r>
              <w:t xml:space="preserve">✅ OpenTalk, Jitsi, Matrix/Element</w:t>
            </w:r>
          </w:p>
        </w:tc>
      </w:tr>
      <w:tr>
        <w:tc>
          <w:tcPr/>
          <w:p>
            <w:pPr>
              <w:pStyle w:val="Compact"/>
              <w:jc w:val="left"/>
            </w:pPr>
            <w:r>
              <w:rPr>
                <w:bCs/>
                <w:b/>
              </w:rPr>
              <w:t xml:space="preserve">Identity / SSO / RBAC</w:t>
            </w:r>
          </w:p>
        </w:tc>
        <w:tc>
          <w:tcPr/>
          <w:p>
            <w:pPr>
              <w:pStyle w:val="Compact"/>
              <w:jc w:val="left"/>
            </w:pPr>
            <w:r>
              <w:t xml:space="preserve">Azure Entra ID (MSFT)</w:t>
            </w:r>
          </w:p>
        </w:tc>
        <w:tc>
          <w:tcPr/>
          <w:p>
            <w:pPr>
              <w:pStyle w:val="Compact"/>
              <w:jc w:val="left"/>
            </w:pPr>
            <w:r>
              <w:t xml:space="preserve">Delos Cloud</w:t>
            </w:r>
          </w:p>
        </w:tc>
        <w:tc>
          <w:tcPr/>
          <w:p>
            <w:pPr>
              <w:pStyle w:val="Compact"/>
              <w:jc w:val="left"/>
            </w:pPr>
            <w:r>
              <w:t xml:space="preserve">✅ Keycloak, Univention Corporate Server</w:t>
            </w:r>
          </w:p>
        </w:tc>
      </w:tr>
      <w:tr>
        <w:tc>
          <w:tcPr/>
          <w:p>
            <w:pPr>
              <w:pStyle w:val="Compact"/>
              <w:jc w:val="left"/>
            </w:pPr>
            <w:r>
              <w:rPr>
                <w:bCs/>
                <w:b/>
              </w:rPr>
              <w:t xml:space="preserve">Endpoint-Management (MDM)</w:t>
            </w:r>
          </w:p>
        </w:tc>
        <w:tc>
          <w:tcPr/>
          <w:p>
            <w:pPr>
              <w:pStyle w:val="Compact"/>
              <w:jc w:val="left"/>
            </w:pPr>
            <w:r>
              <w:t xml:space="preserve">Microsoft Intune (MSFT)</w:t>
            </w:r>
          </w:p>
        </w:tc>
        <w:tc>
          <w:tcPr/>
          <w:p>
            <w:pPr>
              <w:pStyle w:val="Compact"/>
              <w:jc w:val="left"/>
            </w:pPr>
            <w:r>
              <w:t xml:space="preserve">Delos Cloud</w:t>
            </w:r>
          </w:p>
        </w:tc>
        <w:tc>
          <w:tcPr/>
          <w:p>
            <w:pPr>
              <w:pStyle w:val="Compact"/>
              <w:jc w:val="left"/>
            </w:pPr>
            <w:r>
              <w:t xml:space="preserve">⚠️ Ansible + FreeIPA (Mehraufwand)</w:t>
            </w:r>
          </w:p>
        </w:tc>
      </w:tr>
      <w:tr>
        <w:tc>
          <w:tcPr/>
          <w:p>
            <w:pPr>
              <w:pStyle w:val="Compact"/>
              <w:jc w:val="left"/>
            </w:pPr>
            <w:r>
              <w:rPr>
                <w:bCs/>
                <w:b/>
              </w:rPr>
              <w:t xml:space="preserve">E-Signatur</w:t>
            </w:r>
          </w:p>
        </w:tc>
        <w:tc>
          <w:tcPr/>
          <w:p>
            <w:pPr>
              <w:pStyle w:val="Compact"/>
              <w:jc w:val="left"/>
            </w:pPr>
            <w:r>
              <w:t xml:space="preserve">DocuSign (US), Adobe Sign (US)</w:t>
            </w:r>
          </w:p>
        </w:tc>
        <w:tc>
          <w:tcPr/>
          <w:p>
            <w:pPr>
              <w:pStyle w:val="Compact"/>
              <w:jc w:val="left"/>
            </w:pPr>
            <w:r>
              <w:t xml:space="preserve">—</w:t>
            </w:r>
          </w:p>
        </w:tc>
        <w:tc>
          <w:tcPr/>
          <w:p>
            <w:pPr>
              <w:pStyle w:val="Compact"/>
              <w:jc w:val="left"/>
            </w:pPr>
            <w:r>
              <w:t xml:space="preserve">✅ Skribble (CH), D-Trust (BSI-akkreditiert)</w:t>
            </w:r>
          </w:p>
        </w:tc>
      </w:tr>
    </w:tbl>
    <w:bookmarkEnd w:id="76"/>
    <w:bookmarkStart w:id="77" w:name="X4cd066dd47ed158919eb2a27adf5919fef52081"/>
    <w:p>
      <w:pPr>
        <w:pStyle w:val="Heading4"/>
      </w:pPr>
      <w:r>
        <w:t xml:space="preserve">B — Datenbanken &amp; Data Warehouse (Analytics-Fundament für GKV-Scoring)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MS SQL Server / Azure SQL</w:t>
            </w:r>
          </w:p>
        </w:tc>
        <w:tc>
          <w:tcPr/>
          <w:p>
            <w:pPr>
              <w:pStyle w:val="Compact"/>
              <w:jc w:val="left"/>
            </w:pPr>
            <w:r>
              <w:t xml:space="preserve">Microsoft (MSFT)</w:t>
            </w:r>
          </w:p>
        </w:tc>
        <w:tc>
          <w:tcPr/>
          <w:p>
            <w:pPr>
              <w:pStyle w:val="Compact"/>
              <w:jc w:val="left"/>
            </w:pPr>
            <w:r>
              <w:t xml:space="preserve">Delos Cloud</w:t>
            </w:r>
          </w:p>
        </w:tc>
        <w:tc>
          <w:tcPr/>
          <w:p>
            <w:pPr>
              <w:pStyle w:val="Compact"/>
              <w:jc w:val="left"/>
            </w:pPr>
            <w:r>
              <w:t xml:space="preserve">✅ PostgreSQL, MariaDB (alle EU-Clouds)</w:t>
            </w:r>
          </w:p>
        </w:tc>
      </w:tr>
      <w:tr>
        <w:tc>
          <w:tcPr/>
          <w:p>
            <w:pPr>
              <w:pStyle w:val="Compact"/>
              <w:jc w:val="left"/>
            </w:pPr>
            <w:r>
              <w:rPr>
                <w:bCs/>
                <w:b/>
              </w:rPr>
              <w:t xml:space="preserve">Daten-Warehouse (Cloud-native)</w:t>
            </w:r>
          </w:p>
        </w:tc>
        <w:tc>
          <w:tcPr/>
          <w:p>
            <w:pPr>
              <w:pStyle w:val="Compact"/>
              <w:jc w:val="left"/>
            </w:pPr>
            <w:r>
              <w:t xml:space="preserve">Snowflake (NYSE: SNOW, US)</w:t>
            </w:r>
          </w:p>
        </w:tc>
        <w:tc>
          <w:tcPr/>
          <w:p>
            <w:pPr>
              <w:pStyle w:val="Compact"/>
              <w:jc w:val="left"/>
            </w:pPr>
            <w:r>
              <w:t xml:space="preserve">—</w:t>
            </w:r>
          </w:p>
        </w:tc>
        <w:tc>
          <w:tcPr/>
          <w:p>
            <w:pPr>
              <w:pStyle w:val="Compact"/>
              <w:jc w:val="left"/>
            </w:pPr>
            <w:r>
              <w:t xml:space="preserve">⚠️ DuckDB (lokal), Apache Doris, ClickHouse (EU-hosted)</w:t>
            </w:r>
          </w:p>
        </w:tc>
      </w:tr>
      <w:tr>
        <w:tc>
          <w:tcPr/>
          <w:p>
            <w:pPr>
              <w:pStyle w:val="Compact"/>
              <w:jc w:val="left"/>
            </w:pPr>
            <w:r>
              <w:rPr>
                <w:bCs/>
                <w:b/>
              </w:rPr>
              <w:t xml:space="preserve">Streaming / Event-Hub</w:t>
            </w:r>
          </w:p>
        </w:tc>
        <w:tc>
          <w:tcPr/>
          <w:p>
            <w:pPr>
              <w:pStyle w:val="Compact"/>
              <w:jc w:val="left"/>
            </w:pPr>
            <w:r>
              <w:t xml:space="preserve">AWS Kinesis, Azure Event Hub</w:t>
            </w:r>
          </w:p>
        </w:tc>
        <w:tc>
          <w:tcPr/>
          <w:p>
            <w:pPr>
              <w:pStyle w:val="Compact"/>
              <w:jc w:val="left"/>
            </w:pPr>
            <w:r>
              <w:t xml:space="preserve">—</w:t>
            </w:r>
          </w:p>
        </w:tc>
        <w:tc>
          <w:tcPr/>
          <w:p>
            <w:pPr>
              <w:pStyle w:val="Compact"/>
              <w:jc w:val="left"/>
            </w:pPr>
            <w:r>
              <w:t xml:space="preserve">✅ Apache Kafka auf STACKIT / Exoscale</w:t>
            </w:r>
          </w:p>
        </w:tc>
      </w:tr>
      <w:tr>
        <w:tc>
          <w:tcPr/>
          <w:p>
            <w:pPr>
              <w:pStyle w:val="Compact"/>
              <w:jc w:val="left"/>
            </w:pPr>
            <w:r>
              <w:rPr>
                <w:bCs/>
                <w:b/>
              </w:rPr>
              <w:t xml:space="preserve">Managed NoSQL</w:t>
            </w:r>
          </w:p>
        </w:tc>
        <w:tc>
          <w:tcPr/>
          <w:p>
            <w:pPr>
              <w:pStyle w:val="Compact"/>
              <w:jc w:val="left"/>
            </w:pPr>
            <w:r>
              <w:t xml:space="preserve">DynamoDB, CosmosDB (MSFT)</w:t>
            </w:r>
          </w:p>
        </w:tc>
        <w:tc>
          <w:tcPr/>
          <w:p>
            <w:pPr>
              <w:pStyle w:val="Compact"/>
              <w:jc w:val="left"/>
            </w:pPr>
            <w:r>
              <w:t xml:space="preserve">—</w:t>
            </w:r>
          </w:p>
        </w:tc>
        <w:tc>
          <w:tcPr/>
          <w:p>
            <w:pPr>
              <w:pStyle w:val="Compact"/>
              <w:jc w:val="left"/>
            </w:pPr>
            <w:r>
              <w:t xml:space="preserve">✅ MongoDB, Redis, CassandraDB auf STACKIT</w:t>
            </w:r>
          </w:p>
        </w:tc>
      </w:tr>
      <w:tr>
        <w:tc>
          <w:tcPr/>
          <w:p>
            <w:pPr>
              <w:pStyle w:val="Compact"/>
              <w:jc w:val="left"/>
            </w:pPr>
            <w:r>
              <w:rPr>
                <w:bCs/>
                <w:b/>
              </w:rPr>
              <w:t xml:space="preserve">Data Lake / Object Store</w:t>
            </w:r>
          </w:p>
        </w:tc>
        <w:tc>
          <w:tcPr/>
          <w:p>
            <w:pPr>
              <w:pStyle w:val="Compact"/>
              <w:jc w:val="left"/>
            </w:pPr>
            <w:r>
              <w:t xml:space="preserve">AWS S3, Azure Blob Storage</w:t>
            </w:r>
          </w:p>
        </w:tc>
        <w:tc>
          <w:tcPr/>
          <w:p>
            <w:pPr>
              <w:pStyle w:val="Compact"/>
              <w:jc w:val="left"/>
            </w:pPr>
            <w:r>
              <w:t xml:space="preserve">Delos Cloud</w:t>
            </w:r>
          </w:p>
        </w:tc>
        <w:tc>
          <w:tcPr/>
          <w:p>
            <w:pPr>
              <w:pStyle w:val="Compact"/>
              <w:jc w:val="left"/>
            </w:pPr>
            <w:r>
              <w:t xml:space="preserve">✅ MinIO, Ceph, STACKIT/plusserver Object Storage</w:t>
            </w:r>
          </w:p>
        </w:tc>
      </w:tr>
      <w:tr>
        <w:tc>
          <w:tcPr/>
          <w:p>
            <w:pPr>
              <w:pStyle w:val="Compact"/>
              <w:jc w:val="left"/>
            </w:pPr>
            <w:r>
              <w:rPr>
                <w:bCs/>
                <w:b/>
              </w:rPr>
              <w:t xml:space="preserve">ETL / Datenpipelines</w:t>
            </w:r>
          </w:p>
        </w:tc>
        <w:tc>
          <w:tcPr/>
          <w:p>
            <w:pPr>
              <w:pStyle w:val="Compact"/>
              <w:jc w:val="left"/>
            </w:pPr>
            <w:r>
              <w:t xml:space="preserve">AWS Glue, Azure Data Factory</w:t>
            </w:r>
          </w:p>
        </w:tc>
        <w:tc>
          <w:tcPr/>
          <w:p>
            <w:pPr>
              <w:pStyle w:val="Compact"/>
              <w:jc w:val="left"/>
            </w:pPr>
            <w:r>
              <w:t xml:space="preserve">—</w:t>
            </w:r>
          </w:p>
        </w:tc>
        <w:tc>
          <w:tcPr/>
          <w:p>
            <w:pPr>
              <w:pStyle w:val="Compact"/>
              <w:jc w:val="left"/>
            </w:pPr>
            <w:r>
              <w:t xml:space="preserve">✅ Apache Airflow, dbt (selbst-gehostet EU)</w:t>
            </w:r>
          </w:p>
        </w:tc>
      </w:tr>
    </w:tbl>
    <w:p>
      <w:pPr>
        <w:pStyle w:val="BlockText"/>
      </w:pPr>
      <w:r>
        <w:rPr>
          <w:bCs/>
          <w:b/>
        </w:rPr>
        <w:t xml:space="preserve">Snowflake-Hinweis:</w:t>
      </w:r>
      <w:r>
        <w:t xml:space="preserve"> </w:t>
      </w:r>
      <w:r>
        <w:t xml:space="preserve">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Style w:val="BlockText"/>
      </w:pPr>
      <w:r>
        <w:rPr>
          <w:bCs/>
          <w:b/>
        </w:rPr>
        <w:t xml:space="preserve">Qlik Cloud — C5 ≠ CLOUD-Act-Schutz:</w:t>
      </w:r>
      <w:r>
        <w:t xml:space="preserve"> </w:t>
      </w:r>
      <w:r>
        <w:t xml:space="preserve">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w:t>
      </w:r>
      <w:r>
        <w:t xml:space="preserve"> </w:t>
      </w:r>
      <w:r>
        <w:rPr>
          <w:bCs/>
          <w:b/>
        </w:rPr>
        <w:t xml:space="preserve">nicht</w:t>
      </w:r>
      <w:r>
        <w:t xml:space="preserve"> </w:t>
      </w:r>
      <w:r>
        <w:t xml:space="preserve">gegen US-Behördenzugriff. Das ist die Kernaussage von Kapitel 5.3:</w:t>
      </w:r>
      <w:r>
        <w:t xml:space="preserve"> </w:t>
      </w:r>
      <w:r>
        <w:t xml:space="preserve">“</w:t>
      </w:r>
      <w:r>
        <w:t xml:space="preserve">C5 belegt technische Sicherheit — nicht rechtliche Souveränität. Azure hat C5 und unterliegt dem CLOUD Act. plusserver hat C5 und unterliegt ihm strukturell nicht.</w:t>
      </w:r>
      <w:r>
        <w:t xml:space="preserve">”</w:t>
      </w:r>
      <w:r>
        <w:t xml:space="preserve"> </w:t>
      </w:r>
      <w:r>
        <w:t xml:space="preserve">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bookmarkEnd w:id="77"/>
    <w:bookmarkStart w:id="78" w:name="X6e44b3ee112bf99c740698561049b2bd31f5c4b"/>
    <w:p>
      <w:pPr>
        <w:pStyle w:val="Heading4"/>
      </w:pPr>
      <w:r>
        <w:t xml:space="preserve">C — KI &amp; Analytik (zunehmend kritisch für GKV-Versorgungsmanagement)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Operator-Modell</w:t>
            </w:r>
          </w:p>
        </w:tc>
        <w:tc>
          <w:tcPr/>
          <w:p>
            <w:pPr>
              <w:pStyle w:val="Compact"/>
              <w:jc w:val="left"/>
            </w:pPr>
            <w:r>
              <w:t xml:space="preserve">Souveräner EU-Ersatz</w:t>
            </w:r>
          </w:p>
        </w:tc>
      </w:tr>
      <w:tr>
        <w:tc>
          <w:tcPr/>
          <w:p>
            <w:pPr>
              <w:pStyle w:val="Compact"/>
              <w:jc w:val="left"/>
            </w:pPr>
            <w:r>
              <w:rPr>
                <w:bCs/>
                <w:b/>
              </w:rPr>
              <w:t xml:space="preserve">LLM-Inferenz / generative KI</w:t>
            </w:r>
          </w:p>
        </w:tc>
        <w:tc>
          <w:tcPr/>
          <w:p>
            <w:pPr>
              <w:pStyle w:val="Compact"/>
              <w:jc w:val="left"/>
            </w:pPr>
            <w:r>
              <w:t xml:space="preserve">Azure OpenAI / AWS Bedrock (GPT-4, Claude)</w:t>
            </w:r>
          </w:p>
        </w:tc>
        <w:tc>
          <w:tcPr/>
          <w:p>
            <w:pPr>
              <w:pStyle w:val="Compact"/>
              <w:jc w:val="left"/>
            </w:pPr>
            <w:r>
              <w:t xml:space="preserve">S3NS (Google Vertex AI ab H2 2026)</w:t>
            </w:r>
          </w:p>
        </w:tc>
        <w:tc>
          <w:tcPr/>
          <w:p>
            <w:pPr>
              <w:pStyle w:val="Compact"/>
              <w:jc w:val="left"/>
            </w:pPr>
            <w:r>
              <w:t xml:space="preserve">✅ vLLM + Mistral (lokal / STACKIT / Scaleway)</w:t>
            </w:r>
          </w:p>
        </w:tc>
      </w:tr>
      <w:tr>
        <w:tc>
          <w:tcPr/>
          <w:p>
            <w:pPr>
              <w:pStyle w:val="Compact"/>
              <w:jc w:val="left"/>
            </w:pPr>
            <w:r>
              <w:rPr>
                <w:bCs/>
                <w:b/>
              </w:rPr>
              <w:t xml:space="preserve">Mistral AI direkt</w:t>
            </w:r>
          </w:p>
        </w:tc>
        <w:tc>
          <w:tcPr/>
          <w:p>
            <w:pPr>
              <w:pStyle w:val="Compact"/>
              <w:jc w:val="left"/>
            </w:pPr>
            <w:r>
              <w:t xml:space="preserve">Mistral API (FR-Unternehmen, aber API-Infrastruktur prüfen)</w:t>
            </w:r>
          </w:p>
        </w:tc>
        <w:tc>
          <w:tcPr/>
          <w:p>
            <w:pPr>
              <w:pStyle w:val="Compact"/>
              <w:jc w:val="left"/>
            </w:pPr>
            <w:r>
              <w:t xml:space="preserve">—</w:t>
            </w:r>
          </w:p>
        </w:tc>
        <w:tc>
          <w:tcPr/>
          <w:p>
            <w:pPr>
              <w:pStyle w:val="Compact"/>
              <w:jc w:val="left"/>
            </w:pPr>
            <w:r>
              <w:t xml:space="preserve">✅ Mistral-Modelle self-hosted via vLLM (bevorzugt)</w:t>
            </w:r>
          </w:p>
        </w:tc>
      </w:tr>
      <w:tr>
        <w:tc>
          <w:tcPr/>
          <w:p>
            <w:pPr>
              <w:pStyle w:val="Compact"/>
              <w:jc w:val="left"/>
            </w:pPr>
            <w:r>
              <w:rPr>
                <w:bCs/>
                <w:b/>
              </w:rPr>
              <w:t xml:space="preserve">BI / Dashboarding</w:t>
            </w:r>
          </w:p>
        </w:tc>
        <w:tc>
          <w:tcPr/>
          <w:p>
            <w:pPr>
              <w:pStyle w:val="Compact"/>
              <w:jc w:val="left"/>
            </w:pPr>
            <w:r>
              <w:t xml:space="preserve">Power BI / Microsoft Fabric (MSFT) ·</w:t>
            </w:r>
            <w:r>
              <w:t xml:space="preserve"> </w:t>
            </w:r>
            <w:r>
              <w:rPr>
                <w:bCs/>
                <w:b/>
              </w:rPr>
              <w:t xml:space="preserve">Qlik Cloud (US, Thoma Bravo — privat)</w:t>
            </w:r>
          </w:p>
        </w:tc>
        <w:tc>
          <w:tcPr/>
          <w:p>
            <w:pPr>
              <w:pStyle w:val="Compact"/>
              <w:jc w:val="left"/>
            </w:pPr>
            <w:r>
              <w:t xml:space="preserve">Delos Cloud (Power BI)</w:t>
            </w:r>
          </w:p>
        </w:tc>
        <w:tc>
          <w:tcPr/>
          <w:p>
            <w:pPr>
              <w:pStyle w:val="Compact"/>
              <w:jc w:val="left"/>
            </w:pPr>
            <w:r>
              <w:t xml:space="preserve">✅ Metabase, Apache Superset, Grafana</w:t>
            </w:r>
          </w:p>
        </w:tc>
      </w:tr>
      <w:tr>
        <w:tc>
          <w:tcPr/>
          <w:p>
            <w:pPr>
              <w:pStyle w:val="Compact"/>
              <w:jc w:val="left"/>
            </w:pPr>
            <w:r>
              <w:rPr>
                <w:bCs/>
                <w:b/>
              </w:rPr>
              <w:t xml:space="preserve">ML-Plattform / MLOps</w:t>
            </w:r>
          </w:p>
        </w:tc>
        <w:tc>
          <w:tcPr/>
          <w:p>
            <w:pPr>
              <w:pStyle w:val="Compact"/>
              <w:jc w:val="left"/>
            </w:pPr>
            <w:r>
              <w:t xml:space="preserve">Azure ML, AWS SageMaker</w:t>
            </w:r>
          </w:p>
        </w:tc>
        <w:tc>
          <w:tcPr/>
          <w:p>
            <w:pPr>
              <w:pStyle w:val="Compact"/>
              <w:jc w:val="left"/>
            </w:pPr>
            <w:r>
              <w:t xml:space="preserve">—</w:t>
            </w:r>
          </w:p>
        </w:tc>
        <w:tc>
          <w:tcPr/>
          <w:p>
            <w:pPr>
              <w:pStyle w:val="Compact"/>
              <w:jc w:val="left"/>
            </w:pPr>
            <w:r>
              <w:t xml:space="preserve">⚠️ MLflow + Kubernetes (selbst-gehostet)</w:t>
            </w:r>
          </w:p>
        </w:tc>
      </w:tr>
      <w:tr>
        <w:tc>
          <w:tcPr/>
          <w:p>
            <w:pPr>
              <w:pStyle w:val="Compact"/>
              <w:jc w:val="left"/>
            </w:pPr>
            <w:r>
              <w:rPr>
                <w:bCs/>
                <w:b/>
              </w:rPr>
              <w:t xml:space="preserve">Vektordatenbank (RAG)</w:t>
            </w:r>
          </w:p>
        </w:tc>
        <w:tc>
          <w:tcPr/>
          <w:p>
            <w:pPr>
              <w:pStyle w:val="Compact"/>
              <w:jc w:val="left"/>
            </w:pPr>
            <w:r>
              <w:t xml:space="preserve">Azure AI Search, Pinecone (US)</w:t>
            </w:r>
          </w:p>
        </w:tc>
        <w:tc>
          <w:tcPr/>
          <w:p>
            <w:pPr>
              <w:pStyle w:val="Compact"/>
              <w:jc w:val="left"/>
            </w:pPr>
            <w:r>
              <w:t xml:space="preserve">—</w:t>
            </w:r>
          </w:p>
        </w:tc>
        <w:tc>
          <w:tcPr/>
          <w:p>
            <w:pPr>
              <w:pStyle w:val="Compact"/>
              <w:jc w:val="left"/>
            </w:pPr>
            <w:r>
              <w:t xml:space="preserve">✅ Qdrant (DE), Weaviate (NL), Chroma (self-hosted)</w:t>
            </w:r>
          </w:p>
        </w:tc>
      </w:tr>
      <w:tr>
        <w:tc>
          <w:tcPr/>
          <w:p>
            <w:pPr>
              <w:pStyle w:val="Compact"/>
              <w:jc w:val="left"/>
            </w:pPr>
            <w:r>
              <w:rPr>
                <w:bCs/>
                <w:b/>
              </w:rPr>
              <w:t xml:space="preserve">Embedding-Modelle</w:t>
            </w:r>
          </w:p>
        </w:tc>
        <w:tc>
          <w:tcPr/>
          <w:p>
            <w:pPr>
              <w:pStyle w:val="Compact"/>
              <w:jc w:val="left"/>
            </w:pPr>
            <w:r>
              <w:t xml:space="preserve">OpenAI text-embedding, AWS Titan</w:t>
            </w:r>
          </w:p>
        </w:tc>
        <w:tc>
          <w:tcPr/>
          <w:p>
            <w:pPr>
              <w:pStyle w:val="Compact"/>
              <w:jc w:val="left"/>
            </w:pPr>
            <w:r>
              <w:t xml:space="preserve">—</w:t>
            </w:r>
          </w:p>
        </w:tc>
        <w:tc>
          <w:tcPr/>
          <w:p>
            <w:pPr>
              <w:pStyle w:val="Compact"/>
              <w:jc w:val="left"/>
            </w:pPr>
            <w:r>
              <w:t xml:space="preserve">✅ Sentence-Transformers lokal, Mistral Embed</w:t>
            </w:r>
          </w:p>
        </w:tc>
      </w:tr>
    </w:tbl>
    <w:p>
      <w:pPr>
        <w:pStyle w:val="BlockText"/>
      </w:pPr>
      <w:r>
        <w:rPr>
          <w:bCs/>
          <w:b/>
        </w:rPr>
        <w:t xml:space="preserve">Mistral-Hinweis:</w:t>
      </w:r>
      <w:r>
        <w:t xml:space="preserve"> </w:t>
      </w:r>
      <w:r>
        <w:t xml:space="preserve">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bookmarkEnd w:id="78"/>
    <w:bookmarkStart w:id="79" w:name="d-infrastruktur-devops-basis-schicht"/>
    <w:p>
      <w:pPr>
        <w:pStyle w:val="Heading4"/>
      </w:pPr>
      <w:r>
        <w:t xml:space="preserve">D — Infrastruktur &amp; DevOps (Basis-Schicht)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Compute / VM</w:t>
            </w:r>
          </w:p>
        </w:tc>
        <w:tc>
          <w:tcPr/>
          <w:p>
            <w:pPr>
              <w:pStyle w:val="Compact"/>
              <w:jc w:val="left"/>
            </w:pPr>
            <w:r>
              <w:t xml:space="preserve">EC2, Azure VM</w:t>
            </w:r>
          </w:p>
        </w:tc>
        <w:tc>
          <w:tcPr/>
          <w:p>
            <w:pPr>
              <w:pStyle w:val="Compact"/>
              <w:jc w:val="left"/>
            </w:pPr>
            <w:r>
              <w:t xml:space="preserve">✅ STACKIT, plusserver, Hetzner</w:t>
            </w:r>
          </w:p>
        </w:tc>
      </w:tr>
      <w:tr>
        <w:tc>
          <w:tcPr/>
          <w:p>
            <w:pPr>
              <w:pStyle w:val="Compact"/>
              <w:jc w:val="left"/>
            </w:pPr>
            <w:r>
              <w:rPr>
                <w:bCs/>
                <w:b/>
              </w:rPr>
              <w:t xml:space="preserve">Managed Kubernetes</w:t>
            </w:r>
          </w:p>
        </w:tc>
        <w:tc>
          <w:tcPr/>
          <w:p>
            <w:pPr>
              <w:pStyle w:val="Compact"/>
              <w:jc w:val="left"/>
            </w:pPr>
            <w:r>
              <w:t xml:space="preserve">EKS, AKS</w:t>
            </w:r>
          </w:p>
        </w:tc>
        <w:tc>
          <w:tcPr/>
          <w:p>
            <w:pPr>
              <w:pStyle w:val="Compact"/>
              <w:jc w:val="left"/>
            </w:pPr>
            <w:r>
              <w:t xml:space="preserve">✅ STACKIT SKE, plusserver managed K8s</w:t>
            </w:r>
          </w:p>
        </w:tc>
      </w:tr>
      <w:tr>
        <w:tc>
          <w:tcPr/>
          <w:p>
            <w:pPr>
              <w:pStyle w:val="Compact"/>
              <w:jc w:val="left"/>
            </w:pPr>
            <w:r>
              <w:rPr>
                <w:bCs/>
                <w:b/>
              </w:rPr>
              <w:t xml:space="preserve">Serverless / Functions</w:t>
            </w:r>
          </w:p>
        </w:tc>
        <w:tc>
          <w:tcPr/>
          <w:p>
            <w:pPr>
              <w:pStyle w:val="Compact"/>
              <w:jc w:val="left"/>
            </w:pPr>
            <w:r>
              <w:t xml:space="preserve">Lambda, Azure Functions</w:t>
            </w:r>
          </w:p>
        </w:tc>
        <w:tc>
          <w:tcPr/>
          <w:p>
            <w:pPr>
              <w:pStyle w:val="Compact"/>
              <w:jc w:val="left"/>
            </w:pPr>
            <w:r>
              <w:t xml:space="preserve">⚠️ STACKIT Functions (früh), Knative self-hosted</w:t>
            </w:r>
          </w:p>
        </w:tc>
      </w:tr>
      <w:tr>
        <w:tc>
          <w:tcPr/>
          <w:p>
            <w:pPr>
              <w:pStyle w:val="Compact"/>
              <w:jc w:val="left"/>
            </w:pPr>
            <w:r>
              <w:rPr>
                <w:bCs/>
                <w:b/>
              </w:rPr>
              <w:t xml:space="preserve">CI/CD &amp; Versionskontrolle</w:t>
            </w:r>
          </w:p>
        </w:tc>
        <w:tc>
          <w:tcPr/>
          <w:p>
            <w:pPr>
              <w:pStyle w:val="Compact"/>
              <w:jc w:val="left"/>
            </w:pPr>
            <w:r>
              <w:t xml:space="preserve">GitHub, Azure DevOps</w:t>
            </w:r>
          </w:p>
        </w:tc>
        <w:tc>
          <w:tcPr/>
          <w:p>
            <w:pPr>
              <w:pStyle w:val="Compact"/>
              <w:jc w:val="left"/>
            </w:pPr>
            <w:r>
              <w:t xml:space="preserve">✅ GitLab (self-hosted)</w:t>
            </w:r>
          </w:p>
        </w:tc>
      </w:tr>
      <w:tr>
        <w:tc>
          <w:tcPr/>
          <w:p>
            <w:pPr>
              <w:pStyle w:val="Compact"/>
              <w:jc w:val="left"/>
            </w:pPr>
            <w:r>
              <w:rPr>
                <w:bCs/>
                <w:b/>
              </w:rPr>
              <w:t xml:space="preserve">Monitoring &amp; Observability</w:t>
            </w:r>
          </w:p>
        </w:tc>
        <w:tc>
          <w:tcPr/>
          <w:p>
            <w:pPr>
              <w:pStyle w:val="Compact"/>
              <w:jc w:val="left"/>
            </w:pPr>
            <w:r>
              <w:t xml:space="preserve">Azure Monitor, CloudWatch</w:t>
            </w:r>
          </w:p>
        </w:tc>
        <w:tc>
          <w:tcPr/>
          <w:p>
            <w:pPr>
              <w:pStyle w:val="Compact"/>
              <w:jc w:val="left"/>
            </w:pPr>
            <w:r>
              <w:t xml:space="preserve">✅ Grafana + Prometheus + Loki + OpenSearch</w:t>
            </w:r>
          </w:p>
        </w:tc>
      </w:tr>
      <w:tr>
        <w:tc>
          <w:tcPr/>
          <w:p>
            <w:pPr>
              <w:pStyle w:val="Compact"/>
              <w:jc w:val="left"/>
            </w:pPr>
            <w:r>
              <w:rPr>
                <w:bCs/>
                <w:b/>
              </w:rPr>
              <w:t xml:space="preserve">SIEM / Security</w:t>
            </w:r>
          </w:p>
        </w:tc>
        <w:tc>
          <w:tcPr/>
          <w:p>
            <w:pPr>
              <w:pStyle w:val="Compact"/>
              <w:jc w:val="left"/>
            </w:pPr>
            <w:r>
              <w:t xml:space="preserve">Microsoft Sentinel (MSFT)</w:t>
            </w:r>
          </w:p>
        </w:tc>
        <w:tc>
          <w:tcPr/>
          <w:p>
            <w:pPr>
              <w:pStyle w:val="Compact"/>
              <w:jc w:val="left"/>
            </w:pPr>
            <w:r>
              <w:t xml:space="preserve">✅ Wazuh, OpenSearch Security Analytics</w:t>
            </w:r>
          </w:p>
        </w:tc>
      </w:tr>
      <w:tr>
        <w:tc>
          <w:tcPr/>
          <w:p>
            <w:pPr>
              <w:pStyle w:val="Compact"/>
              <w:jc w:val="left"/>
            </w:pPr>
            <w:r>
              <w:rPr>
                <w:bCs/>
                <w:b/>
              </w:rPr>
              <w:t xml:space="preserve">Backup &amp; DR</w:t>
            </w:r>
          </w:p>
        </w:tc>
        <w:tc>
          <w:tcPr/>
          <w:p>
            <w:pPr>
              <w:pStyle w:val="Compact"/>
              <w:jc w:val="left"/>
            </w:pPr>
            <w:r>
              <w:t xml:space="preserve">Azure Backup, AWS Backup</w:t>
            </w:r>
          </w:p>
        </w:tc>
        <w:tc>
          <w:tcPr/>
          <w:p>
            <w:pPr>
              <w:pStyle w:val="Compact"/>
              <w:jc w:val="left"/>
            </w:pPr>
            <w:r>
              <w:t xml:space="preserve">✅ Veeam auf EU-Storage, Restic</w:t>
            </w:r>
          </w:p>
        </w:tc>
      </w:tr>
    </w:tbl>
    <w:bookmarkEnd w:id="79"/>
    <w:bookmarkStart w:id="80" w:name="e-compliance-gesundheitsspezifisch"/>
    <w:p>
      <w:pPr>
        <w:pStyle w:val="Heading4"/>
      </w:pPr>
      <w:r>
        <w:t xml:space="preserve">E — Compliance &amp; Gesundheitsspezifisch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US-Anbieter</w:t>
            </w:r>
          </w:p>
        </w:tc>
        <w:tc>
          <w:tcPr/>
          <w:p>
            <w:pPr>
              <w:pStyle w:val="Compact"/>
              <w:jc w:val="left"/>
            </w:pPr>
            <w:r>
              <w:t xml:space="preserve">Souveräner EU-Ersatz</w:t>
            </w:r>
          </w:p>
        </w:tc>
      </w:tr>
      <w:tr>
        <w:tc>
          <w:tcPr/>
          <w:p>
            <w:pPr>
              <w:pStyle w:val="Compact"/>
              <w:jc w:val="left"/>
            </w:pPr>
            <w:r>
              <w:rPr>
                <w:bCs/>
                <w:b/>
              </w:rPr>
              <w:t xml:space="preserve">ePA-Infrastruktur</w:t>
            </w:r>
          </w:p>
        </w:tc>
        <w:tc>
          <w:tcPr/>
          <w:p>
            <w:pPr>
              <w:pStyle w:val="Compact"/>
              <w:jc w:val="left"/>
            </w:pPr>
            <w:r>
              <w:t xml:space="preserve">gematik-Pflicht: TI-Anbindung</w:t>
            </w:r>
          </w:p>
        </w:tc>
        <w:tc>
          <w:tcPr/>
          <w:p>
            <w:pPr>
              <w:pStyle w:val="Compact"/>
              <w:jc w:val="left"/>
            </w:pPr>
            <w:r>
              <w:t xml:space="preserve">✅ nur zertifizierte TI-Anbieter (kein US-Hyperscaler direkt)</w:t>
            </w:r>
          </w:p>
        </w:tc>
      </w:tr>
      <w:tr>
        <w:tc>
          <w:tcPr/>
          <w:p>
            <w:pPr>
              <w:pStyle w:val="Compact"/>
              <w:jc w:val="left"/>
            </w:pPr>
            <w:r>
              <w:rPr>
                <w:bCs/>
                <w:b/>
              </w:rPr>
              <w:t xml:space="preserve">KIS (Krankenhausinformationssystem)</w:t>
            </w:r>
          </w:p>
        </w:tc>
        <w:tc>
          <w:tcPr/>
          <w:p>
            <w:pPr>
              <w:pStyle w:val="Compact"/>
              <w:jc w:val="left"/>
            </w:pPr>
            <w:r>
              <w:t xml:space="preserve">Oracle Health / Cerner (US!)</w:t>
            </w:r>
          </w:p>
        </w:tc>
        <w:tc>
          <w:tcPr/>
          <w:p>
            <w:pPr>
              <w:pStyle w:val="Compact"/>
              <w:jc w:val="left"/>
            </w:pPr>
            <w:r>
              <w:t xml:space="preserve">⚠️ CGM, iMedOne, SAP IS-H (DE/EU)</w:t>
            </w:r>
          </w:p>
        </w:tc>
      </w:tr>
      <w:tr>
        <w:tc>
          <w:tcPr/>
          <w:p>
            <w:pPr>
              <w:pStyle w:val="Compact"/>
              <w:jc w:val="left"/>
            </w:pPr>
            <w:r>
              <w:rPr>
                <w:bCs/>
                <w:b/>
              </w:rPr>
              <w:t xml:space="preserve">PVS (Praxisverwaltungssystem)</w:t>
            </w:r>
          </w:p>
        </w:tc>
        <w:tc>
          <w:tcPr/>
          <w:p>
            <w:pPr>
              <w:pStyle w:val="Compact"/>
              <w:jc w:val="left"/>
            </w:pPr>
            <w:r>
              <w:t xml:space="preserve">US-Abhängigkeit über KIS-Backend</w:t>
            </w:r>
          </w:p>
        </w:tc>
        <w:tc>
          <w:tcPr/>
          <w:p>
            <w:pPr>
              <w:pStyle w:val="Compact"/>
              <w:jc w:val="left"/>
            </w:pPr>
            <w:r>
              <w:t xml:space="preserve">✅ Medatixx, Turbomed, CompuMed (DE)</w:t>
            </w:r>
          </w:p>
        </w:tc>
      </w:tr>
      <w:tr>
        <w:tc>
          <w:tcPr/>
          <w:p>
            <w:pPr>
              <w:pStyle w:val="Compact"/>
              <w:jc w:val="left"/>
            </w:pPr>
            <w:r>
              <w:rPr>
                <w:bCs/>
                <w:b/>
              </w:rPr>
              <w:t xml:space="preserve">Abrechnungssystem GKV</w:t>
            </w:r>
          </w:p>
        </w:tc>
        <w:tc>
          <w:tcPr/>
          <w:p>
            <w:pPr>
              <w:pStyle w:val="Compact"/>
              <w:jc w:val="left"/>
            </w:pPr>
            <w:r>
              <w:t xml:space="preserve">SAP IS-H, Eigensysteme</w:t>
            </w:r>
          </w:p>
        </w:tc>
        <w:tc>
          <w:tcPr/>
          <w:p>
            <w:pPr>
              <w:pStyle w:val="Compact"/>
              <w:jc w:val="left"/>
            </w:pPr>
            <w:r>
              <w:t xml:space="preserve">✅ SAP on-premise oder EU-Cloud</w:t>
            </w:r>
          </w:p>
        </w:tc>
      </w:tr>
      <w:tr>
        <w:tc>
          <w:tcPr/>
          <w:p>
            <w:pPr>
              <w:pStyle w:val="Compact"/>
              <w:jc w:val="left"/>
            </w:pPr>
            <w:r>
              <w:rPr>
                <w:bCs/>
                <w:b/>
              </w:rPr>
              <w:t xml:space="preserve">Dokumentenarchiv / §630f BGB</w:t>
            </w:r>
          </w:p>
        </w:tc>
        <w:tc>
          <w:tcPr/>
          <w:p>
            <w:pPr>
              <w:pStyle w:val="Compact"/>
              <w:jc w:val="left"/>
            </w:pPr>
            <w:r>
              <w:t xml:space="preserve">SharePoint/Azure (MSFT)</w:t>
            </w:r>
          </w:p>
        </w:tc>
        <w:tc>
          <w:tcPr/>
          <w:p>
            <w:pPr>
              <w:pStyle w:val="Compact"/>
              <w:jc w:val="left"/>
            </w:pPr>
            <w:r>
              <w:t xml:space="preserve">✅ OpenCloud, d.velop, Fabasoft (AT)</w:t>
            </w:r>
          </w:p>
        </w:tc>
      </w:tr>
    </w:tbl>
    <w:p>
      <w:pPr>
        <w:pStyle w:val="BlockText"/>
      </w:pPr>
      <w:r>
        <w:rPr>
          <w:bCs/>
          <w:b/>
        </w:rPr>
        <w:t xml:space="preserve">Oracle Health / Cerner-Warnung:</w:t>
      </w:r>
      <w:r>
        <w:t xml:space="preserve"> </w:t>
      </w:r>
      <w:r>
        <w:t xml:space="preserve">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bookmarkEnd w:id="80"/>
    <w:bookmarkEnd w:id="81"/>
    <w:bookmarkStart w:id="82" w:name="X8791ad90e8cf817aa5ac0c9162a9196d46cccd0"/>
    <w:p>
      <w:pPr>
        <w:pStyle w:val="Heading3"/>
      </w:pPr>
      <w:r>
        <w:t xml:space="preserve">7.4 Was das für den Gesundheitssektor bedeutet</w:t>
      </w:r>
    </w:p>
    <w:p>
      <w:pPr>
        <w:pStyle w:val="FirstParagraph"/>
      </w:pPr>
      <w: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pStyle w:val="BodyText"/>
      </w:pPr>
      <w:r>
        <w:rPr>
          <w:bCs/>
          <w:b/>
        </w:rPr>
        <w:t xml:space="preserve">Die vier größten blinden Flecken</w:t>
      </w:r>
      <w:r>
        <w:t xml:space="preserve"> </w:t>
      </w:r>
      <w:r>
        <w:t xml:space="preserve">der aktuellen Souveränitätsdebatte im Gesundheitswesen:</w:t>
      </w:r>
      <w:r>
        <w:t xml:space="preserve"> </w:t>
      </w:r>
      <w:r>
        <w:t xml:space="preserve">1.</w:t>
      </w:r>
      <w:r>
        <w:t xml:space="preserve"> </w:t>
      </w:r>
      <w:r>
        <w:rPr>
          <w:bCs/>
          <w:b/>
        </w:rPr>
        <w:t xml:space="preserve">Snowflake</w:t>
      </w:r>
      <w:r>
        <w:t xml:space="preserve"> </w:t>
      </w:r>
      <w:r>
        <w:t xml:space="preserve">für GKV-Analytics — NYSE: SNOW, US-Hauptsitz, direktes CLOUD-Act-Risiko trotz Frankfurter Region</w:t>
      </w:r>
      <w:r>
        <w:t xml:space="preserve"> </w:t>
      </w:r>
      <w:r>
        <w:t xml:space="preserve">2.</w:t>
      </w:r>
      <w:r>
        <w:t xml:space="preserve"> </w:t>
      </w:r>
      <w:r>
        <w:rPr>
          <w:bCs/>
          <w:b/>
        </w:rPr>
        <w:t xml:space="preserve">Oracle Health / Cerner auf OCI</w:t>
      </w:r>
      <w:r>
        <w:t xml:space="preserve"> </w:t>
      </w:r>
      <w:r>
        <w:t xml:space="preserve">für Kliniken — NYSE: ORCL, strukturell gleichwertig mit Azure aus CLOUD-Act-Perspektive</w:t>
      </w:r>
      <w:r>
        <w:t xml:space="preserve"> </w:t>
      </w:r>
      <w:r>
        <w:t xml:space="preserve">3.</w:t>
      </w:r>
      <w:r>
        <w:t xml:space="preserve"> </w:t>
      </w:r>
      <w:r>
        <w:rPr>
          <w:bCs/>
          <w:b/>
        </w:rPr>
        <w:t xml:space="preserve">Qlik Cloud</w:t>
      </w:r>
      <w:r>
        <w:t xml:space="preserve"> </w:t>
      </w:r>
      <w:r>
        <w:t xml:space="preserve">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r>
        <w:t xml:space="preserve"> </w:t>
      </w:r>
      <w:r>
        <w:t xml:space="preserve">4.</w:t>
      </w:r>
      <w:r>
        <w:t xml:space="preserve"> </w:t>
      </w:r>
      <w:r>
        <w:rPr>
          <w:bCs/>
          <w:b/>
        </w:rPr>
        <w:t xml:space="preserve">KI-Dienste</w:t>
      </w:r>
      <w:r>
        <w:t xml:space="preserve"> </w:t>
      </w:r>
      <w:r>
        <w:t xml:space="preserve">(Azure OpenAI, Google Gemini, AWS Bedrock) — verarbeiten Patientendaten zwangsläufig im Klartext; clientseitige Verschlüsselung unmöglich; cloudbasierte Integrationsplattformen (Zapier, Power Automate) als versteckte Datenflüsse. Ausführlich analysiert in §7.5.</w:t>
      </w:r>
    </w:p>
    <w:p>
      <w:pPr>
        <w:pStyle w:val="BodyText"/>
      </w:pPr>
      <w:r>
        <w:t xml:space="preserve">Die ersten drei werden in der Praxis kaum als CLOUD-Act-Risiko diskutiert — obwohl sie tägliche Kernsysteme für Gesundheitsdaten betreiben. Der vierte wächst am schnellsten.</w:t>
      </w:r>
    </w:p>
    <w:bookmarkEnd w:id="82"/>
    <w:bookmarkStart w:id="90" w:name="Xd5adb84a39a5222eb7802e1d1a47abd273fbecd"/>
    <w:p>
      <w:pPr>
        <w:pStyle w:val="Heading3"/>
      </w:pPr>
      <w:r>
        <w:t xml:space="preserve">7.5 KI-Anbieter und Integrationsplattformen — der blinde Fleck bei Klartextverarbeitung</w:t>
      </w:r>
    </w:p>
    <w:p>
      <w:pPr>
        <w:pStyle w:val="FirstParagraph"/>
      </w:pPr>
      <w:r>
        <w:t xml:space="preserve">Die Tabelle in §7.3 C zeigt die Anbieter-Landschaft für KI-Services. Dieser Abschnitt behandelt ein spezifischeres Problem:</w:t>
      </w:r>
      <w:r>
        <w:t xml:space="preserve"> </w:t>
      </w:r>
      <w:r>
        <w:rPr>
          <w:bCs/>
          <w:b/>
        </w:rPr>
        <w:t xml:space="preserve">KI-Dienste verarbeiten Eingabedaten zwangsläufig im Klartext.</w:t>
      </w:r>
      <w:r>
        <w:t xml:space="preserve"> </w:t>
      </w:r>
      <w:r>
        <w:t xml:space="preserve">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bookmarkStart w:id="83" w:name="X321bd7c75fa22cac21abb5724a7eb1f1505e961"/>
    <w:p>
      <w:pPr>
        <w:pStyle w:val="Heading4"/>
      </w:pPr>
      <w:r>
        <w:t xml:space="preserve">Gesundheitsspezifische KI-Anwendungsfälle und ihre CLOUD-Act-Exposition</w:t>
      </w:r>
    </w:p>
    <w:p>
      <w:pPr>
        <w:pStyle w:val="FirstParagraph"/>
      </w:pPr>
      <w:r>
        <w:t xml:space="preserve">Im Gesundheitswesen entstehen gerade vier KI-Anwendungsmuster, die alle Klartextverarbeitung</w:t>
      </w:r>
      <w:r>
        <w:t xml:space="preserve"> </w:t>
      </w:r>
      <w:r>
        <w:rPr>
          <w:bCs/>
          <w:b/>
        </w:rPr>
        <w:t xml:space="preserve">sensibler Patientendaten</w:t>
      </w:r>
      <w:r>
        <w:t xml:space="preserve"> </w:t>
      </w:r>
      <w:r>
        <w:t xml:space="preserve">erfordern:</w:t>
      </w:r>
    </w:p>
    <w:p>
      <w:pPr>
        <w:pStyle w:val="BodyText"/>
      </w:pPr>
      <w:r>
        <w:rPr>
          <w:bCs/>
          <w:b/>
        </w:rPr>
        <w:t xml:space="preserve">1. Transkription und Zusammenfassung von Arzt-Patienten-Gesprächen.</w:t>
      </w:r>
      <w:r>
        <w:t xml:space="preserve"> </w:t>
      </w:r>
      <w:r>
        <w:t xml:space="preserve">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pStyle w:val="BodyText"/>
      </w:pPr>
      <w:r>
        <w:rPr>
          <w:bCs/>
          <w:b/>
        </w:rPr>
        <w:t xml:space="preserve">2. Automatisierte Arztbriefe.</w:t>
      </w:r>
      <w:r>
        <w:t xml:space="preserve"> </w:t>
      </w:r>
      <w:r>
        <w:t xml:space="preserve">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pStyle w:val="BodyText"/>
      </w:pPr>
      <w:r>
        <w:rPr>
          <w:bCs/>
          <w:b/>
        </w:rPr>
        <w:t xml:space="preserve">3. E-Mail- und Dokumentenzusammenfassung.</w:t>
      </w:r>
      <w:r>
        <w:t xml:space="preserve"> </w:t>
      </w:r>
      <w:r>
        <w:t xml:space="preserve">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pStyle w:val="BodyText"/>
      </w:pPr>
      <w:r>
        <w:rPr>
          <w:bCs/>
          <w:b/>
        </w:rPr>
        <w:t xml:space="preserve">4. KI-gestützte Kodierung und Abrechnung.</w:t>
      </w:r>
      <w:r>
        <w:t xml:space="preserve"> </w:t>
      </w:r>
      <w:r>
        <w:t xml:space="preserve">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bookmarkEnd w:id="83"/>
    <w:bookmarkStart w:id="84" w:name="X77d93e30baa766d7c4daccbcf24c6af29f405c4"/>
    <w:p>
      <w:pPr>
        <w:pStyle w:val="Heading4"/>
      </w:pPr>
      <w:r>
        <w:t xml:space="preserve">CLOUD-Act-Risikobewertung der großen KI-Anbieter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Infrastruktur</w:t>
            </w:r>
          </w:p>
        </w:tc>
        <w:tc>
          <w:tcPr/>
          <w:p>
            <w:pPr>
              <w:pStyle w:val="Compact"/>
              <w:jc w:val="left"/>
            </w:pPr>
            <w:r>
              <w:t xml:space="preserve">CLOUD-Act-Risiko</w:t>
            </w:r>
          </w:p>
        </w:tc>
        <w:tc>
          <w:tcPr/>
          <w:p>
            <w:pPr>
              <w:pStyle w:val="Compact"/>
              <w:jc w:val="left"/>
            </w:pPr>
            <w:r>
              <w:t xml:space="preserve">Gesundheitseinsatz</w:t>
            </w:r>
          </w:p>
        </w:tc>
      </w:tr>
      <w:tr>
        <w:tc>
          <w:tcPr/>
          <w:p>
            <w:pPr>
              <w:pStyle w:val="Compact"/>
              <w:jc w:val="left"/>
            </w:pPr>
            <w:r>
              <w:rPr>
                <w:bCs/>
                <w:b/>
              </w:rPr>
              <w:t xml:space="preserve">OpenAI (GPT-4o, o3)</w:t>
            </w:r>
          </w:p>
        </w:tc>
        <w:tc>
          <w:tcPr/>
          <w:p>
            <w:pPr>
              <w:pStyle w:val="Compact"/>
              <w:jc w:val="left"/>
            </w:pPr>
            <w:r>
              <w:t xml:space="preserve">US (Microsoft-Partnerschaft)</w:t>
            </w:r>
          </w:p>
        </w:tc>
        <w:tc>
          <w:tcPr/>
          <w:p>
            <w:pPr>
              <w:pStyle w:val="Compact"/>
              <w:jc w:val="left"/>
            </w:pPr>
            <w:r>
              <w:t xml:space="preserve">Azure (MSFT)</w:t>
            </w:r>
          </w:p>
        </w:tc>
        <w:tc>
          <w:tcPr/>
          <w:p>
            <w:pPr>
              <w:pStyle w:val="Compact"/>
              <w:jc w:val="left"/>
            </w:pPr>
            <w:r>
              <w:t xml:space="preserve">🔴 Direkt — US-Unternehmen auf US-Infrastruktur</w:t>
            </w:r>
          </w:p>
        </w:tc>
        <w:tc>
          <w:tcPr/>
          <w:p>
            <w:pPr>
              <w:pStyle w:val="Compact"/>
              <w:jc w:val="left"/>
            </w:pPr>
            <w:r>
              <w:t xml:space="preserve">Azure OpenAI Service in KVNO-KI-Plattform (TED 98706-2026)</w:t>
            </w:r>
          </w:p>
        </w:tc>
      </w:tr>
      <w:tr>
        <w:tc>
          <w:tcPr/>
          <w:p>
            <w:pPr>
              <w:pStyle w:val="Compact"/>
              <w:jc w:val="left"/>
            </w:pPr>
            <w:r>
              <w:rPr>
                <w:bCs/>
                <w:b/>
              </w:rPr>
              <w:t xml:space="preserve">Google Gemini</w:t>
            </w:r>
          </w:p>
        </w:tc>
        <w:tc>
          <w:tcPr/>
          <w:p>
            <w:pPr>
              <w:pStyle w:val="Compact"/>
              <w:jc w:val="left"/>
            </w:pPr>
            <w:r>
              <w:t xml:space="preserve">NYSE: GOOGL</w:t>
            </w:r>
          </w:p>
        </w:tc>
        <w:tc>
          <w:tcPr/>
          <w:p>
            <w:pPr>
              <w:pStyle w:val="Compact"/>
              <w:jc w:val="left"/>
            </w:pPr>
            <w:r>
              <w:t xml:space="preserve">Google Cloud (US)</w:t>
            </w:r>
          </w:p>
        </w:tc>
        <w:tc>
          <w:tcPr/>
          <w:p>
            <w:pPr>
              <w:pStyle w:val="Compact"/>
              <w:jc w:val="left"/>
            </w:pPr>
            <w:r>
              <w:t xml:space="preserve">🔴 Direkt</w:t>
            </w:r>
          </w:p>
        </w:tc>
        <w:tc>
          <w:tcPr/>
          <w:p>
            <w:pPr>
              <w:pStyle w:val="Compact"/>
              <w:jc w:val="left"/>
            </w:pPr>
            <w:r>
              <w:t xml:space="preserve">Ambient Clinical Intelligence in Pilotprojekten</w:t>
            </w:r>
          </w:p>
        </w:tc>
      </w:tr>
      <w:tr>
        <w:tc>
          <w:tcPr/>
          <w:p>
            <w:pPr>
              <w:pStyle w:val="Compact"/>
              <w:jc w:val="left"/>
            </w:pPr>
            <w:r>
              <w:rPr>
                <w:bCs/>
                <w:b/>
              </w:rPr>
              <w:t xml:space="preserve">Anthropic (Claude)</w:t>
            </w:r>
          </w:p>
        </w:tc>
        <w:tc>
          <w:tcPr/>
          <w:p>
            <w:pPr>
              <w:pStyle w:val="Compact"/>
              <w:jc w:val="left"/>
            </w:pPr>
            <w:r>
              <w:t xml:space="preserve">US (Amazon-Beteiligung)</w:t>
            </w:r>
          </w:p>
        </w:tc>
        <w:tc>
          <w:tcPr/>
          <w:p>
            <w:pPr>
              <w:pStyle w:val="Compact"/>
              <w:jc w:val="left"/>
            </w:pPr>
            <w:r>
              <w:t xml:space="preserve">AWS / GCP</w:t>
            </w:r>
          </w:p>
        </w:tc>
        <w:tc>
          <w:tcPr/>
          <w:p>
            <w:pPr>
              <w:pStyle w:val="Compact"/>
              <w:jc w:val="left"/>
            </w:pPr>
            <w:r>
              <w:t xml:space="preserve">🔴 Direkt — US-Unternehmen</w:t>
            </w:r>
          </w:p>
        </w:tc>
        <w:tc>
          <w:tcPr/>
          <w:p>
            <w:pPr>
              <w:pStyle w:val="Compact"/>
              <w:jc w:val="left"/>
            </w:pPr>
            <w:r>
              <w:t xml:space="preserve">Enterprise-API für Dokumentenanalyse</w:t>
            </w:r>
          </w:p>
        </w:tc>
      </w:tr>
      <w:tr>
        <w:tc>
          <w:tcPr/>
          <w:p>
            <w:pPr>
              <w:pStyle w:val="Compact"/>
              <w:jc w:val="left"/>
            </w:pPr>
            <w:r>
              <w:rPr>
                <w:bCs/>
                <w:b/>
              </w:rPr>
              <w:t xml:space="preserve">Microsoft Copilot</w:t>
            </w:r>
          </w:p>
        </w:tc>
        <w:tc>
          <w:tcPr/>
          <w:p>
            <w:pPr>
              <w:pStyle w:val="Compact"/>
              <w:jc w:val="left"/>
            </w:pPr>
            <w:r>
              <w:t xml:space="preserve">NYSE: MSFT</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M365-Integration in Kliniken/GKVen</w:t>
            </w:r>
          </w:p>
        </w:tc>
      </w:tr>
      <w:tr>
        <w:tc>
          <w:tcPr/>
          <w:p>
            <w:pPr>
              <w:pStyle w:val="Compact"/>
              <w:jc w:val="left"/>
            </w:pPr>
            <w:r>
              <w:rPr>
                <w:bCs/>
                <w:b/>
              </w:rPr>
              <w:t xml:space="preserve">Nuance DAX (Microsoft)</w:t>
            </w:r>
          </w:p>
        </w:tc>
        <w:tc>
          <w:tcPr/>
          <w:p>
            <w:pPr>
              <w:pStyle w:val="Compact"/>
              <w:jc w:val="left"/>
            </w:pPr>
            <w:r>
              <w:t xml:space="preserve">NYSE: MSFT (Übernahme 2022, 18,8 Mrd. USD)</w:t>
            </w:r>
          </w:p>
        </w:tc>
        <w:tc>
          <w:tcPr/>
          <w:p>
            <w:pPr>
              <w:pStyle w:val="Compact"/>
              <w:jc w:val="left"/>
            </w:pPr>
            <w:r>
              <w:t xml:space="preserve">Azure (US)</w:t>
            </w:r>
          </w:p>
        </w:tc>
        <w:tc>
          <w:tcPr/>
          <w:p>
            <w:pPr>
              <w:pStyle w:val="Compact"/>
              <w:jc w:val="left"/>
            </w:pPr>
            <w:r>
              <w:t xml:space="preserve">🔴 Direkt</w:t>
            </w:r>
          </w:p>
        </w:tc>
        <w:tc>
          <w:tcPr/>
          <w:p>
            <w:pPr>
              <w:pStyle w:val="Compact"/>
              <w:jc w:val="left"/>
            </w:pPr>
            <w:r>
              <w:t xml:space="preserve">Marktführer klinische Sprachdokumentation</w:t>
            </w:r>
          </w:p>
        </w:tc>
      </w:tr>
      <w:tr>
        <w:tc>
          <w:tcPr/>
          <w:p>
            <w:pPr>
              <w:pStyle w:val="Compact"/>
              <w:jc w:val="left"/>
            </w:pPr>
            <w:r>
              <w:rPr>
                <w:bCs/>
                <w:b/>
              </w:rPr>
              <w:t xml:space="preserve">DeepSeek</w:t>
            </w:r>
          </w:p>
        </w:tc>
        <w:tc>
          <w:tcPr/>
          <w:p>
            <w:pPr>
              <w:pStyle w:val="Compact"/>
              <w:jc w:val="left"/>
            </w:pPr>
            <w:r>
              <w:t xml:space="preserve">CN (Hangzhou)</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Open-Source-Modelle lokal deploybar</w:t>
            </w:r>
          </w:p>
        </w:tc>
      </w:tr>
      <w:tr>
        <w:tc>
          <w:tcPr/>
          <w:p>
            <w:pPr>
              <w:pStyle w:val="Compact"/>
              <w:jc w:val="left"/>
            </w:pPr>
            <w:r>
              <w:rPr>
                <w:bCs/>
                <w:b/>
              </w:rPr>
              <w:t xml:space="preserve">Mistral AI</w:t>
            </w:r>
          </w:p>
        </w:tc>
        <w:tc>
          <w:tcPr/>
          <w:p>
            <w:pPr>
              <w:pStyle w:val="Compact"/>
              <w:jc w:val="left"/>
            </w:pPr>
            <w:r>
              <w:t xml:space="preserve">FR (Paris, SAS)</w:t>
            </w:r>
          </w:p>
        </w:tc>
        <w:tc>
          <w:tcPr/>
          <w:p>
            <w:pPr>
              <w:pStyle w:val="Compact"/>
              <w:jc w:val="left"/>
            </w:pPr>
            <w:r>
              <w:t xml:space="preserve">Scaleway (FR)</w:t>
            </w:r>
          </w:p>
        </w:tc>
        <w:tc>
          <w:tcPr/>
          <w:p>
            <w:pPr>
              <w:pStyle w:val="Compact"/>
              <w:jc w:val="left"/>
            </w:pPr>
            <w:r>
              <w:t xml:space="preserve">🟢 EU-souverän</w:t>
            </w:r>
          </w:p>
        </w:tc>
        <w:tc>
          <w:tcPr/>
          <w:p>
            <w:pPr>
              <w:pStyle w:val="Compact"/>
              <w:jc w:val="left"/>
            </w:pPr>
            <w:r>
              <w:t xml:space="preserve">Self-hosted oder API; bevorzugte EU-Option</w:t>
            </w:r>
          </w:p>
        </w:tc>
      </w:tr>
      <w:tr>
        <w:tc>
          <w:tcPr/>
          <w:p>
            <w:pPr>
              <w:pStyle w:val="Compact"/>
              <w:jc w:val="left"/>
            </w:pPr>
            <w:r>
              <w:rPr>
                <w:bCs/>
                <w:b/>
              </w:rPr>
              <w:t xml:space="preserve">Aleph Alpha (Luminous)</w:t>
            </w:r>
          </w:p>
        </w:tc>
        <w:tc>
          <w:tcPr/>
          <w:p>
            <w:pPr>
              <w:pStyle w:val="Compact"/>
              <w:jc w:val="left"/>
            </w:pPr>
            <w:r>
              <w:t xml:space="preserve">DE (Heidelberg)</w:t>
            </w:r>
          </w:p>
        </w:tc>
        <w:tc>
          <w:tcPr/>
          <w:p>
            <w:pPr>
              <w:pStyle w:val="Compact"/>
              <w:jc w:val="left"/>
            </w:pPr>
            <w:r>
              <w:t xml:space="preserve">IONOS / STACKIT</w:t>
            </w:r>
          </w:p>
        </w:tc>
        <w:tc>
          <w:tcPr/>
          <w:p>
            <w:pPr>
              <w:pStyle w:val="Compact"/>
              <w:jc w:val="left"/>
            </w:pPr>
            <w:r>
              <w:t xml:space="preserve">🟢 EU-souverän (DE)</w:t>
            </w:r>
          </w:p>
        </w:tc>
        <w:tc>
          <w:tcPr/>
          <w:p>
            <w:pPr>
              <w:pStyle w:val="Compact"/>
              <w:jc w:val="left"/>
            </w:pPr>
            <w:r>
              <w:t xml:space="preserve">BW-Verwaltung; Gesundheitssektor noch begrenzt</w:t>
            </w:r>
          </w:p>
        </w:tc>
      </w:tr>
      <w:tr>
        <w:tc>
          <w:tcPr/>
          <w:p>
            <w:pPr>
              <w:pStyle w:val="Compact"/>
              <w:jc w:val="left"/>
            </w:pPr>
            <w:r>
              <w:rPr>
                <w:bCs/>
                <w:b/>
              </w:rPr>
              <w:t xml:space="preserve">Kimi (Moonshot AI)</w:t>
            </w:r>
          </w:p>
        </w:tc>
        <w:tc>
          <w:tcPr/>
          <w:p>
            <w:pPr>
              <w:pStyle w:val="Compact"/>
              <w:jc w:val="left"/>
            </w:pPr>
            <w:r>
              <w:t xml:space="preserve">CN (Peking)</w:t>
            </w:r>
          </w:p>
        </w:tc>
        <w:tc>
          <w:tcPr/>
          <w:p>
            <w:pPr>
              <w:pStyle w:val="Compact"/>
              <w:jc w:val="left"/>
            </w:pPr>
            <w:r>
              <w:t xml:space="preserve">China-basiert</w:t>
            </w:r>
          </w:p>
        </w:tc>
        <w:tc>
          <w:tcPr/>
          <w:p>
            <w:pPr>
              <w:pStyle w:val="Compact"/>
              <w:jc w:val="left"/>
            </w:pPr>
            <w:r>
              <w:t xml:space="preserve">🔴 Nicht CLOUD Act, aber CN-Datengesetze</w:t>
            </w:r>
          </w:p>
        </w:tc>
        <w:tc>
          <w:tcPr/>
          <w:p>
            <w:pPr>
              <w:pStyle w:val="Compact"/>
              <w:jc w:val="left"/>
            </w:pPr>
            <w:r>
              <w:t xml:space="preserve">Kimi 2.5 — leistungsfähig, aber chinesische Jurisdiktion</w:t>
            </w:r>
          </w:p>
        </w:tc>
      </w:tr>
      <w:tr>
        <w:tc>
          <w:tcPr/>
          <w:p>
            <w:pPr>
              <w:pStyle w:val="Compact"/>
              <w:jc w:val="left"/>
            </w:pPr>
            <w:r>
              <w:rPr>
                <w:bCs/>
                <w:b/>
              </w:rPr>
              <w:t xml:space="preserve">OpenEuroLLM</w:t>
            </w:r>
          </w:p>
        </w:tc>
        <w:tc>
          <w:tcPr/>
          <w:p>
            <w:pPr>
              <w:pStyle w:val="Compact"/>
              <w:jc w:val="left"/>
            </w:pPr>
            <w:r>
              <w:t xml:space="preserve">EU-Konsortium (13 Partner)</w:t>
            </w:r>
          </w:p>
        </w:tc>
        <w:tc>
          <w:tcPr/>
          <w:p>
            <w:pPr>
              <w:pStyle w:val="Compact"/>
              <w:jc w:val="left"/>
            </w:pPr>
            <w:r>
              <w:t xml:space="preserve">EuroHPC (LUMI, Leonardo)</w:t>
            </w:r>
          </w:p>
        </w:tc>
        <w:tc>
          <w:tcPr/>
          <w:p>
            <w:pPr>
              <w:pStyle w:val="Compact"/>
              <w:jc w:val="left"/>
            </w:pPr>
            <w:r>
              <w:t xml:space="preserve">🟢 EU-souverän</w:t>
            </w:r>
          </w:p>
        </w:tc>
        <w:tc>
          <w:tcPr/>
          <w:p>
            <w:pPr>
              <w:pStyle w:val="Compact"/>
              <w:jc w:val="left"/>
            </w:pPr>
            <w:r>
              <w:t xml:space="preserve">Forschung; produktiver Einsatz ab 2026</w:t>
            </w:r>
          </w:p>
        </w:tc>
      </w:tr>
    </w:tbl>
    <w:bookmarkEnd w:id="84"/>
    <w:bookmarkStart w:id="85" w:name="X45c0b79dbff1b1c88ecc4157d378d68a03ee5dc"/>
    <w:p>
      <w:pPr>
        <w:pStyle w:val="Heading4"/>
      </w:pPr>
      <w:r>
        <w:t xml:space="preserve">Integrationsplattformen — der versteckte Datenfluss</w:t>
      </w:r>
    </w:p>
    <w:p>
      <w:pPr>
        <w:pStyle w:val="FirstParagraph"/>
      </w:pPr>
      <w:r>
        <w:t xml:space="preserve">Neben den KI-Anbietern selbst entsteht ein zweites, oft übersehenes Risiko durch</w:t>
      </w:r>
      <w:r>
        <w:t xml:space="preserve"> </w:t>
      </w:r>
      <w:r>
        <w:rPr>
          <w:bCs/>
          <w:b/>
        </w:rPr>
        <w:t xml:space="preserve">cloudbasierte Integrationsplattformen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CLOUD-Act-Risiko</w:t>
            </w:r>
          </w:p>
        </w:tc>
        <w:tc>
          <w:tcPr/>
          <w:p>
            <w:pPr>
              <w:pStyle w:val="Compact"/>
              <w:jc w:val="left"/>
            </w:pPr>
            <w:r>
              <w:t xml:space="preserve">Typischer Einsatz im Gesundheitswesen</w:t>
            </w:r>
          </w:p>
        </w:tc>
      </w:tr>
      <w:tr>
        <w:tc>
          <w:tcPr/>
          <w:p>
            <w:pPr>
              <w:pStyle w:val="Compact"/>
              <w:jc w:val="left"/>
            </w:pPr>
            <w:r>
              <w:rPr>
                <w:bCs/>
                <w:b/>
              </w:rPr>
              <w:t xml:space="preserve">Zapier</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Automatisierung:</w:t>
            </w:r>
            <w:r>
              <w:t xml:space="preserve"> </w:t>
            </w:r>
            <w:r>
              <w:t xml:space="preserve">“</w:t>
            </w:r>
            <w:r>
              <w:t xml:space="preserve">Wenn neue E-Mail mit Befund, dann an KI-Zusammenfassung</w:t>
            </w:r>
            <w:r>
              <w:t xml:space="preserve">”</w:t>
            </w:r>
          </w:p>
        </w:tc>
      </w:tr>
      <w:tr>
        <w:tc>
          <w:tcPr/>
          <w:p>
            <w:pPr>
              <w:pStyle w:val="Compact"/>
              <w:jc w:val="left"/>
            </w:pPr>
            <w:r>
              <w:rPr>
                <w:bCs/>
                <w:b/>
              </w:rPr>
              <w:t xml:space="preserve">Make (Integromat)</w:t>
            </w:r>
          </w:p>
        </w:tc>
        <w:tc>
          <w:tcPr/>
          <w:p>
            <w:pPr>
              <w:pStyle w:val="Compact"/>
              <w:jc w:val="left"/>
            </w:pPr>
            <w:r>
              <w:t xml:space="preserve">CZ (Prag)</w:t>
            </w:r>
          </w:p>
        </w:tc>
        <w:tc>
          <w:tcPr/>
          <w:p>
            <w:pPr>
              <w:pStyle w:val="Compact"/>
              <w:jc w:val="left"/>
            </w:pPr>
            <w:r>
              <w:t xml:space="preserve">🟢 EU-souverän</w:t>
            </w:r>
          </w:p>
        </w:tc>
        <w:tc>
          <w:tcPr/>
          <w:p>
            <w:pPr>
              <w:pStyle w:val="Compact"/>
              <w:jc w:val="left"/>
            </w:pPr>
            <w:r>
              <w:t xml:space="preserve">Workflow-Automatisierung, EU-Alternative zu Zapier</w:t>
            </w:r>
          </w:p>
        </w:tc>
      </w:tr>
      <w:tr>
        <w:tc>
          <w:tcPr/>
          <w:p>
            <w:pPr>
              <w:pStyle w:val="Compact"/>
              <w:jc w:val="left"/>
            </w:pPr>
            <w:r>
              <w:rPr>
                <w:bCs/>
                <w:b/>
              </w:rPr>
              <w:t xml:space="preserve">Microsoft Power Automate</w:t>
            </w:r>
          </w:p>
        </w:tc>
        <w:tc>
          <w:tcPr/>
          <w:p>
            <w:pPr>
              <w:pStyle w:val="Compact"/>
              <w:jc w:val="left"/>
            </w:pPr>
            <w:r>
              <w:t xml:space="preserve">NYSE: MSFT</w:t>
            </w:r>
          </w:p>
        </w:tc>
        <w:tc>
          <w:tcPr/>
          <w:p>
            <w:pPr>
              <w:pStyle w:val="Compact"/>
              <w:jc w:val="left"/>
            </w:pPr>
            <w:r>
              <w:t xml:space="preserve">🔴 Direkt</w:t>
            </w:r>
          </w:p>
        </w:tc>
        <w:tc>
          <w:tcPr/>
          <w:p>
            <w:pPr>
              <w:pStyle w:val="Compact"/>
              <w:jc w:val="left"/>
            </w:pPr>
            <w:r>
              <w:t xml:space="preserve">M365-Workflows: Dokumentenfreigabe, Benachrichtigungen mit Patientendaten</w:t>
            </w:r>
          </w:p>
        </w:tc>
      </w:tr>
      <w:tr>
        <w:tc>
          <w:tcPr/>
          <w:p>
            <w:pPr>
              <w:pStyle w:val="Compact"/>
              <w:jc w:val="left"/>
            </w:pPr>
            <w:r>
              <w:rPr>
                <w:bCs/>
                <w:b/>
              </w:rPr>
              <w:t xml:space="preserve">n8n</w:t>
            </w:r>
          </w:p>
        </w:tc>
        <w:tc>
          <w:tcPr/>
          <w:p>
            <w:pPr>
              <w:pStyle w:val="Compact"/>
              <w:jc w:val="left"/>
            </w:pPr>
            <w:r>
              <w:t xml:space="preserve">DE (Berlin)</w:t>
            </w:r>
          </w:p>
        </w:tc>
        <w:tc>
          <w:tcPr/>
          <w:p>
            <w:pPr>
              <w:pStyle w:val="Compact"/>
              <w:jc w:val="left"/>
            </w:pPr>
            <w:r>
              <w:t xml:space="preserve">🟢 EU-souverän (self-hosted möglich)</w:t>
            </w:r>
          </w:p>
        </w:tc>
        <w:tc>
          <w:tcPr/>
          <w:p>
            <w:pPr>
              <w:pStyle w:val="Compact"/>
              <w:jc w:val="left"/>
            </w:pPr>
            <w:r>
              <w:t xml:space="preserve">Open-Source-Automatisierung; self-hosted auf EU-Infrastruktur bevorzugt</w:t>
            </w:r>
          </w:p>
        </w:tc>
      </w:tr>
      <w:tr>
        <w:tc>
          <w:tcPr/>
          <w:p>
            <w:pPr>
              <w:pStyle w:val="Compact"/>
              <w:jc w:val="left"/>
            </w:pPr>
            <w:r>
              <w:rPr>
                <w:bCs/>
                <w:b/>
              </w:rPr>
              <w:t xml:space="preserve">IFTTT</w:t>
            </w:r>
          </w:p>
        </w:tc>
        <w:tc>
          <w:tcPr/>
          <w:p>
            <w:pPr>
              <w:pStyle w:val="Compact"/>
              <w:jc w:val="left"/>
            </w:pPr>
            <w:r>
              <w:t xml:space="preserve">US (San Francisco)</w:t>
            </w:r>
          </w:p>
        </w:tc>
        <w:tc>
          <w:tcPr/>
          <w:p>
            <w:pPr>
              <w:pStyle w:val="Compact"/>
              <w:jc w:val="left"/>
            </w:pPr>
            <w:r>
              <w:t xml:space="preserve">🔴 Direkt</w:t>
            </w:r>
          </w:p>
        </w:tc>
        <w:tc>
          <w:tcPr/>
          <w:p>
            <w:pPr>
              <w:pStyle w:val="Compact"/>
              <w:jc w:val="left"/>
            </w:pPr>
            <w:r>
              <w:t xml:space="preserve">Consumer-Automatisierung, vereinzelt in Praxis-IT</w:t>
            </w:r>
          </w:p>
        </w:tc>
      </w:tr>
    </w:tbl>
    <w:p>
      <w:pPr>
        <w:pStyle w:val="BodyText"/>
      </w:pPr>
      <w:r>
        <w:t xml:space="preserve">Das Problem: Integrationsplattformen sind</w:t>
      </w:r>
      <w:r>
        <w:t xml:space="preserve"> </w:t>
      </w:r>
      <w:r>
        <w:rPr>
          <w:bCs/>
          <w:b/>
        </w:rPr>
        <w:t xml:space="preserve">Datendrehscheiben</w:t>
      </w:r>
      <w:r>
        <w:t xml:space="preserve">. Sie lesen, transformieren und weiterleiten Daten zwischen Systemen — häufig einschließlich Patientendaten, Termindetails, Befunde, Abrechnungsinformationen. Eine Zapier-Automatisierung, die E-Mails mit Befunden an eine GPT-Zusammenfassung weiterleitet, erzeugt eine</w:t>
      </w:r>
      <w:r>
        <w:t xml:space="preserve"> </w:t>
      </w:r>
      <w:r>
        <w:rPr>
          <w:bCs/>
          <w:b/>
        </w:rPr>
        <w:t xml:space="preserve">doppelte CLOUD-Act-Exposition</w:t>
      </w:r>
      <w:r>
        <w:t xml:space="preserve">: einmal bei Zapier (US), einmal bei OpenAI (US). n8n (self-hosted auf EU-Infrastruktur) + Mistral (self-hosted oder Scaleway) ist die souveräne Alternative für denselben Workflow.</w:t>
      </w:r>
    </w:p>
    <w:bookmarkEnd w:id="85"/>
    <w:bookmarkStart w:id="86" w:name="X557a794ae3d773625dca6bb79fb000dd51f0678"/>
    <w:p>
      <w:pPr>
        <w:pStyle w:val="Heading4"/>
      </w:pPr>
      <w:r>
        <w:t xml:space="preserve">Kernaussage — warum KI der vierte blinde Fleck ist</w:t>
      </w:r>
    </w:p>
    <w:p>
      <w:pPr>
        <w:pStyle w:val="FirstParagraph"/>
      </w:pPr>
      <w:r>
        <w:t xml:space="preserve">Die ersten drei blinden Flecken (Snowflake, Oracle Health, Qlik Cloud — §7.4) betreffen klassische Datenhaltung und Analytics. Der vierte blinde Fleck ist gravierender:</w:t>
      </w:r>
      <w:r>
        <w:t xml:space="preserve"> </w:t>
      </w:r>
      <w:r>
        <w:rPr>
          <w:bCs/>
          <w:b/>
        </w:rPr>
        <w:t xml:space="preserve">KI-Dienste verarbeiten die sensibelsten Daten im Gesundheitswesen — Arzt-Patienten-Gespräche, Diagnosen, Behandlungsverläufe — zwangsläufig im Klartext.</w:t>
      </w:r>
      <w:r>
        <w:t xml:space="preserve"> </w:t>
      </w:r>
      <w:r>
        <w:t xml:space="preserve">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pStyle w:val="BodyText"/>
      </w:pPr>
      <w:r>
        <w:rPr>
          <w:bCs/>
          <w:b/>
        </w:rPr>
        <w:t xml:space="preserve">Die souveräne Alternative existiert:</w:t>
      </w:r>
      <w:r>
        <w:t xml:space="preserve"> </w:t>
      </w:r>
      <w:r>
        <w:t xml:space="preserve">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bookmarkEnd w:id="86"/>
    <w:bookmarkStart w:id="87" w:name="vier-fallbeispiele-das-spektrum-von-bis"/>
    <w:p>
      <w:pPr>
        <w:pStyle w:val="Heading4"/>
      </w:pPr>
      <w:r>
        <w:t xml:space="preserve">Vier Fallbeispiele — das Spektrum von 🔴 bis 🟢</w:t>
      </w:r>
    </w:p>
    <w:p>
      <w:pPr>
        <w:pStyle w:val="FirstParagraph"/>
      </w:pPr>
      <w:r>
        <w:t xml:space="preserve">Die Theorie wird greifbar an konkreten Produkten, die heute im deutschen Gesundheitswesen eingesetzt werden oder werden sollen:</w:t>
      </w:r>
    </w:p>
    <w:p>
      <w:pPr>
        <w:pStyle w:val="BodyText"/>
      </w:pPr>
      <w:r>
        <w:rPr>
          <w:bCs/>
          <w:b/>
        </w:rPr>
        <w:t xml:space="preserve">Plaud AI (CN/US) — 🔴 Dreifache Exposition.</w:t>
      </w:r>
      <w:r>
        <w:t xml:space="preserve"> </w:t>
      </w:r>
      <w:r>
        <w:t xml:space="preserve">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w:t>
      </w:r>
      <w:r>
        <w:t xml:space="preserve"> </w:t>
      </w:r>
      <w:r>
        <w:t xml:space="preserve">“</w:t>
      </w:r>
      <w:r>
        <w:t xml:space="preserve">Zero Data Retention</w:t>
      </w:r>
      <w:r>
        <w:t xml:space="preserve">”</w:t>
      </w:r>
      <w:r>
        <w:t xml:space="preserve"> </w:t>
      </w:r>
      <w:r>
        <w:t xml:space="preserve">beim LLM-Provider bedeutet: nicht gespeichert nach Verarbeitung — aber während der Verarbeitung liegt die Stimme des Patienten im Klartext auf US-Servern. Für Gesundheitsdaten nach § 393 SGB V: nicht geeignet.</w:t>
      </w:r>
    </w:p>
    <w:p>
      <w:pPr>
        <w:pStyle w:val="BodyText"/>
      </w:pPr>
      <w:r>
        <w:rPr>
          <w:bCs/>
          <w:b/>
        </w:rPr>
        <w:t xml:space="preserve">Tandem Health (SE) — 🟡 EU-Firma mit US-KI-Backend.</w:t>
      </w:r>
      <w:r>
        <w:t xml:space="preserve"> </w:t>
      </w:r>
      <w:r>
        <w:t xml:space="preserve">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w:t>
      </w:r>
      <w:r>
        <w:t xml:space="preserve"> </w:t>
      </w:r>
      <w:r>
        <w:t xml:space="preserve">“</w:t>
      </w:r>
      <w:r>
        <w:t xml:space="preserve">ausschließlich in europäischen Rechenzentren</w:t>
      </w:r>
      <w:r>
        <w:t xml:space="preserve">”</w:t>
      </w:r>
      <w:r>
        <w:t xml:space="preserve"> </w:t>
      </w:r>
      <w:r>
        <w:t xml:space="preserve">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pStyle w:val="BodyText"/>
      </w:pPr>
      <w:r>
        <w:rPr>
          <w:bCs/>
          <w:b/>
        </w:rPr>
        <w:t xml:space="preserve">Doctolib (FR/AWS) — 🟡 Strukturelles Restrisiko trotz Verschlüsselung.</w:t>
      </w:r>
      <w:r>
        <w:t xml:space="preserve"> </w:t>
      </w:r>
      <w:r>
        <w:t xml:space="preserve">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pStyle w:val="BodyText"/>
      </w:pPr>
      <w:r>
        <w:rPr>
          <w:bCs/>
          <w:b/>
        </w:rPr>
        <w:t xml:space="preserve">Averbis (DE) — 🟡 Souveräne NLP, aber Azure OpenAI für Arztbriefe.</w:t>
      </w:r>
      <w:r>
        <w:t xml:space="preserve"> </w:t>
      </w:r>
      <w:r>
        <w:t xml:space="preserve">Averbis (Freiburg, Spin-off Universitätsklinikum 2007) bietet zwei Produkte mit fundamental unterschiedlichem Risikoprofil:</w:t>
      </w:r>
      <w:r>
        <w:t xml:space="preserve"> </w:t>
      </w:r>
      <w:r>
        <w:rPr>
          <w:bCs/>
          <w:b/>
        </w:rPr>
        <w:t xml:space="preserve">Health Discovery</w:t>
      </w:r>
      <w:r>
        <w:t xml:space="preserve"> </w:t>
      </w:r>
      <w:r>
        <w:t xml:space="preserve">(NLP/Informations-Extraktion) läuft als eigene Engine on-premise im Krankenhaus-Netzwerk — strukturell souverän, keine US-Abhängigkeit.</w:t>
      </w:r>
      <w:r>
        <w:t xml:space="preserve"> </w:t>
      </w:r>
      <w:r>
        <w:rPr>
          <w:bCs/>
          <w:b/>
        </w:rPr>
        <w:t xml:space="preserve">Medical Summary</w:t>
      </w:r>
      <w:r>
        <w:t xml:space="preserve"> </w:t>
      </w:r>
      <w:r>
        <w:t xml:space="preserve">(automatische Arztbrief-Generierung) nutzt jedoch</w:t>
      </w:r>
      <w:r>
        <w:t xml:space="preserve"> </w:t>
      </w:r>
      <w:r>
        <w:rPr>
          <w:bCs/>
          <w:b/>
        </w:rPr>
        <w:t xml:space="preserve">Azure OpenAI in der EU Datazone</w:t>
      </w:r>
      <w:r>
        <w:t xml:space="preserve">, wie das Architekturdiagramm von Averbis selbst zeigt: Patientendaten (PID, Diagnosen, Laborwerte, Medikation) fließen aus dem Krankenhaus-Netzwerk an Azure OpenAI, wo sie</w:t>
      </w:r>
      <w:r>
        <w:t xml:space="preserve"> </w:t>
      </w:r>
      <w:r>
        <w:t xml:space="preserve">“</w:t>
      </w:r>
      <w:r>
        <w:t xml:space="preserve">temporär verarbeitet</w:t>
      </w:r>
      <w:r>
        <w:t xml:space="preserve">”</w:t>
      </w:r>
      <w:r>
        <w:t xml:space="preserve"> </w:t>
      </w:r>
      <w:r>
        <w:t xml:space="preserve">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Anbieter</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Infrastruktur</w:t>
            </w:r>
          </w:p>
        </w:tc>
        <w:tc>
          <w:tcPr/>
          <w:p>
            <w:pPr>
              <w:pStyle w:val="Compact"/>
              <w:jc w:val="left"/>
            </w:pPr>
            <w:r>
              <w:t xml:space="preserve">Risiko</w:t>
            </w:r>
          </w:p>
        </w:tc>
        <w:tc>
          <w:tcPr/>
          <w:p>
            <w:pPr>
              <w:pStyle w:val="Compact"/>
              <w:jc w:val="left"/>
            </w:pPr>
            <w:r>
              <w:t xml:space="preserve">Eignung § 393 Klasse 1</w:t>
            </w:r>
          </w:p>
        </w:tc>
      </w:tr>
      <w:tr>
        <w:tc>
          <w:tcPr/>
          <w:p>
            <w:pPr>
              <w:pStyle w:val="Compact"/>
              <w:jc w:val="left"/>
            </w:pPr>
            <w:r>
              <w:rPr>
                <w:bCs/>
                <w:b/>
              </w:rPr>
              <w:t xml:space="preserve">Plaud AI</w:t>
            </w:r>
          </w:p>
        </w:tc>
        <w:tc>
          <w:tcPr/>
          <w:p>
            <w:pPr>
              <w:pStyle w:val="Compact"/>
              <w:jc w:val="left"/>
            </w:pPr>
            <w:r>
              <w:t xml:space="preserve">CN (Shenzhen)</w:t>
            </w:r>
          </w:p>
        </w:tc>
        <w:tc>
          <w:tcPr/>
          <w:p>
            <w:pPr>
              <w:pStyle w:val="Compact"/>
              <w:jc w:val="left"/>
            </w:pPr>
            <w:r>
              <w:t xml:space="preserve">OpenAI Whisper + GPT (US)</w:t>
            </w:r>
          </w:p>
        </w:tc>
        <w:tc>
          <w:tcPr/>
          <w:p>
            <w:pPr>
              <w:pStyle w:val="Compact"/>
              <w:jc w:val="left"/>
            </w:pPr>
            <w:r>
              <w:t xml:space="preserve">AWS Oregon (US)</w:t>
            </w:r>
          </w:p>
        </w:tc>
        <w:tc>
          <w:tcPr/>
          <w:p>
            <w:pPr>
              <w:pStyle w:val="Compact"/>
              <w:jc w:val="left"/>
            </w:pPr>
            <w:r>
              <w:t xml:space="preserve">🔴 Dreifach (CN + US-Cloud + US-KI)</w:t>
            </w:r>
          </w:p>
        </w:tc>
        <w:tc>
          <w:tcPr/>
          <w:p>
            <w:pPr>
              <w:pStyle w:val="Compact"/>
              <w:jc w:val="left"/>
            </w:pPr>
            <w:r>
              <w:t xml:space="preserve">❌ Nicht geeignet</w:t>
            </w:r>
          </w:p>
        </w:tc>
      </w:tr>
      <w:tr>
        <w:tc>
          <w:tcPr/>
          <w:p>
            <w:pPr>
              <w:pStyle w:val="Compact"/>
              <w:jc w:val="left"/>
            </w:pPr>
            <w:r>
              <w:rPr>
                <w:bCs/>
                <w:b/>
              </w:rPr>
              <w:t xml:space="preserve">Tandem Health</w:t>
            </w:r>
          </w:p>
        </w:tc>
        <w:tc>
          <w:tcPr/>
          <w:p>
            <w:pPr>
              <w:pStyle w:val="Compact"/>
              <w:jc w:val="left"/>
            </w:pPr>
            <w:r>
              <w:t xml:space="preserve">SE (Stockholm)</w:t>
            </w:r>
          </w:p>
        </w:tc>
        <w:tc>
          <w:tcPr/>
          <w:p>
            <w:pPr>
              <w:pStyle w:val="Compact"/>
              <w:jc w:val="left"/>
            </w:pPr>
            <w:r>
              <w:t xml:space="preserve">OpenAI Whisper + GPT-4</w:t>
            </w:r>
          </w:p>
        </w:tc>
        <w:tc>
          <w:tcPr/>
          <w:p>
            <w:pPr>
              <w:pStyle w:val="Compact"/>
              <w:jc w:val="left"/>
            </w:pPr>
            <w:r>
              <w:t xml:space="preserve">“</w:t>
            </w:r>
            <w:r>
              <w:t xml:space="preserve">EU-Rechenzentren</w:t>
            </w:r>
            <w:r>
              <w:t xml:space="preserve">”</w:t>
            </w:r>
            <w:r>
              <w:t xml:space="preserve"> </w:t>
            </w:r>
            <w:r>
              <w:t xml:space="preserve">(Details offen)</w:t>
            </w:r>
          </w:p>
        </w:tc>
        <w:tc>
          <w:tcPr/>
          <w:p>
            <w:pPr>
              <w:pStyle w:val="Compact"/>
              <w:jc w:val="left"/>
            </w:pPr>
            <w:r>
              <w:t xml:space="preserve">🟡 EU-Firma, aber OpenAI-Abhängigkeit</w:t>
            </w:r>
          </w:p>
        </w:tc>
        <w:tc>
          <w:tcPr/>
          <w:p>
            <w:pPr>
              <w:pStyle w:val="Compact"/>
              <w:jc w:val="left"/>
            </w:pPr>
            <w:r>
              <w:t xml:space="preserve">⚠️ Nur wenn Azure EU + Risikoakzeptanz</w:t>
            </w:r>
          </w:p>
        </w:tc>
      </w:tr>
      <w:tr>
        <w:tc>
          <w:tcPr/>
          <w:p>
            <w:pPr>
              <w:pStyle w:val="Compact"/>
              <w:jc w:val="left"/>
            </w:pPr>
            <w:r>
              <w:rPr>
                <w:bCs/>
                <w:b/>
              </w:rPr>
              <w:t xml:space="preserve">Recare Voice</w:t>
            </w:r>
          </w:p>
        </w:tc>
        <w:tc>
          <w:tcPr/>
          <w:p>
            <w:pPr>
              <w:pStyle w:val="Compact"/>
              <w:jc w:val="left"/>
            </w:pPr>
            <w:r>
              <w:t xml:space="preserve">DE (Berlin)</w:t>
            </w:r>
          </w:p>
        </w:tc>
        <w:tc>
          <w:tcPr/>
          <w:p>
            <w:pPr>
              <w:pStyle w:val="Compact"/>
              <w:jc w:val="left"/>
            </w:pPr>
            <w:r>
              <w:t xml:space="preserve">Nicht offengelegt</w:t>
            </w:r>
          </w:p>
        </w:tc>
        <w:tc>
          <w:tcPr/>
          <w:p>
            <w:pPr>
              <w:pStyle w:val="Compact"/>
              <w:jc w:val="left"/>
            </w:pPr>
            <w:r>
              <w:t xml:space="preserve">EU (ISO 27001, C5 Typ 2)</w:t>
            </w:r>
          </w:p>
        </w:tc>
        <w:tc>
          <w:tcPr/>
          <w:p>
            <w:pPr>
              <w:pStyle w:val="Compact"/>
              <w:jc w:val="left"/>
            </w:pPr>
            <w:r>
              <w:t xml:space="preserve">🟡 DE-Firma, EU-Hosting, aber KI-Backend unklar</w:t>
            </w:r>
          </w:p>
        </w:tc>
        <w:tc>
          <w:tcPr/>
          <w:p>
            <w:pPr>
              <w:pStyle w:val="Compact"/>
              <w:jc w:val="left"/>
            </w:pPr>
            <w:r>
              <w:t xml:space="preserve">⚠️ KI-Modell-Transparenz einfordern</w:t>
            </w:r>
          </w:p>
        </w:tc>
      </w:tr>
      <w:tr>
        <w:tc>
          <w:tcPr/>
          <w:p>
            <w:pPr>
              <w:pStyle w:val="Compact"/>
              <w:jc w:val="left"/>
            </w:pPr>
            <w:r>
              <w:rPr>
                <w:bCs/>
                <w:b/>
              </w:rPr>
              <w:t xml:space="preserve">Doctolib</w:t>
            </w:r>
          </w:p>
        </w:tc>
        <w:tc>
          <w:tcPr/>
          <w:p>
            <w:pPr>
              <w:pStyle w:val="Compact"/>
              <w:jc w:val="left"/>
            </w:pPr>
            <w:r>
              <w:t xml:space="preserve">FR (Paris)</w:t>
            </w:r>
          </w:p>
        </w:tc>
        <w:tc>
          <w:tcPr/>
          <w:p>
            <w:pPr>
              <w:pStyle w:val="Compact"/>
              <w:jc w:val="left"/>
            </w:pPr>
            <w:r>
              <w:t xml:space="preserve">Eigene Plattform</w:t>
            </w:r>
          </w:p>
        </w:tc>
        <w:tc>
          <w:tcPr/>
          <w:p>
            <w:pPr>
              <w:pStyle w:val="Compact"/>
              <w:jc w:val="left"/>
            </w:pPr>
            <w:r>
              <w:t xml:space="preserve">AWS Frankfurt/Paris (C5 Typ 2)</w:t>
            </w:r>
          </w:p>
        </w:tc>
        <w:tc>
          <w:tcPr/>
          <w:p>
            <w:pPr>
              <w:pStyle w:val="Compact"/>
              <w:jc w:val="left"/>
            </w:pPr>
            <w:r>
              <w:t xml:space="preserve">🟡 FR-Firma auf US-Infra, verschlüsselt</w:t>
            </w:r>
          </w:p>
        </w:tc>
        <w:tc>
          <w:tcPr/>
          <w:p>
            <w:pPr>
              <w:pStyle w:val="Compact"/>
              <w:jc w:val="left"/>
            </w:pPr>
            <w:r>
              <w:t xml:space="preserve">⚠️ Verschlüsselung reduziert, eliminiert nicht</w:t>
            </w:r>
          </w:p>
        </w:tc>
      </w:tr>
      <w:tr>
        <w:tc>
          <w:tcPr/>
          <w:p>
            <w:pPr>
              <w:pStyle w:val="Compact"/>
              <w:jc w:val="left"/>
            </w:pPr>
            <w:r>
              <w:rPr>
                <w:bCs/>
                <w:b/>
              </w:rPr>
              <w:t xml:space="preserve">myScribe</w:t>
            </w:r>
          </w:p>
        </w:tc>
        <w:tc>
          <w:tcPr/>
          <w:p>
            <w:pPr>
              <w:pStyle w:val="Compact"/>
              <w:jc w:val="left"/>
            </w:pPr>
            <w:r>
              <w:t xml:space="preserve">DE (Mannheim)</w:t>
            </w:r>
          </w:p>
        </w:tc>
        <w:tc>
          <w:tcPr/>
          <w:p>
            <w:pPr>
              <w:pStyle w:val="Compact"/>
              <w:jc w:val="left"/>
            </w:pPr>
            <w:r>
              <w:t xml:space="preserve">“</w:t>
            </w:r>
            <w:r>
              <w:t xml:space="preserve">Eigenes NLP</w:t>
            </w:r>
            <w:r>
              <w:t xml:space="preserve">”</w:t>
            </w:r>
            <w:r>
              <w:t xml:space="preserve"> </w:t>
            </w:r>
            <w:r>
              <w:t xml:space="preserve">laut Website — KI-Backend nicht verifiziert</w:t>
            </w:r>
          </w:p>
        </w:tc>
        <w:tc>
          <w:tcPr/>
          <w:p>
            <w:pPr>
              <w:pStyle w:val="Compact"/>
              <w:jc w:val="left"/>
            </w:pPr>
            <w:r>
              <w:t xml:space="preserve">KIS-Add-on (HL7-FHIR)</w:t>
            </w:r>
          </w:p>
        </w:tc>
        <w:tc>
          <w:tcPr/>
          <w:p>
            <w:pPr>
              <w:pStyle w:val="Compact"/>
              <w:jc w:val="left"/>
            </w:pPr>
            <w:r>
              <w:t xml:space="preserve">🟡 DE-Firma, KIS-Integration, aber KI-Modell unklar</w:t>
            </w:r>
          </w:p>
        </w:tc>
        <w:tc>
          <w:tcPr/>
          <w:p>
            <w:pPr>
              <w:pStyle w:val="Compact"/>
              <w:jc w:val="left"/>
            </w:pPr>
            <w:r>
              <w:t xml:space="preserve">⚠️ KI-Backend vertraglich klären</w:t>
            </w:r>
          </w:p>
        </w:tc>
      </w:tr>
      <w:tr>
        <w:tc>
          <w:tcPr/>
          <w:p>
            <w:pPr>
              <w:pStyle w:val="Compact"/>
              <w:jc w:val="left"/>
            </w:pPr>
            <w:r>
              <w:rPr>
                <w:bCs/>
                <w:b/>
              </w:rPr>
              <w:t xml:space="preserve">Averbis</w:t>
            </w:r>
          </w:p>
        </w:tc>
        <w:tc>
          <w:tcPr/>
          <w:p>
            <w:pPr>
              <w:pStyle w:val="Compact"/>
              <w:jc w:val="left"/>
            </w:pPr>
            <w:r>
              <w:t xml:space="preserve">DE (Freiburg)</w:t>
            </w:r>
          </w:p>
        </w:tc>
        <w:tc>
          <w:tcPr/>
          <w:p>
            <w:pPr>
              <w:pStyle w:val="Compact"/>
              <w:jc w:val="left"/>
            </w:pPr>
            <w:r>
              <w:t xml:space="preserve">Health Discovery: eigene NLP; Medical Summary:</w:t>
            </w:r>
            <w:r>
              <w:t xml:space="preserve"> </w:t>
            </w:r>
            <w:r>
              <w:rPr>
                <w:bCs/>
                <w:b/>
              </w:rPr>
              <w:t xml:space="preserve">Azure OpenAI</w:t>
            </w:r>
            <w:r>
              <w:t xml:space="preserve"> </w:t>
            </w:r>
            <w:r>
              <w:t xml:space="preserve">(EU Datazone)</w:t>
            </w:r>
          </w:p>
        </w:tc>
        <w:tc>
          <w:tcPr/>
          <w:p>
            <w:pPr>
              <w:pStyle w:val="Compact"/>
              <w:jc w:val="left"/>
            </w:pPr>
            <w:r>
              <w:t xml:space="preserve">On-Premise NLP + Azure OpenAI extern</w:t>
            </w:r>
          </w:p>
        </w:tc>
        <w:tc>
          <w:tcPr/>
          <w:p>
            <w:pPr>
              <w:pStyle w:val="Compact"/>
              <w:jc w:val="left"/>
            </w:pPr>
            <w:r>
              <w:t xml:space="preserve">🟡 NLP souverän, aber Arztbrief-KI auf Azure OpenAI</w:t>
            </w:r>
          </w:p>
        </w:tc>
        <w:tc>
          <w:tcPr/>
          <w:p>
            <w:pPr>
              <w:pStyle w:val="Compact"/>
              <w:jc w:val="left"/>
            </w:pPr>
            <w:r>
              <w:t xml:space="preserve">⚠️ Medical Summary: Microsoft-CLOUD-Act-Risiko</w:t>
            </w:r>
          </w:p>
        </w:tc>
      </w:tr>
      <w:tr>
        <w:tc>
          <w:tcPr/>
          <w:p>
            <w:pPr>
              <w:pStyle w:val="Compact"/>
              <w:jc w:val="left"/>
            </w:pPr>
            <w:r>
              <w:rPr>
                <w:bCs/>
                <w:b/>
              </w:rPr>
              <w:t xml:space="preserve">hAIppokrates (Greenbay)</w:t>
            </w:r>
          </w:p>
        </w:tc>
        <w:tc>
          <w:tcPr/>
          <w:p>
            <w:pPr>
              <w:pStyle w:val="Compact"/>
              <w:jc w:val="left"/>
            </w:pPr>
            <w:r>
              <w:t xml:space="preserve">DE (Leipzig)</w:t>
            </w:r>
          </w:p>
        </w:tc>
        <w:tc>
          <w:tcPr/>
          <w:p>
            <w:pPr>
              <w:pStyle w:val="Compact"/>
              <w:jc w:val="left"/>
            </w:pPr>
            <w:r>
              <w:t xml:space="preserve">GPT + Whisper</w:t>
            </w:r>
            <w:r>
              <w:t xml:space="preserve"> </w:t>
            </w:r>
            <w:r>
              <w:rPr>
                <w:bCs/>
                <w:b/>
              </w:rPr>
              <w:t xml:space="preserve">lokal on-premise</w:t>
            </w:r>
          </w:p>
        </w:tc>
        <w:tc>
          <w:tcPr/>
          <w:p>
            <w:pPr>
              <w:pStyle w:val="Compact"/>
              <w:jc w:val="left"/>
            </w:pPr>
            <w:r>
              <w:t xml:space="preserve">UKL-eigenes Rechenzentrum</w:t>
            </w:r>
          </w:p>
        </w:tc>
        <w:tc>
          <w:tcPr/>
          <w:p>
            <w:pPr>
              <w:pStyle w:val="Compact"/>
              <w:jc w:val="left"/>
            </w:pPr>
            <w:r>
              <w:t xml:space="preserve">🟢 Vollständig souverän — kein externer API-Call</w:t>
            </w:r>
          </w:p>
        </w:tc>
        <w:tc>
          <w:tcPr/>
          <w:p>
            <w:pPr>
              <w:pStyle w:val="Compact"/>
              <w:jc w:val="left"/>
            </w:pPr>
            <w:r>
              <w:t xml:space="preserve">✅ Alle Patientendaten bleiben im Klinikum</w:t>
            </w:r>
          </w:p>
        </w:tc>
      </w:tr>
    </w:tbl>
    <w:p>
      <w:pPr>
        <w:pStyle w:val="BodyText"/>
      </w:pPr>
      <w:r>
        <w:rPr>
          <w:bCs/>
          <w:b/>
        </w:rPr>
        <w:t xml:space="preserve">Recare Voice — das Transparenzproblem.</w:t>
      </w:r>
      <w:r>
        <w:t xml:space="preserve"> </w:t>
      </w:r>
      <w:r>
        <w:t xml:space="preserve">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w:t>
      </w:r>
      <w:r>
        <w:t xml:space="preserve"> </w:t>
      </w:r>
      <w:r>
        <w:t xml:space="preserve">“</w:t>
      </w:r>
      <w:r>
        <w:t xml:space="preserve">Zero Knowledge</w:t>
      </w:r>
      <w:r>
        <w:t xml:space="preserve">”</w:t>
      </w:r>
      <w:r>
        <w:t xml:space="preserve">-Architektur. Das Problem:</w:t>
      </w:r>
      <w:r>
        <w:t xml:space="preserve"> </w:t>
      </w:r>
      <w:r>
        <w:rPr>
          <w:bCs/>
          <w:b/>
        </w:rPr>
        <w:t xml:space="preserve">Welches Sprachmodell die Transkription und Zusammenfassung antreibt, ist nicht öffentlich dokumentiert.</w:t>
      </w:r>
      <w:r>
        <w:t xml:space="preserve"> </w:t>
      </w:r>
      <w:r>
        <w:t xml:space="preserve">Wenn Recare im Backend OpenAI Whisper oder GPT nutzt (direkt oder via Azure), gelten dieselben Vorbehalte wie bei Tandem Health. Wenn ein eigenes oder EU-gehostetes Modell verwendet wird, wäre das Risikoprofil deutlich besser. Für Kliniken, die Recare Voice evaluieren: Die Frage</w:t>
      </w:r>
      <w:r>
        <w:t xml:space="preserve"> </w:t>
      </w:r>
      <w:r>
        <w:t xml:space="preserve">“</w:t>
      </w:r>
      <w:r>
        <w:t xml:space="preserve">Welches KI-Modell verarbeitet unsere Patientengespräche, und auf welcher Infrastruktur?</w:t>
      </w:r>
      <w:r>
        <w:t xml:space="preserve">”</w:t>
      </w:r>
      <w:r>
        <w:t xml:space="preserve"> </w:t>
      </w:r>
      <w:r>
        <w:t xml:space="preserve">muss vertraglich beantwortet sein — nicht auf der Marketingseite.</w:t>
      </w:r>
    </w:p>
    <w:p>
      <w:pPr>
        <w:pStyle w:val="BodyText"/>
      </w:pPr>
      <w:r>
        <w:rPr>
          <w:bCs/>
          <w:b/>
        </w:rPr>
        <w:t xml:space="preserve">myScribe — KIS-Integration, aber KI-Backend unklar.</w:t>
      </w:r>
      <w:r>
        <w:t xml:space="preserve"> </w:t>
      </w:r>
      <w:r>
        <w:t xml:space="preserve">myScribe GmbH (Mannheim, gegründet von der Ärztin Ira Stoll am Universitätsklinikum Heidelberg) generiert mehrseitige Arztbriefe aus Visite-Notizen, Laborbefunden, Bildgebung, Diagnosen und Medikation über HL7-FHIR-Schnittstellen zum KIS. Die Website behauptet ein</w:t>
      </w:r>
      <w:r>
        <w:t xml:space="preserve"> </w:t>
      </w:r>
      <w:r>
        <w:t xml:space="preserve">“</w:t>
      </w:r>
      <w:r>
        <w:t xml:space="preserve">eigenentwickeltes NLP-Modell</w:t>
      </w:r>
      <w:r>
        <w:t xml:space="preserve">”</w:t>
      </w:r>
      <w:r>
        <w:t xml:space="preserve"> </w:t>
      </w:r>
      <w:r>
        <w:t xml:space="preserve">— aber ein Startup mit ~14 Mitarbeitenden, das mehrseitige Fließtext-Arztbriefe in Sekundenbruchteilen generiert, setzt mit hoher Wahrscheinlichkeit ein großes Sprachmodell (GPT, Claude oder vergleichbar) als Backend ein.</w:t>
      </w:r>
      <w:r>
        <w:t xml:space="preserve"> </w:t>
      </w:r>
      <w:r>
        <w:rPr>
          <w:bCs/>
          <w:b/>
        </w:rPr>
        <w:t xml:space="preserve">Welches Modell die Textgenerierung antreibt und auf welcher Infrastruktur es läuft, ist nicht öffentlich dokumentiert.</w:t>
      </w:r>
      <w:r>
        <w:t xml:space="preserve"> </w:t>
      </w:r>
      <w:r>
        <w:t xml:space="preserve">Für Kliniken gilt dieselbe Empfehlung wie bei Recare Voice: Das KI-Backend muss vertraglich offengelegt sein, bevor Patientendaten verarbeitet werden. Wenn myScribe im Hintergrund Azure OpenAI nutzt, gelten dieselben Vorbehalte wie bei Averbis Medical Summary.</w:t>
      </w:r>
    </w:p>
    <w:p>
      <w:pPr>
        <w:pStyle w:val="BodyText"/>
      </w:pPr>
      <w:r>
        <w:rPr>
          <w:bCs/>
          <w:b/>
        </w:rPr>
        <w:t xml:space="preserve">hAIppokrates (Greenbay Healthcare, Leipzig) — 🟢 Der Beweis, dass es geht.</w:t>
      </w:r>
      <w:r>
        <w:t xml:space="preserve"> </w:t>
      </w:r>
      <w:r>
        <w:t xml:space="preserve">hAIppokrates ist ein KI-System für Arztbrief-Generierung und Transkription von Arzt-Patienten-Gesprächen, das</w:t>
      </w:r>
      <w:r>
        <w:t xml:space="preserve"> </w:t>
      </w:r>
      <w:r>
        <w:rPr>
          <w:bCs/>
          <w:b/>
        </w:rPr>
        <w:t xml:space="preserve">vollständig on-premise im Rechenzentrum des Universitätsklinikums Leipzig (UKL)</w:t>
      </w:r>
      <w:r>
        <w:t xml:space="preserve"> </w:t>
      </w:r>
      <w:r>
        <w:t xml:space="preserve">betrieben wird. Die Architektur: GPT als Sprachmodell und OpenAI Whisper als Transkriptionsengine laufen lokal auf klinikeigener Hardware — kein API-Call an OpenAI, kein Azure, kein externer Cloud-Dienst. Alle Patientendaten (Diagnosen, Medikation, Gesprächsaufnahmen, Laborwerte) sind dem lokalen Modell verfügbar, verlassen aber zu keinem Zeitpunkt das Krankenhaus-Netzwerk. Das System wurde von der Greenbay Healthcare GmbH (Leipzig) in Zusammenarbeit mit 4K Analytics GmbH und dem UKL entwickelt. Nach einer erfolgreichen Pilotphase mit über 100 Nutzern befindet sich hAIppokrates im Roll-out.</w:t>
      </w:r>
    </w:p>
    <w:p>
      <w:pPr>
        <w:pStyle w:val="BodyText"/>
      </w:pPr>
      <w:r>
        <w:rPr>
          <w:bCs/>
          <w:b/>
        </w:rPr>
        <w:t xml:space="preserve">Warum das wichtig ist:</w:t>
      </w:r>
      <w:r>
        <w:t xml:space="preserve"> </w:t>
      </w:r>
      <w:r>
        <w:t xml:space="preserve">hAIppokrates widerlegt die verbreitete Annahme, dass generative KI im Gesundheitswesen zwangsläufig US-Cloud-Infrastruktur erfordert. GPT-Modelle und Whisper sind als Open-Source- oder Open-Weight-Modelle verfügbar und lokal deploybar — die Infrastruktur (GPU-Server im eigenen RZ) ist die Investition, nicht die Modellverfügbarkeit. Was das UKL Leipzig vormacht, können andere Kliniken und GKVen nachbauen:</w:t>
      </w:r>
      <w:r>
        <w:t xml:space="preserve"> </w:t>
      </w:r>
      <w:r>
        <w:rPr>
          <w:bCs/>
          <w:b/>
        </w:rPr>
        <w:t xml:space="preserve">Souveräne generative KI für Gesundheitsdaten ist kein Zukunftsversprechen — sie läuft produktiv in einem deutschen Universitätsklinikum.</w:t>
      </w:r>
    </w:p>
    <w:p>
      <w:pPr>
        <w:pStyle w:val="BlockText"/>
      </w:pPr>
      <w:r>
        <w:rPr>
          <w:bCs/>
          <w:b/>
        </w:rPr>
        <w:t xml:space="preserve">Transparenzhinweis:</w:t>
      </w:r>
      <w:r>
        <w:t xml:space="preserve"> </w:t>
      </w:r>
      <w:r>
        <w:t xml:space="preserve">Greenbay Healthcare GmbH und 4K Analytics GmbH (Herausgeber dieses Dokuments) gehören zum selben Unternehmensverbund. Die Bewertung folgt denselben Kriterien wie bei allen anderen Anbietern: Eigentümerschaft, Infrastruktur-Standort, KI-Backend, Datenfluss. Die On-Premise-Architektur des UKL Leipzig ist durch die IT-Abteilung des UKL verifizierbar.</w:t>
      </w:r>
    </w:p>
    <w:p>
      <w:pPr>
        <w:pStyle w:val="BlockText"/>
      </w:pPr>
      <w:r>
        <w:rPr>
          <w:bCs/>
          <w:b/>
        </w:rPr>
        <w:t xml:space="preserve">Das Muster:</w:t>
      </w:r>
      <w:r>
        <w:t xml:space="preserve"> </w:t>
      </w:r>
      <w:r>
        <w:t xml:space="preserve">Plaud demonstriert das Worst-Case: CN-Firma sendet Arzt-Patienten-Audio an US-Server und US-KI. Averbis zeigt die</w:t>
      </w:r>
      <w:r>
        <w:t xml:space="preserve"> </w:t>
      </w:r>
      <w:r>
        <w:rPr>
          <w:bCs/>
          <w:b/>
        </w:rPr>
        <w:t xml:space="preserve">typische Hybridlösung</w:t>
      </w:r>
      <w:r>
        <w:t xml:space="preserve">: eigene NLP souverän, generative KI auf Azure OpenAI. myScribe und Recare Voice zeigen das</w:t>
      </w:r>
      <w:r>
        <w:t xml:space="preserve"> </w:t>
      </w:r>
      <w:r>
        <w:rPr>
          <w:bCs/>
          <w:b/>
        </w:rPr>
        <w:t xml:space="preserve">Transparenzproblem</w:t>
      </w:r>
      <w:r>
        <w:t xml:space="preserve">: deutsche Firmen, die ihr KI-Backend nicht offenlegen. hAIppokrates am UKL Leipzig zeigt den</w:t>
      </w:r>
      <w:r>
        <w:t xml:space="preserve"> </w:t>
      </w:r>
      <w:r>
        <w:rPr>
          <w:bCs/>
          <w:b/>
        </w:rPr>
        <w:t xml:space="preserve">souveränen Weg</w:t>
      </w:r>
      <w:r>
        <w:t xml:space="preserve">: GPT und Whisper lokal on-premise, alle Patientendaten im Klinik-Netzwerk, kein US-Cloud-Kontakt. Der Unterschied ist nicht das Modell — sondern wo es läuft.</w:t>
      </w:r>
    </w:p>
    <w:bookmarkEnd w:id="87"/>
    <w:bookmarkStart w:id="88" w:name="X44d39a9f8959651e334c2743cd4e295cd8bcdb3"/>
    <w:p>
      <w:pPr>
        <w:pStyle w:val="Heading4"/>
      </w:pPr>
      <w:r>
        <w:t xml:space="preserve">Vibecoding-Plattformen — KI-Entwicklung mit doppelter Bindung</w:t>
      </w:r>
    </w:p>
    <w:p>
      <w:pPr>
        <w:pStyle w:val="FirstParagraph"/>
      </w:pPr>
      <w:r>
        <w:t xml:space="preserve">Ein wachsender Trend im Gesundheitswesen: Fachabteilungen und IT-Teams nutzen KI-gestützte Entwicklungsplattformen (</w:t>
      </w:r>
      <w:r>
        <w:t xml:space="preserve">“</w:t>
      </w:r>
      <w:r>
        <w:t xml:space="preserve">Vibecoding</w:t>
      </w:r>
      <w:r>
        <w:t xml:space="preserve">”</w:t>
      </w:r>
      <w:r>
        <w:t xml:space="preserve">), um interne Tools, Dashboards oder Patientenportale per natürlichsprachigem Prompt zu erstellen — ohne klassische Softwareentwicklung. Das CLOUD-Act-Problem ist hier</w:t>
      </w:r>
      <w:r>
        <w:t xml:space="preserve"> </w:t>
      </w:r>
      <w:r>
        <w:rPr>
          <w:bCs/>
          <w:b/>
        </w:rPr>
        <w:t xml:space="preserve">doppelt</w:t>
      </w:r>
      <w:r>
        <w:t xml:space="preserve">:</w:t>
      </w:r>
    </w:p>
    <w:p>
      <w:pPr>
        <w:pStyle w:val="BodyText"/>
      </w:pPr>
      <w:r>
        <w:rPr>
          <w:bCs/>
          <w:b/>
        </w:rPr>
        <w:t xml:space="preserve">Erstens — die KI im Hintergrund.</w:t>
      </w:r>
      <w:r>
        <w:t xml:space="preserve"> </w:t>
      </w:r>
      <w:r>
        <w:t xml:space="preserve">Vibecoding-Plattformen nutzen große Sprachmodelle (typischerweise GPT-4o, Claude oder Gemini) als Code-Generatoren. Jeder Prompt —</w:t>
      </w:r>
      <w:r>
        <w:t xml:space="preserve"> </w:t>
      </w:r>
      <w:r>
        <w:t xml:space="preserve">“</w:t>
      </w:r>
      <w:r>
        <w:t xml:space="preserve">Erstelle eine Anwendung, die Patientendaten aus unserem KIS lädt und eine Übersicht nach ICD-10-Diagnosen erstellt</w:t>
      </w:r>
      <w:r>
        <w:t xml:space="preserve">”</w:t>
      </w:r>
      <w:r>
        <w:t xml:space="preserve"> </w:t>
      </w:r>
      <w:r>
        <w:t xml:space="preserve">—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pStyle w:val="BodyText"/>
      </w:pPr>
      <w:r>
        <w:rPr>
          <w:bCs/>
          <w:b/>
        </w:rPr>
        <w:t xml:space="preserve">Zweitens — die Plattform als Laufzeitumgebung.</w:t>
      </w:r>
      <w:r>
        <w:t xml:space="preserve"> </w:t>
      </w:r>
      <w:r>
        <w:t xml:space="preserve">Der entscheidende Unterschied zu klassischen KI-Assistenten: Vibecoding-Plattformen sind darauf ausgelegt, dass die erstellten Anwendungen</w:t>
      </w:r>
      <w:r>
        <w:t xml:space="preserve"> </w:t>
      </w:r>
      <w:r>
        <w:rPr>
          <w:bCs/>
          <w:b/>
        </w:rPr>
        <w:t xml:space="preserve">auf der Plattform gehostet bleiben</w:t>
      </w:r>
      <w:r>
        <w:t xml:space="preserve"> </w:t>
      </w:r>
      <w:r>
        <w:t xml:space="preserve">—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Plattform</w:t>
            </w:r>
          </w:p>
        </w:tc>
        <w:tc>
          <w:tcPr/>
          <w:p>
            <w:pPr>
              <w:pStyle w:val="Compact"/>
              <w:jc w:val="left"/>
            </w:pPr>
            <w:r>
              <w:t xml:space="preserve">Eigentümer</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w:t>
            </w:r>
          </w:p>
        </w:tc>
      </w:tr>
      <w:tr>
        <w:tc>
          <w:tcPr/>
          <w:p>
            <w:pPr>
              <w:pStyle w:val="Compact"/>
              <w:jc w:val="left"/>
            </w:pPr>
            <w:r>
              <w:rPr>
                <w:bCs/>
                <w:b/>
              </w:rPr>
              <w:t xml:space="preserve">Lovable</w:t>
            </w:r>
          </w:p>
        </w:tc>
        <w:tc>
          <w:tcPr/>
          <w:p>
            <w:pPr>
              <w:pStyle w:val="Compact"/>
              <w:jc w:val="left"/>
            </w:pPr>
            <w:r>
              <w:t xml:space="preserve">SE (Stockholm)</w:t>
            </w:r>
          </w:p>
        </w:tc>
        <w:tc>
          <w:tcPr/>
          <w:p>
            <w:pPr>
              <w:pStyle w:val="Compact"/>
              <w:jc w:val="left"/>
            </w:pPr>
            <w:r>
              <w:t xml:space="preserve">GPT-4o / Claude (US)</w:t>
            </w:r>
          </w:p>
        </w:tc>
        <w:tc>
          <w:tcPr/>
          <w:p>
            <w:pPr>
              <w:pStyle w:val="Compact"/>
              <w:jc w:val="left"/>
            </w:pPr>
            <w:r>
              <w:t xml:space="preserve">Plattform-hosted (AWS/Vercel)</w:t>
            </w:r>
          </w:p>
        </w:tc>
        <w:tc>
          <w:tcPr/>
          <w:p>
            <w:pPr>
              <w:pStyle w:val="Compact"/>
              <w:jc w:val="left"/>
            </w:pPr>
            <w:r>
              <w:t xml:space="preserve">🟡 EU-Eigentümer, aber US-KI + US-Hosting-Infrastruktur</w:t>
            </w:r>
          </w:p>
        </w:tc>
      </w:tr>
      <w:tr>
        <w:tc>
          <w:tcPr/>
          <w:p>
            <w:pPr>
              <w:pStyle w:val="Compact"/>
              <w:jc w:val="left"/>
            </w:pPr>
            <w:r>
              <w:rPr>
                <w:bCs/>
                <w:b/>
              </w:rPr>
              <w:t xml:space="preserve">Bolt.new (StackBlitz)</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StackBlitz Cloud (US)</w:t>
            </w:r>
          </w:p>
        </w:tc>
        <w:tc>
          <w:tcPr/>
          <w:p>
            <w:pPr>
              <w:pStyle w:val="Compact"/>
              <w:jc w:val="left"/>
            </w:pPr>
            <w:r>
              <w:t xml:space="preserve">🔴 Direkt — US-Unternehmen, US-KI, US-Hosting</w:t>
            </w:r>
          </w:p>
        </w:tc>
      </w:tr>
      <w:tr>
        <w:tc>
          <w:tcPr/>
          <w:p>
            <w:pPr>
              <w:pStyle w:val="Compact"/>
              <w:jc w:val="left"/>
            </w:pPr>
            <w:r>
              <w:rPr>
                <w:bCs/>
                <w:b/>
              </w:rPr>
              <w:t xml:space="preserve">Replit</w:t>
            </w:r>
          </w:p>
        </w:tc>
        <w:tc>
          <w:tcPr/>
          <w:p>
            <w:pPr>
              <w:pStyle w:val="Compact"/>
              <w:jc w:val="left"/>
            </w:pPr>
            <w:r>
              <w:t xml:space="preserve">US (San Francisco)</w:t>
            </w:r>
          </w:p>
        </w:tc>
        <w:tc>
          <w:tcPr/>
          <w:p>
            <w:pPr>
              <w:pStyle w:val="Compact"/>
              <w:jc w:val="left"/>
            </w:pPr>
            <w:r>
              <w:t xml:space="preserve">Eigene + GPT-4o (US)</w:t>
            </w:r>
          </w:p>
        </w:tc>
        <w:tc>
          <w:tcPr/>
          <w:p>
            <w:pPr>
              <w:pStyle w:val="Compact"/>
              <w:jc w:val="left"/>
            </w:pPr>
            <w:r>
              <w:t xml:space="preserve">Replit Cloud (GCP, US)</w:t>
            </w:r>
          </w:p>
        </w:tc>
        <w:tc>
          <w:tcPr/>
          <w:p>
            <w:pPr>
              <w:pStyle w:val="Compact"/>
              <w:jc w:val="left"/>
            </w:pPr>
            <w:r>
              <w:t xml:space="preserve">🔴 Direkt — US-Unternehmen auf Google Cloud</w:t>
            </w:r>
          </w:p>
        </w:tc>
      </w:tr>
      <w:tr>
        <w:tc>
          <w:tcPr/>
          <w:p>
            <w:pPr>
              <w:pStyle w:val="Compact"/>
              <w:jc w:val="left"/>
            </w:pPr>
            <w:r>
              <w:rPr>
                <w:bCs/>
                <w:b/>
              </w:rPr>
              <w:t xml:space="preserve">v0 (Vercel)</w:t>
            </w:r>
          </w:p>
        </w:tc>
        <w:tc>
          <w:tcPr/>
          <w:p>
            <w:pPr>
              <w:pStyle w:val="Compact"/>
              <w:jc w:val="left"/>
            </w:pPr>
            <w:r>
              <w:t xml:space="preserve">US (San Francisco)</w:t>
            </w:r>
          </w:p>
        </w:tc>
        <w:tc>
          <w:tcPr/>
          <w:p>
            <w:pPr>
              <w:pStyle w:val="Compact"/>
              <w:jc w:val="left"/>
            </w:pPr>
            <w:r>
              <w:t xml:space="preserve">GPT-4o (US)</w:t>
            </w:r>
          </w:p>
        </w:tc>
        <w:tc>
          <w:tcPr/>
          <w:p>
            <w:pPr>
              <w:pStyle w:val="Compact"/>
              <w:jc w:val="left"/>
            </w:pPr>
            <w:r>
              <w:t xml:space="preserve">Vercel Edge (AWS, US)</w:t>
            </w:r>
          </w:p>
        </w:tc>
        <w:tc>
          <w:tcPr/>
          <w:p>
            <w:pPr>
              <w:pStyle w:val="Compact"/>
              <w:jc w:val="left"/>
            </w:pPr>
            <w:r>
              <w:t xml:space="preserve">🔴 Direkt — US-Unternehmen, US-Infrastruktur</w:t>
            </w:r>
          </w:p>
        </w:tc>
      </w:tr>
      <w:tr>
        <w:tc>
          <w:tcPr/>
          <w:p>
            <w:pPr>
              <w:pStyle w:val="Compact"/>
              <w:jc w:val="left"/>
            </w:pPr>
            <w:r>
              <w:rPr>
                <w:bCs/>
                <w:b/>
              </w:rPr>
              <w:t xml:space="preserve">Cursor</w:t>
            </w:r>
          </w:p>
        </w:tc>
        <w:tc>
          <w:tcPr/>
          <w:p>
            <w:pPr>
              <w:pStyle w:val="Compact"/>
              <w:jc w:val="left"/>
            </w:pPr>
            <w:r>
              <w:t xml:space="preserve">US (San Francisco)</w:t>
            </w:r>
          </w:p>
        </w:tc>
        <w:tc>
          <w:tcPr/>
          <w:p>
            <w:pPr>
              <w:pStyle w:val="Compact"/>
              <w:jc w:val="left"/>
            </w:pPr>
            <w:r>
              <w:t xml:space="preserve">GPT-4o / Claude (US)</w:t>
            </w:r>
          </w:p>
        </w:tc>
        <w:tc>
          <w:tcPr/>
          <w:p>
            <w:pPr>
              <w:pStyle w:val="Compact"/>
              <w:jc w:val="left"/>
            </w:pPr>
            <w:r>
              <w:t xml:space="preserve">Lokale IDE, aber Prompts an US-KI</w:t>
            </w:r>
          </w:p>
        </w:tc>
        <w:tc>
          <w:tcPr/>
          <w:p>
            <w:pPr>
              <w:pStyle w:val="Compact"/>
              <w:jc w:val="left"/>
            </w:pPr>
            <w:r>
              <w:t xml:space="preserve">🟠 Code bleibt lokal, Prompts an US-Cloud</w:t>
            </w:r>
          </w:p>
        </w:tc>
      </w:tr>
      <w:tr>
        <w:tc>
          <w:tcPr/>
          <w:p>
            <w:pPr>
              <w:pStyle w:val="Compact"/>
              <w:jc w:val="left"/>
            </w:pPr>
            <w:r>
              <w:rPr>
                <w:bCs/>
                <w:b/>
              </w:rPr>
              <w:t xml:space="preserve">GitHub Copilot</w:t>
            </w:r>
          </w:p>
        </w:tc>
        <w:tc>
          <w:tcPr/>
          <w:p>
            <w:pPr>
              <w:pStyle w:val="Compact"/>
              <w:jc w:val="left"/>
            </w:pPr>
            <w:r>
              <w:t xml:space="preserve">US (Microsoft/GitHub)</w:t>
            </w:r>
          </w:p>
        </w:tc>
        <w:tc>
          <w:tcPr/>
          <w:p>
            <w:pPr>
              <w:pStyle w:val="Compact"/>
              <w:jc w:val="left"/>
            </w:pPr>
            <w:r>
              <w:t xml:space="preserve">GPT-4o (US)</w:t>
            </w:r>
          </w:p>
        </w:tc>
        <w:tc>
          <w:tcPr/>
          <w:p>
            <w:pPr>
              <w:pStyle w:val="Compact"/>
              <w:jc w:val="left"/>
            </w:pPr>
            <w:r>
              <w:t xml:space="preserve">Cloud-basiert (Azure)</w:t>
            </w:r>
          </w:p>
        </w:tc>
        <w:tc>
          <w:tcPr/>
          <w:p>
            <w:pPr>
              <w:pStyle w:val="Compact"/>
              <w:jc w:val="left"/>
            </w:pPr>
            <w:r>
              <w:t xml:space="preserve">🔴 Direkt — Microsoft-Tochter</w:t>
            </w:r>
          </w:p>
        </w:tc>
      </w:tr>
      <w:tr>
        <w:tc>
          <w:tcPr/>
          <w:p>
            <w:pPr>
              <w:pStyle w:val="Compact"/>
              <w:jc w:val="left"/>
            </w:pPr>
            <w:r>
              <w:rPr>
                <w:bCs/>
                <w:b/>
              </w:rPr>
              <w:t xml:space="preserve">Windsurf (Codeium)</w:t>
            </w:r>
          </w:p>
        </w:tc>
        <w:tc>
          <w:tcPr/>
          <w:p>
            <w:pPr>
              <w:pStyle w:val="Compact"/>
              <w:jc w:val="left"/>
            </w:pPr>
            <w:r>
              <w:t xml:space="preserve">US (Mountain View)</w:t>
            </w:r>
          </w:p>
        </w:tc>
        <w:tc>
          <w:tcPr/>
          <w:p>
            <w:pPr>
              <w:pStyle w:val="Compact"/>
              <w:jc w:val="left"/>
            </w:pPr>
            <w:r>
              <w:t xml:space="preserve">Eigene Modelle (US)</w:t>
            </w:r>
          </w:p>
        </w:tc>
        <w:tc>
          <w:tcPr/>
          <w:p>
            <w:pPr>
              <w:pStyle w:val="Compact"/>
              <w:jc w:val="left"/>
            </w:pPr>
            <w:r>
              <w:t xml:space="preserve">Cloud-basiert</w:t>
            </w:r>
          </w:p>
        </w:tc>
        <w:tc>
          <w:tcPr/>
          <w:p>
            <w:pPr>
              <w:pStyle w:val="Compact"/>
              <w:jc w:val="left"/>
            </w:pPr>
            <w:r>
              <w:t xml:space="preserve">🔴 Direkt — US-Unternehmen</w:t>
            </w:r>
          </w:p>
        </w:tc>
      </w:tr>
    </w:tbl>
    <w:p>
      <w:pPr>
        <w:pStyle w:val="BodyText"/>
      </w:pPr>
      <w:r>
        <w:rPr>
          <w:bCs/>
          <w:b/>
        </w:rPr>
        <w:t xml:space="preserve">Das Muster:</w:t>
      </w:r>
      <w:r>
        <w:t xml:space="preserve"> </w:t>
      </w:r>
      <w:r>
        <w:t xml:space="preserve">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pStyle w:val="BodyText"/>
      </w:pPr>
      <w:r>
        <w:rPr>
          <w:bCs/>
          <w:b/>
        </w:rPr>
        <w:t xml:space="preserve">Warum das im Gesundheitswesen relevant ist:</w:t>
      </w:r>
      <w:r>
        <w:t xml:space="preserve"> </w:t>
      </w:r>
      <w:r>
        <w:t xml:space="preserve">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pStyle w:val="BodyText"/>
      </w:pPr>
      <w:r>
        <w:rPr>
          <w:bCs/>
          <w:b/>
        </w:rPr>
        <w:t xml:space="preserve">Base44 (Wix):</w:t>
      </w:r>
      <w:r>
        <w:t xml:space="preserve"> </w:t>
      </w:r>
      <w:r>
        <w:t xml:space="preserve">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pStyle w:val="BodyText"/>
      </w:pPr>
      <w:r>
        <w:rPr>
          <w:bCs/>
          <w:b/>
        </w:rPr>
        <w:t xml:space="preserve">Die souveräne Alternative:</w:t>
      </w:r>
      <w:r>
        <w:t xml:space="preserve"> </w:t>
      </w:r>
      <w:r>
        <w:t xml:space="preserve">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bookmarkEnd w:id="88"/>
    <w:bookmarkStart w:id="89" w:name="X6ea322853019af6512f09f92449bf2f2c32147a"/>
    <w:p>
      <w:pPr>
        <w:pStyle w:val="Heading4"/>
      </w:pPr>
      <w:r>
        <w:t xml:space="preserve">KI-Broker — das DSGVO-Versprechen und seine Grenzen</w:t>
      </w:r>
    </w:p>
    <w:p>
      <w:pPr>
        <w:pStyle w:val="FirstParagraph"/>
      </w:pPr>
      <w:r>
        <w:t xml:space="preserve">Ein wachsender Markt deutscher und europäischer Anbieter verspricht</w:t>
      </w:r>
      <w:r>
        <w:t xml:space="preserve"> </w:t>
      </w:r>
      <w:r>
        <w:t xml:space="preserve">“</w:t>
      </w:r>
      <w:r>
        <w:t xml:space="preserve">DSGVO-konforme KI</w:t>
      </w:r>
      <w:r>
        <w:t xml:space="preserve">”</w:t>
      </w:r>
      <w:r>
        <w:t xml:space="preserve"> </w:t>
      </w:r>
      <w:r>
        <w:t xml:space="preserve">für Unternehmen: sogenannte KI-Broker oder KI-Gateways, die als Zwischenschicht zwischen der Organisation und den großen Sprachmodellen (OpenAI, Claude, Gemini) fungieren. Das Versprechen klingt überzeugend:</w:t>
      </w:r>
      <w:r>
        <w:t xml:space="preserve"> </w:t>
      </w:r>
      <w:r>
        <w:rPr>
          <w:bCs/>
          <w:b/>
        </w:rPr>
        <w:t xml:space="preserve">EU-gehostet, ISO 27001-zertifiziert, DSGVO-konform — und trotzdem GPT-4o, Claude und Gemini nutzen.</w:t>
      </w:r>
      <w:r>
        <w:t xml:space="preserve"> </w:t>
      </w:r>
      <w:r>
        <w:t xml:space="preserve">Für den Gesundheitssektor ist dieses Versprechen kritisch zu hinterfragen.</w:t>
      </w:r>
    </w:p>
    <w:p>
      <w:pPr>
        <w:pStyle w:val="BodyText"/>
      </w:pPr>
      <w:r>
        <w:rPr>
          <w:bCs/>
          <w:b/>
        </w:rPr>
        <w:t xml:space="preserve">Das Grundproblem:</w:t>
      </w:r>
      <w:r>
        <w:t xml:space="preserve"> </w:t>
      </w:r>
      <w:r>
        <w:t xml:space="preserve">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numPr>
          <w:ilvl w:val="0"/>
          <w:numId w:val="1011"/>
        </w:numPr>
        <w:pStyle w:val="Compact"/>
      </w:pPr>
      <w:r>
        <w:rPr>
          <w:bCs/>
          <w:b/>
        </w:rPr>
        <w:t xml:space="preserve">Direkte OpenAI-API (US-Server):</w:t>
      </w:r>
      <w:r>
        <w:t xml:space="preserve"> </w:t>
      </w:r>
      <w:r>
        <w:t xml:space="preserve">Prompt geht an OpenAI in den USA.</w:t>
      </w:r>
      <w:r>
        <w:t xml:space="preserve"> </w:t>
      </w:r>
      <w:r>
        <w:t xml:space="preserve">“</w:t>
      </w:r>
      <w:r>
        <w:t xml:space="preserve">Zero Data Retention</w:t>
      </w:r>
      <w:r>
        <w:t xml:space="preserve">”</w:t>
      </w:r>
      <w:r>
        <w:t xml:space="preserve"> </w:t>
      </w:r>
      <w:r>
        <w:t xml:space="preserve">(OpenAI speichert nichts nach Verarbeitung) — aber während der Verarbeitung liegen die Daten im Klartext auf US-Infrastruktur und sind CLOUD-Act-exponiert.</w:t>
      </w:r>
    </w:p>
    <w:p>
      <w:pPr>
        <w:numPr>
          <w:ilvl w:val="0"/>
          <w:numId w:val="1011"/>
        </w:numPr>
        <w:pStyle w:val="Compact"/>
      </w:pPr>
      <w:r>
        <w:rPr>
          <w:bCs/>
          <w:b/>
        </w:rPr>
        <w:t xml:space="preserve">Azure OpenAI (EU-Region, z.B. Schweden/Frankfurt):</w:t>
      </w:r>
      <w:r>
        <w:t xml:space="preserve"> </w:t>
      </w:r>
      <w:r>
        <w:t xml:space="preserve">Prompt bleibt physisch in der EU, aber Azure ist ein Microsoft-Dienst (MSFT) — CLOUD Act greift über die Unternehmensstruktur, nicht den Serverstandort (vgl. §1.1).</w:t>
      </w:r>
    </w:p>
    <w:p>
      <w:pPr>
        <w:numPr>
          <w:ilvl w:val="0"/>
          <w:numId w:val="1011"/>
        </w:numPr>
        <w:pStyle w:val="Compact"/>
      </w:pPr>
      <w:r>
        <w:rPr>
          <w:bCs/>
          <w:b/>
        </w:rPr>
        <w:t xml:space="preserve">Self-hosted Modelle (Mistral, Llama):</w:t>
      </w:r>
      <w:r>
        <w:t xml:space="preserve"> </w:t>
      </w:r>
      <w:r>
        <w:t xml:space="preserve">Kein US-Anbieter involviert — die einzige Option ohne CLOUD-Act-Exposition. Aber nicht alle Broker bieten das an, und die Modellqualität ist für manche Anwendungsfälle noch eingeschränkt.</w:t>
      </w:r>
    </w:p>
    <w:p>
      <w:pPr>
        <w:pStyle w:val="FirstParagraph"/>
      </w:pPr>
      <w:r>
        <w:t xml:space="preserve">Die meisten KI-Broker nutzen Option 1 oder 2 — und kommunizieren das als</w:t>
      </w:r>
      <w:r>
        <w:t xml:space="preserve"> </w:t>
      </w:r>
      <w:r>
        <w:t xml:space="preserve">“</w:t>
      </w:r>
      <w:r>
        <w:t xml:space="preserve">DSGVO-konform</w:t>
      </w:r>
      <w:r>
        <w:t xml:space="preserve">”</w:t>
      </w:r>
      <w:r>
        <w:t xml:space="preserve">,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w:t>
      </w:r>
      <w:r>
        <w:t xml:space="preserve"> </w:t>
      </w:r>
      <w:r>
        <w:t xml:space="preserve">“</w:t>
      </w:r>
      <w:r>
        <w:t xml:space="preserve">Zero Data Retention</w:t>
      </w:r>
      <w:r>
        <w:t xml:space="preserve">”</w:t>
      </w:r>
      <w:r>
        <w:t xml:space="preserve"> </w:t>
      </w:r>
      <w:r>
        <w:t xml:space="preserve">bedeutet</w:t>
      </w:r>
      <w:r>
        <w:t xml:space="preserve"> </w:t>
      </w:r>
      <w:r>
        <w:t xml:space="preserve">“</w:t>
      </w:r>
      <w:r>
        <w:t xml:space="preserve">nicht gespeichert</w:t>
      </w:r>
      <w:r>
        <w:t xml:space="preserve">”</w:t>
      </w:r>
      <w:r>
        <w:t xml:space="preserve"> </w:t>
      </w:r>
      <w:r>
        <w:t xml:space="preserve">— nicht</w:t>
      </w:r>
      <w:r>
        <w:t xml:space="preserve"> </w:t>
      </w:r>
      <w:r>
        <w:t xml:space="preserve">“</w:t>
      </w:r>
      <w:r>
        <w:t xml:space="preserve">nicht verarbeitet</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KI-Broker / Gateway</w:t>
            </w:r>
          </w:p>
        </w:tc>
        <w:tc>
          <w:tcPr/>
          <w:p>
            <w:pPr>
              <w:pStyle w:val="Compact"/>
              <w:jc w:val="left"/>
            </w:pPr>
            <w:r>
              <w:t xml:space="preserve">Sitz</w:t>
            </w:r>
          </w:p>
        </w:tc>
        <w:tc>
          <w:tcPr/>
          <w:p>
            <w:pPr>
              <w:pStyle w:val="Compact"/>
              <w:jc w:val="left"/>
            </w:pPr>
            <w:r>
              <w:t xml:space="preserve">KI-Backend</w:t>
            </w:r>
          </w:p>
        </w:tc>
        <w:tc>
          <w:tcPr/>
          <w:p>
            <w:pPr>
              <w:pStyle w:val="Compact"/>
              <w:jc w:val="left"/>
            </w:pPr>
            <w:r>
              <w:t xml:space="preserve">Hosting</w:t>
            </w:r>
          </w:p>
        </w:tc>
        <w:tc>
          <w:tcPr/>
          <w:p>
            <w:pPr>
              <w:pStyle w:val="Compact"/>
              <w:jc w:val="left"/>
            </w:pPr>
            <w:r>
              <w:t xml:space="preserve">CLOUD-Act-Risiko des KI-Backends</w:t>
            </w:r>
          </w:p>
        </w:tc>
      </w:tr>
      <w:tr>
        <w:tc>
          <w:tcPr/>
          <w:p>
            <w:pPr>
              <w:pStyle w:val="Compact"/>
              <w:jc w:val="left"/>
            </w:pPr>
            <w:r>
              <w:rPr>
                <w:bCs/>
                <w:b/>
              </w:rPr>
              <w:t xml:space="preserve">Langdock</w:t>
            </w:r>
          </w:p>
        </w:tc>
        <w:tc>
          <w:tcPr/>
          <w:p>
            <w:pPr>
              <w:pStyle w:val="Compact"/>
              <w:jc w:val="left"/>
            </w:pPr>
            <w:r>
              <w:t xml:space="preserve">DE (Berlin)</w:t>
            </w:r>
          </w:p>
        </w:tc>
        <w:tc>
          <w:tcPr/>
          <w:p>
            <w:pPr>
              <w:pStyle w:val="Compact"/>
              <w:jc w:val="left"/>
            </w:pPr>
            <w:r>
              <w:t xml:space="preserve">OpenAI, Claude, Mistral, Aleph Alpha</w:t>
            </w:r>
          </w:p>
        </w:tc>
        <w:tc>
          <w:tcPr/>
          <w:p>
            <w:pPr>
              <w:pStyle w:val="Compact"/>
              <w:jc w:val="left"/>
            </w:pPr>
            <w:r>
              <w:t xml:space="preserve">EU (ISO 27001, SOC 2)</w:t>
            </w:r>
          </w:p>
        </w:tc>
        <w:tc>
          <w:tcPr/>
          <w:p>
            <w:pPr>
              <w:pStyle w:val="Compact"/>
              <w:jc w:val="left"/>
            </w:pPr>
            <w:r>
              <w:t xml:space="preserve">🟡 EU-Plattform, aber Prompts an US-Modelle (je nach Konfiguration)</w:t>
            </w:r>
          </w:p>
        </w:tc>
      </w:tr>
      <w:tr>
        <w:tc>
          <w:tcPr/>
          <w:p>
            <w:pPr>
              <w:pStyle w:val="Compact"/>
              <w:jc w:val="left"/>
            </w:pPr>
            <w:r>
              <w:rPr>
                <w:bCs/>
                <w:b/>
              </w:rPr>
              <w:t xml:space="preserve">DeutschlandGPT</w:t>
            </w:r>
          </w:p>
        </w:tc>
        <w:tc>
          <w:tcPr/>
          <w:p>
            <w:pPr>
              <w:pStyle w:val="Compact"/>
              <w:jc w:val="left"/>
            </w:pPr>
            <w:r>
              <w:t xml:space="preserve">DE (Berlin)</w:t>
            </w:r>
          </w:p>
        </w:tc>
        <w:tc>
          <w:tcPr/>
          <w:p>
            <w:pPr>
              <w:pStyle w:val="Compact"/>
              <w:jc w:val="left"/>
            </w:pPr>
            <w:r>
              <w:t xml:space="preserve">GPT-4o, Claude, Gemini, Mistral, Llama</w:t>
            </w:r>
          </w:p>
        </w:tc>
        <w:tc>
          <w:tcPr/>
          <w:p>
            <w:pPr>
              <w:pStyle w:val="Compact"/>
              <w:jc w:val="left"/>
            </w:pPr>
            <w:r>
              <w:t xml:space="preserve">Open Telekom Cloud (DE, C5)</w:t>
            </w:r>
          </w:p>
        </w:tc>
        <w:tc>
          <w:tcPr/>
          <w:p>
            <w:pPr>
              <w:pStyle w:val="Compact"/>
              <w:jc w:val="left"/>
            </w:pPr>
            <w:r>
              <w:t xml:space="preserve">🟡 DE-Hosting, aber GPT/Claude-Prompts via Azure/API an US-Modelle</w:t>
            </w:r>
          </w:p>
        </w:tc>
      </w:tr>
      <w:tr>
        <w:tc>
          <w:tcPr/>
          <w:p>
            <w:pPr>
              <w:pStyle w:val="Compact"/>
              <w:jc w:val="left"/>
            </w:pPr>
            <w:r>
              <w:rPr>
                <w:bCs/>
                <w:b/>
              </w:rPr>
              <w:t xml:space="preserve">meinGPT</w:t>
            </w:r>
          </w:p>
        </w:tc>
        <w:tc>
          <w:tcPr/>
          <w:p>
            <w:pPr>
              <w:pStyle w:val="Compact"/>
              <w:jc w:val="left"/>
            </w:pPr>
            <w:r>
              <w:t xml:space="preserve">DE</w:t>
            </w:r>
          </w:p>
        </w:tc>
        <w:tc>
          <w:tcPr/>
          <w:p>
            <w:pPr>
              <w:pStyle w:val="Compact"/>
              <w:jc w:val="left"/>
            </w:pPr>
            <w:r>
              <w:t xml:space="preserve">OpenAI (Azure EU), Claude, Mistral</w:t>
            </w:r>
          </w:p>
        </w:tc>
        <w:tc>
          <w:tcPr/>
          <w:p>
            <w:pPr>
              <w:pStyle w:val="Compact"/>
              <w:jc w:val="left"/>
            </w:pPr>
            <w:r>
              <w:t xml:space="preserve">DE-hosted</w:t>
            </w:r>
          </w:p>
        </w:tc>
        <w:tc>
          <w:tcPr/>
          <w:p>
            <w:pPr>
              <w:pStyle w:val="Compact"/>
              <w:jc w:val="left"/>
            </w:pPr>
            <w:r>
              <w:t xml:space="preserve">🟡 Azure OpenAI EU = Microsoft-Jurisdiktion</w:t>
            </w:r>
          </w:p>
        </w:tc>
      </w:tr>
      <w:tr>
        <w:tc>
          <w:tcPr/>
          <w:p>
            <w:pPr>
              <w:pStyle w:val="Compact"/>
              <w:jc w:val="left"/>
            </w:pPr>
            <w:r>
              <w:rPr>
                <w:bCs/>
                <w:b/>
              </w:rPr>
              <w:t xml:space="preserve">Plotdesk</w:t>
            </w:r>
          </w:p>
        </w:tc>
        <w:tc>
          <w:tcPr/>
          <w:p>
            <w:pPr>
              <w:pStyle w:val="Compact"/>
              <w:jc w:val="left"/>
            </w:pPr>
            <w:r>
              <w:t xml:space="preserve">DE</w:t>
            </w:r>
          </w:p>
        </w:tc>
        <w:tc>
          <w:tcPr/>
          <w:p>
            <w:pPr>
              <w:pStyle w:val="Compact"/>
              <w:jc w:val="left"/>
            </w:pPr>
            <w:r>
              <w:t xml:space="preserve">GPT-4o via Azure OpenAI (EU)</w:t>
            </w:r>
          </w:p>
        </w:tc>
        <w:tc>
          <w:tcPr/>
          <w:p>
            <w:pPr>
              <w:pStyle w:val="Compact"/>
              <w:jc w:val="left"/>
            </w:pPr>
            <w:r>
              <w:t xml:space="preserve">EU</w:t>
            </w:r>
          </w:p>
        </w:tc>
        <w:tc>
          <w:tcPr/>
          <w:p>
            <w:pPr>
              <w:pStyle w:val="Compact"/>
              <w:jc w:val="left"/>
            </w:pPr>
            <w:r>
              <w:t xml:space="preserve">🟡 Explizit Azure OpenAI — Microsoft-CLOUD-Act-Risiko bleibt</w:t>
            </w:r>
          </w:p>
        </w:tc>
      </w:tr>
      <w:tr>
        <w:tc>
          <w:tcPr/>
          <w:p>
            <w:pPr>
              <w:pStyle w:val="Compact"/>
              <w:jc w:val="left"/>
            </w:pPr>
            <w:r>
              <w:rPr>
                <w:bCs/>
                <w:b/>
              </w:rPr>
              <w:t xml:space="preserve">Omnifact</w:t>
            </w:r>
          </w:p>
        </w:tc>
        <w:tc>
          <w:tcPr/>
          <w:p>
            <w:pPr>
              <w:pStyle w:val="Compact"/>
              <w:jc w:val="left"/>
            </w:pPr>
            <w:r>
              <w:t xml:space="preserve">DE</w:t>
            </w:r>
          </w:p>
        </w:tc>
        <w:tc>
          <w:tcPr/>
          <w:p>
            <w:pPr>
              <w:pStyle w:val="Compact"/>
              <w:jc w:val="left"/>
            </w:pPr>
            <w:r>
              <w:t xml:space="preserve">Diverse; Privacy Filter™ maskiert Daten vor KI-Übergabe</w:t>
            </w:r>
          </w:p>
        </w:tc>
        <w:tc>
          <w:tcPr/>
          <w:p>
            <w:pPr>
              <w:pStyle w:val="Compact"/>
              <w:jc w:val="left"/>
            </w:pPr>
            <w:r>
              <w:t xml:space="preserve">EU</w:t>
            </w:r>
          </w:p>
        </w:tc>
        <w:tc>
          <w:tcPr/>
          <w:p>
            <w:pPr>
              <w:pStyle w:val="Compact"/>
              <w:jc w:val="left"/>
            </w:pPr>
            <w:r>
              <w:t xml:space="preserve">🟡 Maskierung reduziert Exposition, löst Grundproblem nicht (s.u.)</w:t>
            </w:r>
          </w:p>
        </w:tc>
      </w:tr>
      <w:tr>
        <w:tc>
          <w:tcPr/>
          <w:p>
            <w:pPr>
              <w:pStyle w:val="Compact"/>
              <w:jc w:val="left"/>
            </w:pPr>
            <w:r>
              <w:rPr>
                <w:bCs/>
                <w:b/>
              </w:rPr>
              <w:t xml:space="preserve">Neuroflash</w:t>
            </w:r>
          </w:p>
        </w:tc>
        <w:tc>
          <w:tcPr/>
          <w:p>
            <w:pPr>
              <w:pStyle w:val="Compact"/>
              <w:jc w:val="left"/>
            </w:pPr>
            <w:r>
              <w:t xml:space="preserve">DE (Hamburg)</w:t>
            </w:r>
          </w:p>
        </w:tc>
        <w:tc>
          <w:tcPr/>
          <w:p>
            <w:pPr>
              <w:pStyle w:val="Compact"/>
              <w:jc w:val="left"/>
            </w:pPr>
            <w:r>
              <w:t xml:space="preserve">GPT-4o, eigene Modelle</w:t>
            </w:r>
          </w:p>
        </w:tc>
        <w:tc>
          <w:tcPr/>
          <w:p>
            <w:pPr>
              <w:pStyle w:val="Compact"/>
              <w:jc w:val="left"/>
            </w:pPr>
            <w:r>
              <w:t xml:space="preserve">EU</w:t>
            </w:r>
          </w:p>
        </w:tc>
        <w:tc>
          <w:tcPr/>
          <w:p>
            <w:pPr>
              <w:pStyle w:val="Compact"/>
              <w:jc w:val="left"/>
            </w:pPr>
            <w:r>
              <w:t xml:space="preserve">🟡 OpenAI-Abhängigkeit für Kernfunktionen</w:t>
            </w:r>
          </w:p>
        </w:tc>
      </w:tr>
      <w:tr>
        <w:tc>
          <w:tcPr/>
          <w:p>
            <w:pPr>
              <w:pStyle w:val="Compact"/>
              <w:jc w:val="left"/>
            </w:pPr>
            <w:r>
              <w:rPr>
                <w:bCs/>
                <w:b/>
              </w:rPr>
              <w:t xml:space="preserve">kamium</w:t>
            </w:r>
          </w:p>
        </w:tc>
        <w:tc>
          <w:tcPr/>
          <w:p>
            <w:pPr>
              <w:pStyle w:val="Compact"/>
              <w:jc w:val="left"/>
            </w:pPr>
            <w:r>
              <w:t xml:space="preserve">DE</w:t>
            </w:r>
          </w:p>
        </w:tc>
        <w:tc>
          <w:tcPr/>
          <w:p>
            <w:pPr>
              <w:pStyle w:val="Compact"/>
              <w:jc w:val="left"/>
            </w:pPr>
            <w:r>
              <w:t xml:space="preserve">ChatGPT, Gemini, Claude, Perplexity</w:t>
            </w:r>
          </w:p>
        </w:tc>
        <w:tc>
          <w:tcPr/>
          <w:p>
            <w:pPr>
              <w:pStyle w:val="Compact"/>
              <w:jc w:val="left"/>
            </w:pPr>
            <w:r>
              <w:t xml:space="preserve">Eigener Azure-Tenant (EU)</w:t>
            </w:r>
          </w:p>
        </w:tc>
        <w:tc>
          <w:tcPr/>
          <w:p>
            <w:pPr>
              <w:pStyle w:val="Compact"/>
              <w:jc w:val="left"/>
            </w:pPr>
            <w:r>
              <w:t xml:space="preserve">🟡 Azure = Microsoft-Jurisdiktion</w:t>
            </w:r>
          </w:p>
        </w:tc>
      </w:tr>
      <w:tr>
        <w:tc>
          <w:tcPr/>
          <w:p>
            <w:pPr>
              <w:pStyle w:val="Compact"/>
              <w:jc w:val="left"/>
            </w:pPr>
            <w:r>
              <w:rPr>
                <w:bCs/>
                <w:b/>
              </w:rPr>
              <w:t xml:space="preserve">Dust.tt</w:t>
            </w:r>
          </w:p>
        </w:tc>
        <w:tc>
          <w:tcPr/>
          <w:p>
            <w:pPr>
              <w:pStyle w:val="Compact"/>
              <w:jc w:val="left"/>
            </w:pPr>
            <w:r>
              <w:t xml:space="preserve">FR (Paris)</w:t>
            </w:r>
          </w:p>
        </w:tc>
        <w:tc>
          <w:tcPr/>
          <w:p>
            <w:pPr>
              <w:pStyle w:val="Compact"/>
              <w:jc w:val="left"/>
            </w:pPr>
            <w:r>
              <w:t xml:space="preserve">OpenAI, Claude, Mistral, Gemini</w:t>
            </w:r>
          </w:p>
        </w:tc>
        <w:tc>
          <w:tcPr/>
          <w:p>
            <w:pPr>
              <w:pStyle w:val="Compact"/>
              <w:jc w:val="left"/>
            </w:pPr>
            <w:r>
              <w:t xml:space="preserve">EU/US (wählbar, SOC 2)</w:t>
            </w:r>
          </w:p>
        </w:tc>
        <w:tc>
          <w:tcPr/>
          <w:p>
            <w:pPr>
              <w:pStyle w:val="Compact"/>
              <w:jc w:val="left"/>
            </w:pPr>
            <w:r>
              <w:t xml:space="preserve">🟡 EU-Hosting wählbar, aber US-Modelle verarbeiten Prompts</w:t>
            </w:r>
          </w:p>
        </w:tc>
      </w:tr>
      <w:tr>
        <w:tc>
          <w:tcPr/>
          <w:p>
            <w:pPr>
              <w:pStyle w:val="Compact"/>
              <w:jc w:val="left"/>
            </w:pPr>
            <w:r>
              <w:rPr>
                <w:bCs/>
                <w:b/>
              </w:rPr>
              <w:t xml:space="preserve">nexos.ai</w:t>
            </w:r>
          </w:p>
        </w:tc>
        <w:tc>
          <w:tcPr/>
          <w:p>
            <w:pPr>
              <w:pStyle w:val="Compact"/>
              <w:jc w:val="left"/>
            </w:pPr>
            <w:r>
              <w:t xml:space="preserve">LT (Vilnius)</w:t>
            </w:r>
          </w:p>
        </w:tc>
        <w:tc>
          <w:tcPr/>
          <w:p>
            <w:pPr>
              <w:pStyle w:val="Compact"/>
              <w:jc w:val="left"/>
            </w:pPr>
            <w:r>
              <w:t xml:space="preserve">200+ Modelle (OpenAI, Claude, Mistral…)</w:t>
            </w:r>
          </w:p>
        </w:tc>
        <w:tc>
          <w:tcPr/>
          <w:p>
            <w:pPr>
              <w:pStyle w:val="Compact"/>
              <w:jc w:val="left"/>
            </w:pPr>
            <w:r>
              <w:t xml:space="preserve">EU (ISO 27001, SOC 2)</w:t>
            </w:r>
          </w:p>
        </w:tc>
        <w:tc>
          <w:tcPr/>
          <w:p>
            <w:pPr>
              <w:pStyle w:val="Compact"/>
              <w:jc w:val="left"/>
            </w:pPr>
            <w:r>
              <w:t xml:space="preserve">🟡 EU-Gateway, US-Modelle im Backend</w:t>
            </w:r>
          </w:p>
        </w:tc>
      </w:tr>
    </w:tbl>
    <w:p>
      <w:pPr>
        <w:pStyle w:val="BodyText"/>
      </w:pPr>
      <w:r>
        <w:rPr>
          <w:bCs/>
          <w:b/>
        </w:rPr>
        <w:t xml:space="preserve">Omnifact-Sonderfall — und warum Maskierung kein Souveränitätsersatz ist:</w:t>
      </w:r>
      <w:r>
        <w:t xml:space="preserve"> </w:t>
      </w:r>
      <w:r>
        <w:t xml:space="preserve">Omnifact bietet als einziger Broker in dieser Übersicht einen</w:t>
      </w:r>
      <w:r>
        <w:t xml:space="preserve"> </w:t>
      </w:r>
      <w:r>
        <w:t xml:space="preserve">“</w:t>
      </w:r>
      <w:r>
        <w:t xml:space="preserve">Privacy Filter</w:t>
      </w:r>
      <w:r>
        <w:t xml:space="preserve">”</w:t>
      </w:r>
      <w:r>
        <w:t xml:space="preserve">, der sensible Daten (Namen, Diagnosen, Versichertennummern)</w:t>
      </w:r>
      <w:r>
        <w:t xml:space="preserve"> </w:t>
      </w:r>
      <w:r>
        <w:rPr>
          <w:bCs/>
          <w:b/>
        </w:rPr>
        <w:t xml:space="preserve">vor</w:t>
      </w:r>
      <w:r>
        <w:t xml:space="preserve"> </w:t>
      </w:r>
      <w:r>
        <w:t xml:space="preserve">der Übergabe an das KI-Modell maskiert. Die Rücktransformation erfolgt lokal. Das klingt nach Lösung — bei genauerer Analyse bleiben jedoch fünf strukturelle Probleme:</w:t>
      </w:r>
    </w:p>
    <w:p>
      <w:pPr>
        <w:numPr>
          <w:ilvl w:val="0"/>
          <w:numId w:val="1012"/>
        </w:numPr>
        <w:pStyle w:val="Compact"/>
      </w:pPr>
      <w:r>
        <w:rPr>
          <w:bCs/>
          <w:b/>
        </w:rPr>
        <w:t xml:space="preserve">Kontextuelle Re-Identifizierbarkeit.</w:t>
      </w:r>
      <w:r>
        <w:t xml:space="preserve"> </w:t>
      </w:r>
      <w:r>
        <w:t xml:space="preserve">Medizinische Daten sind strukturell identifizierend.</w:t>
      </w:r>
      <w:r>
        <w:t xml:space="preserve"> </w:t>
      </w:r>
      <w:r>
        <w:t xml:space="preserve">“</w:t>
      </w:r>
      <w:r>
        <w:t xml:space="preserve">43-jährige Patientin, bilaterale Mastektomie 2024, BRCA1-positiv, Olaparib-Therapie</w:t>
      </w:r>
      <w:r>
        <w:t xml:space="preserve">”</w:t>
      </w:r>
      <w:r>
        <w:t xml:space="preserve"> </w:t>
      </w:r>
      <w:r>
        <w:t xml:space="preserve">ist auch ohne Namen einem überschaubaren Personenkreis zuordenbar — insbesondere in Kombination mit Zeitstempel, behandelnder Einrichtung oder Diagnosesequenz. Je seltener die Erkrankung, desto geringer die Anonymisierungswirkung.</w:t>
      </w:r>
    </w:p>
    <w:p>
      <w:pPr>
        <w:numPr>
          <w:ilvl w:val="0"/>
          <w:numId w:val="1012"/>
        </w:numPr>
        <w:pStyle w:val="Compact"/>
      </w:pPr>
      <w:r>
        <w:rPr>
          <w:bCs/>
          <w:b/>
        </w:rPr>
        <w:t xml:space="preserve">Maskierungslücken.</w:t>
      </w:r>
      <w:r>
        <w:t xml:space="preserve"> </w:t>
      </w:r>
      <w:r>
        <w:t xml:space="preserve">Kein regelbasierter oder KI-gestützter Filter erkennt alle sensiblen Informationen zuverlässig. Medizinischer Freitext enthält unstrukturierte Angaben, Abkürzungen, kontextabhängige Sensitivität (</w:t>
      </w:r>
      <w:r>
        <w:t xml:space="preserve">“</w:t>
      </w:r>
      <w:r>
        <w:t xml:space="preserve">Ehemann positiv getestet</w:t>
      </w:r>
      <w:r>
        <w:t xml:space="preserve">”</w:t>
      </w:r>
      <w:r>
        <w:t xml:space="preserve"> </w:t>
      </w:r>
      <w:r>
        <w:t xml:space="preserve">ist ohne medizinischen Kontext harmlos, im HIV-Kontext hochsensibel). Wenn der Filter eine Information übersieht, gehen ungeschützte Patientendaten an das US-Modell.</w:t>
      </w:r>
    </w:p>
    <w:p>
      <w:pPr>
        <w:numPr>
          <w:ilvl w:val="0"/>
          <w:numId w:val="1012"/>
        </w:numPr>
        <w:pStyle w:val="Compact"/>
      </w:pPr>
      <w:r>
        <w:rPr>
          <w:bCs/>
          <w:b/>
        </w:rPr>
        <w:t xml:space="preserve">Funktionale Grenze.</w:t>
      </w:r>
      <w:r>
        <w:t xml:space="preserve"> </w:t>
      </w:r>
      <w:r>
        <w:t xml:space="preserve">Ein Arztbrief-Generator, der den klinischen Kontext benötigt, funktioniert mit maskierten Daten nur eingeschränkt oder gar nicht.</w:t>
      </w:r>
      <w:r>
        <w:t xml:space="preserve"> </w:t>
      </w:r>
      <w:r>
        <w:t xml:space="preserve">“</w:t>
      </w:r>
      <w:r>
        <w:t xml:space="preserve">Patient [MASKIERT], Diagnose [MASKIERT], Therapie [MASKIERT]</w:t>
      </w:r>
      <w:r>
        <w:t xml:space="preserve">”</w:t>
      </w:r>
      <w:r>
        <w:t xml:space="preserve"> </w:t>
      </w:r>
      <w:r>
        <w:t xml:space="preserve">kann kein Modell zu einem sinnvollen Arztbrief verarbeiten. Je aggressiver die Maskierung, desto nutzloser die KI-Ausgabe — je weniger maskiert wird, desto größer die Exposition.</w:t>
      </w:r>
    </w:p>
    <w:p>
      <w:pPr>
        <w:numPr>
          <w:ilvl w:val="0"/>
          <w:numId w:val="1012"/>
        </w:numPr>
        <w:pStyle w:val="Compact"/>
      </w:pPr>
      <w:r>
        <w:rPr>
          <w:bCs/>
          <w:b/>
        </w:rPr>
        <w:t xml:space="preserve">Wer führt die Maskierung durch?</w:t>
      </w:r>
      <w:r>
        <w:t xml:space="preserve"> </w:t>
      </w:r>
      <w:r>
        <w:t xml:space="preserve">Wenn der Privacy Filter selbst ein KI-Modell nutzt, um sensible Daten zu erkennen, sieht dieses Modell die vollständigen Rohdaten. Die Frage verschiebt sich nur: Auf welcher Infrastruktur und bei welchem Anbieter läuft der Maskierungsfilter?</w:t>
      </w:r>
    </w:p>
    <w:p>
      <w:pPr>
        <w:numPr>
          <w:ilvl w:val="0"/>
          <w:numId w:val="1012"/>
        </w:numPr>
        <w:pStyle w:val="Compact"/>
      </w:pPr>
      <w:r>
        <w:rPr>
          <w:bCs/>
          <w:b/>
        </w:rPr>
        <w:t xml:space="preserve">Pseudonymisierung ≠ Anonymisierung.</w:t>
      </w:r>
      <w:r>
        <w:t xml:space="preserve"> </w:t>
      </w:r>
      <w:r>
        <w:t xml:space="preserve">Maskierte Daten sind pseudonymisiert, nicht anonymisiert im DSGVO-Sinne (Art. 4 Nr. 5). Pseudonymisierte Daten bleiben personenbezogene Daten — mit allen DSGVO-Pflichten inklusive Art. 48. Die CLOUD-Act-Exposition wird reduziert, nicht eliminiert.</w:t>
      </w:r>
    </w:p>
    <w:p>
      <w:pPr>
        <w:pStyle w:val="FirstParagraph"/>
      </w:pPr>
      <w:r>
        <w:t xml:space="preserve">Omnifacts Ansatz ist der beste unter den Brokern — aber</w:t>
      </w:r>
      <w:r>
        <w:t xml:space="preserve"> </w:t>
      </w:r>
      <w:r>
        <w:t xml:space="preserve">“</w:t>
      </w:r>
      <w:r>
        <w:t xml:space="preserve">besser als die anderen</w:t>
      </w:r>
      <w:r>
        <w:t xml:space="preserve">”</w:t>
      </w:r>
      <w:r>
        <w:t xml:space="preserve"> </w:t>
      </w:r>
      <w:r>
        <w:t xml:space="preserve">ist nicht dasselbe wie</w:t>
      </w:r>
      <w:r>
        <w:t xml:space="preserve"> </w:t>
      </w:r>
      <w:r>
        <w:t xml:space="preserve">“</w:t>
      </w:r>
      <w:r>
        <w:t xml:space="preserve">ausreichend für Gesundheitsdaten</w:t>
      </w:r>
      <w:r>
        <w:t xml:space="preserve">”</w:t>
      </w:r>
      <w:r>
        <w:t xml:space="preserve">. Für unkritische Workloads (Klasse 2–3) ist Maskierung ein pragmatischer Teilschutz. Für Klasse-1-Daten (ePA, Diagnosen, Medikation) bleibt das Urteil: Nur vollständig EU-gehostete Modelle ohne US-Anbieter-Beteiligung bieten strukturellen Schutz.</w:t>
      </w:r>
    </w:p>
    <w:p>
      <w:pPr>
        <w:pStyle w:val="BodyText"/>
      </w:pPr>
      <w:r>
        <w:rPr>
          <w:bCs/>
          <w:b/>
        </w:rPr>
        <w:t xml:space="preserve">Kernaussage für den Gesundheitssektor:</w:t>
      </w:r>
      <w:r>
        <w:t xml:space="preserve"> </w:t>
      </w:r>
      <w:r>
        <w:t xml:space="preserve">“</w:t>
      </w:r>
      <w:r>
        <w:t xml:space="preserve">DSGVO-konformer KI-Broker</w:t>
      </w:r>
      <w:r>
        <w:t xml:space="preserve">”</w:t>
      </w:r>
      <w:r>
        <w:t xml:space="preserve"> </w:t>
      </w:r>
      <w:r>
        <w:t xml:space="preserve">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r>
        <w:pict>
          <v:rect style="width:0;height:1.5pt" o:hralign="center" o:hrstd="t" o:hr="t"/>
        </w:pict>
      </w:r>
    </w:p>
    <w:bookmarkEnd w:id="89"/>
    <w:bookmarkEnd w:id="90"/>
    <w:bookmarkEnd w:id="91"/>
    <w:bookmarkStart w:id="95" w:name="Xbe752cf941259ea30ffe9a5635c63c5f2c539f5"/>
    <w:p>
      <w:pPr>
        <w:pStyle w:val="Heading2"/>
      </w:pPr>
      <w:r>
        <w:t xml:space="preserve">8. Der vollständige EU-Plattformstack: US-Hyperscaler ersetzen</w:t>
      </w:r>
    </w:p>
    <w:bookmarkStart w:id="92" w:name="Xde85540b19100edd3f1f51cc1e9aca86f9e1fde"/>
    <w:p>
      <w:pPr>
        <w:pStyle w:val="Heading3"/>
      </w:pPr>
      <w:r>
        <w:t xml:space="preserve">8.1 Das eigentliche Problem — nicht eine Datenbank, sondern ein Ökosystem</w:t>
      </w:r>
    </w:p>
    <w:p>
      <w:pPr>
        <w:pStyle w:val="FirstParagraph"/>
      </w:pPr>
      <w: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bookmarkEnd w:id="92"/>
    <w:bookmarkStart w:id="93" w:name="der-praxisbeweis-schleswig-holstein"/>
    <w:p>
      <w:pPr>
        <w:pStyle w:val="Heading3"/>
      </w:pPr>
      <w:r>
        <w:t xml:space="preserve">8.2 Der Praxisbeweis: Schleswig-Holstein</w:t>
      </w:r>
    </w:p>
    <w:p>
      <w:pPr>
        <w:pStyle w:val="FirstParagraph"/>
      </w:pPr>
      <w:r>
        <w:t xml:space="preserve">Das überzeugendste Argument gegen</w:t>
      </w:r>
      <w:r>
        <w:t xml:space="preserve"> </w:t>
      </w:r>
      <w:r>
        <w:t xml:space="preserve">“</w:t>
      </w:r>
      <w:r>
        <w:t xml:space="preserve">das ist nicht praxistauglich</w:t>
      </w:r>
      <w:r>
        <w:t xml:space="preserve">”</w:t>
      </w:r>
      <w:r>
        <w:t xml:space="preserve"> </w:t>
      </w:r>
      <w:r>
        <w:t xml:space="preserve">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pStyle w:val="BodyText"/>
      </w:pPr>
      <w:r>
        <w:t xml:space="preserve">Das finanzielle Ergebnis:</w:t>
      </w:r>
      <w:r>
        <w:t xml:space="preserve"> </w:t>
      </w:r>
      <w:r>
        <w:rPr>
          <w:bCs/>
          <w:b/>
        </w:rPr>
        <w:t xml:space="preserve">€15 Millionen jährliche Einsparungen</w:t>
      </w:r>
      <w:r>
        <w:t xml:space="preserve"> </w:t>
      </w:r>
      <w:r>
        <w:t xml:space="preserve">bei €9 Millionen Migrationsinvestition — positiver ROI ab Jahr 1.</w:t>
      </w:r>
    </w:p>
    <w:p>
      <w:pPr>
        <w:pStyle w:val="BodyText"/>
      </w:pPr>
      <w:r>
        <w:rPr>
          <w:bCs/>
          <w:b/>
        </w:rPr>
        <w:t xml:space="preserve">Was bleibt schwierig:</w:t>
      </w:r>
      <w:r>
        <w:t xml:space="preserve"> </w:t>
      </w:r>
      <w:r>
        <w:t xml:space="preserve">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bookmarkEnd w:id="93"/>
    <w:bookmarkStart w:id="94" w:name="X002abdb433a749dbe473122dc40a90a3d369577"/>
    <w:p>
      <w:pPr>
        <w:pStyle w:val="Heading3"/>
      </w:pPr>
      <w:r>
        <w:t xml:space="preserve">8.3 Die vollständige souveräne Zielarchitektur</w:t>
      </w:r>
    </w:p>
    <w:p>
      <w:pPr>
        <w:pStyle w:val="SourceCode"/>
      </w:pPr>
      <w:r>
        <w:rPr>
          <w:rStyle w:val="VerbatimChar"/>
        </w:rPr>
        <w:t xml:space="preserve">IDENTITÄT &amp; ZUGANG (Zero-Trust)</w:t>
      </w:r>
      <w:r>
        <w:br/>
      </w:r>
      <w:r>
        <w:rPr>
          <w:rStyle w:val="VerbatimChar"/>
        </w:rPr>
        <w:t xml:space="preserve">  Keycloak (Open Source, Red Hat) ← ersetzt Azure AD/Entra ID</w:t>
      </w:r>
      <w:r>
        <w:br/>
      </w:r>
      <w:r>
        <w:rPr>
          <w:rStyle w:val="VerbatimChar"/>
        </w:rPr>
        <w:t xml:space="preserve">  Univention Corporate Server     ← ersetzt Active Directory</w:t>
      </w:r>
      <w:r>
        <w:br/>
      </w:r>
      <w:r>
        <w:rPr>
          <w:rStyle w:val="VerbatimChar"/>
        </w:rPr>
        <w:t xml:space="preserve">  FreeIPA                         ← Linux-Integration</w:t>
      </w:r>
      <w:r>
        <w:br/>
      </w:r>
      <w:r>
        <w:br/>
      </w:r>
      <w:r>
        <w:rPr>
          <w:rStyle w:val="VerbatimChar"/>
        </w:rPr>
        <w:t xml:space="preserve">COLLABORATION &amp; OFFICE</w:t>
      </w:r>
      <w:r>
        <w:br/>
      </w:r>
      <w:r>
        <w:rPr>
          <w:rStyle w:val="VerbatimChar"/>
        </w:rPr>
        <w:t xml:space="preserve">  Nextcloud Hub / Euro-Office     ← ersetzt M365 / SharePoint / OneDrive</w:t>
      </w:r>
      <w:r>
        <w:br/>
      </w:r>
      <w:r>
        <w:rPr>
          <w:rStyle w:val="VerbatimChar"/>
        </w:rPr>
        <w:t xml:space="preserve">  Open-Xchange + Thunderbird      ← ersetzt Exchange / Outlook</w:t>
      </w:r>
      <w:r>
        <w:br/>
      </w:r>
      <w:r>
        <w:rPr>
          <w:rStyle w:val="VerbatimChar"/>
        </w:rPr>
        <w:t xml:space="preserve">  OpenTalk / Jitsi / Matrix       ← ersetzt Teams</w:t>
      </w:r>
      <w:r>
        <w:br/>
      </w:r>
      <w:r>
        <w:br/>
      </w:r>
      <w:r>
        <w:rPr>
          <w:rStyle w:val="VerbatimChar"/>
        </w:rPr>
        <w:t xml:space="preserve">INFRASTRUKTUR (EU-Cloud)</w:t>
      </w:r>
      <w:r>
        <w:br/>
      </w:r>
      <w:r>
        <w:rPr>
          <w:rStyle w:val="VerbatimChar"/>
        </w:rPr>
        <w:t xml:space="preserve">  STACKIT / plusserver (IaaS)     ← ersetzt Azure Compute</w:t>
      </w:r>
      <w:r>
        <w:br/>
      </w:r>
      <w:r>
        <w:rPr>
          <w:rStyle w:val="VerbatimChar"/>
        </w:rPr>
        <w:t xml:space="preserve">  MinIO / Ceph (Objektspeicher)   ← ersetzt Azure Blob Storage</w:t>
      </w:r>
      <w:r>
        <w:br/>
      </w:r>
      <w:r>
        <w:rPr>
          <w:rStyle w:val="VerbatimChar"/>
        </w:rPr>
        <w:t xml:space="preserve">  PostgreSQL / MariaDB            ← ersetzt Azure SQL / CosmosDB</w:t>
      </w:r>
      <w:r>
        <w:br/>
      </w:r>
      <w:r>
        <w:rPr>
          <w:rStyle w:val="VerbatimChar"/>
        </w:rPr>
        <w:t xml:space="preserve">  Kubernetes (self-managed)       ← ersetzt AKS</w:t>
      </w:r>
      <w:r>
        <w:br/>
      </w:r>
      <w:r>
        <w:br/>
      </w:r>
      <w:r>
        <w:rPr>
          <w:rStyle w:val="VerbatimChar"/>
        </w:rPr>
        <w:t xml:space="preserve">KI &amp; ANALYTICS</w:t>
      </w:r>
      <w:r>
        <w:br/>
      </w:r>
      <w:r>
        <w:rPr>
          <w:rStyle w:val="VerbatimChar"/>
        </w:rPr>
        <w:t xml:space="preserve">  vLLM + Mistral (lokal/STACKIT)  ← ersetzt Azure OpenAI / Copilot</w:t>
      </w:r>
      <w:r>
        <w:br/>
      </w:r>
      <w:r>
        <w:rPr>
          <w:rStyle w:val="VerbatimChar"/>
        </w:rPr>
        <w:t xml:space="preserve">  Metabase / Apache Superset      ← ersetzt Power BI / Fabric</w:t>
      </w:r>
      <w:r>
        <w:br/>
      </w:r>
      <w:r>
        <w:rPr>
          <w:rStyle w:val="VerbatimChar"/>
        </w:rPr>
        <w:t xml:space="preserve">  Grafana + Prometheus            ← ersetzt Azure Monitor</w:t>
      </w:r>
      <w:r>
        <w:br/>
      </w:r>
      <w:r>
        <w:br/>
      </w:r>
      <w:r>
        <w:rPr>
          <w:rStyle w:val="VerbatimChar"/>
        </w:rPr>
        <w:t xml:space="preserve">CI/CD &amp; DEVOPS</w:t>
      </w:r>
      <w:r>
        <w:br/>
      </w:r>
      <w:r>
        <w:rPr>
          <w:rStyle w:val="VerbatimChar"/>
        </w:rPr>
        <w:t xml:space="preserve">  GitLab (self-hosted)            ← ersetzt Azure DevOps / GitHub</w:t>
      </w:r>
      <w:r>
        <w:br/>
      </w:r>
      <w:r>
        <w:br/>
      </w:r>
      <w:r>
        <w:rPr>
          <w:rStyle w:val="VerbatimChar"/>
        </w:rPr>
        <w:t xml:space="preserve">SECURITY &amp; COMPLIANCE</w:t>
      </w:r>
      <w:r>
        <w:br/>
      </w:r>
      <w:r>
        <w:rPr>
          <w:rStyle w:val="VerbatimChar"/>
        </w:rPr>
        <w:t xml:space="preserve">  OpenSearch / Wazuh (SIEM)       ← ersetzt Microsoft Sentinel</w:t>
      </w:r>
      <w:r>
        <w:br/>
      </w:r>
      <w:r>
        <w:rPr>
          <w:rStyle w:val="VerbatimChar"/>
        </w:rPr>
        <w:t xml:space="preserve">  Veeam auf EU-Storage            ← Backup / DR</w:t>
      </w:r>
    </w:p>
    <w:p>
      <w:pPr>
        <w:pStyle w:val="FirstParagraph"/>
      </w:pPr>
      <w:r>
        <w:rPr>
          <w:bCs/>
          <w:b/>
        </w:rPr>
        <w:t xml:space="preserve">Gesamtbewertung:</w:t>
      </w:r>
      <w:r>
        <w:t xml:space="preserve"> </w:t>
      </w:r>
      <w:r>
        <w:t xml:space="preserve">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r>
        <w:pict>
          <v:rect style="width:0;height:1.5pt" o:hralign="center" o:hrstd="t" o:hr="t"/>
        </w:pict>
      </w:r>
    </w:p>
    <w:bookmarkEnd w:id="94"/>
    <w:bookmarkEnd w:id="95"/>
    <w:bookmarkStart w:id="101" w:name="X3039f95f0430d63ec77000bfd269ea1e56537b4"/>
    <w:p>
      <w:pPr>
        <w:pStyle w:val="Heading2"/>
      </w:pPr>
      <w:r>
        <w:t xml:space="preserve">9. Rechtliche Abkommen zwischen EU und USA: Lösung oder Illusion?</w:t>
      </w:r>
    </w:p>
    <w:p>
      <w:pPr>
        <w:pStyle w:val="FirstParagraph"/>
      </w:pPr>
      <w:r>
        <w:t xml:space="preserve">Wer die vorangegangenen Kapitel gelesen hat, stellt die naheliegende Gegenfrage:</w:t>
      </w:r>
      <w:r>
        <w:t xml:space="preserve"> </w:t>
      </w:r>
      <w:r>
        <w:rPr>
          <w:iCs/>
          <w:i/>
        </w:rPr>
        <w:t xml:space="preserve">Wenn EU-Infrastruktur so wichtig ist — warum löst die EU das Problem nicht einfach politisch? Ein Abkommen mit den USA, das klare Regeln für Datenzugriff schafft?</w:t>
      </w:r>
    </w:p>
    <w:p>
      <w:pPr>
        <w:pStyle w:val="BodyText"/>
      </w:pPr>
      <w:r>
        <w:t xml:space="preserve">Diese Frage ist legitim. Es gibt sogar zwei solcher Rahmwerke, die genau das versuchen. Beide scheitern — aus verschiedenen Gründen.</w:t>
      </w:r>
    </w:p>
    <w:bookmarkStart w:id="96" w:name="Xe4be44859450ffa3f73eb4aa2dc4efb6fa48b7d"/>
    <w:p>
      <w:pPr>
        <w:pStyle w:val="Heading3"/>
      </w:pPr>
      <w:r>
        <w:t xml:space="preserve">9.1 Das Data Privacy Framework — die dritte Runde</w:t>
      </w:r>
    </w:p>
    <w:p>
      <w:pPr>
        <w:pStyle w:val="FirstParagraph"/>
      </w:pPr>
      <w:r>
        <w:t xml:space="preserve">Das Data Privacy Framework (DPF, seit Juli 2023) ist das dritte EU-US-Datentransferabkommen. Seine Vorgänger wurden vom EuGH gekippt: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Abkommen</w:t>
            </w:r>
          </w:p>
        </w:tc>
        <w:tc>
          <w:tcPr/>
          <w:p>
            <w:pPr>
              <w:pStyle w:val="Compact"/>
              <w:jc w:val="left"/>
            </w:pPr>
            <w:r>
              <w:t xml:space="preserve">Gekippt durch</w:t>
            </w:r>
          </w:p>
        </w:tc>
        <w:tc>
          <w:tcPr/>
          <w:p>
            <w:pPr>
              <w:pStyle w:val="Compact"/>
              <w:jc w:val="left"/>
            </w:pPr>
            <w:r>
              <w:t xml:space="preserve">Grund</w:t>
            </w:r>
          </w:p>
        </w:tc>
      </w:tr>
      <w:tr>
        <w:tc>
          <w:tcPr/>
          <w:p>
            <w:pPr>
              <w:pStyle w:val="Compact"/>
              <w:jc w:val="left"/>
            </w:pPr>
            <w:r>
              <w:rPr>
                <w:bCs/>
                <w:b/>
              </w:rPr>
              <w:t xml:space="preserve">Safe Harbor</w:t>
            </w:r>
            <w:r>
              <w:t xml:space="preserve"> </w:t>
            </w:r>
            <w:r>
              <w:t xml:space="preserve">(2000–2015)</w:t>
            </w:r>
          </w:p>
        </w:tc>
        <w:tc>
          <w:tcPr/>
          <w:p>
            <w:pPr>
              <w:pStyle w:val="Compact"/>
              <w:jc w:val="left"/>
            </w:pPr>
            <w:r>
              <w:t xml:space="preserve">EuGH Schrems I</w:t>
            </w:r>
          </w:p>
        </w:tc>
        <w:tc>
          <w:tcPr/>
          <w:p>
            <w:pPr>
              <w:pStyle w:val="Compact"/>
              <w:jc w:val="left"/>
            </w:pPr>
            <w:r>
              <w:t xml:space="preserve">NSA/PRISM unvereinbar mit EU-Datenschutzniveau</w:t>
            </w:r>
          </w:p>
        </w:tc>
      </w:tr>
      <w:tr>
        <w:tc>
          <w:tcPr/>
          <w:p>
            <w:pPr>
              <w:pStyle w:val="Compact"/>
              <w:jc w:val="left"/>
            </w:pPr>
            <w:r>
              <w:rPr>
                <w:bCs/>
                <w:b/>
              </w:rPr>
              <w:t xml:space="preserve">Privacy Shield</w:t>
            </w:r>
            <w:r>
              <w:t xml:space="preserve"> </w:t>
            </w:r>
            <w:r>
              <w:t xml:space="preserve">(2016–2020)</w:t>
            </w:r>
          </w:p>
        </w:tc>
        <w:tc>
          <w:tcPr/>
          <w:p>
            <w:pPr>
              <w:pStyle w:val="Compact"/>
              <w:jc w:val="left"/>
            </w:pPr>
            <w:r>
              <w:t xml:space="preserve">EuGH Schrems II</w:t>
            </w:r>
          </w:p>
        </w:tc>
        <w:tc>
          <w:tcPr/>
          <w:p>
            <w:pPr>
              <w:pStyle w:val="Compact"/>
              <w:jc w:val="left"/>
            </w:pPr>
            <w:r>
              <w:t xml:space="preserve">FISA § 702 + EO 12.333: Massenüberwachung ohne Verhältnismäßigkeit, kein Rechtsschutz für EU-Bürger</w:t>
            </w:r>
          </w:p>
        </w:tc>
      </w:tr>
      <w:tr>
        <w:tc>
          <w:tcPr/>
          <w:p>
            <w:pPr>
              <w:pStyle w:val="Compact"/>
              <w:jc w:val="left"/>
            </w:pPr>
            <w:r>
              <w:rPr>
                <w:bCs/>
                <w:b/>
              </w:rPr>
              <w:t xml:space="preserve">Data Privacy Framework</w:t>
            </w:r>
            <w:r>
              <w:t xml:space="preserve"> </w:t>
            </w:r>
            <w:r>
              <w:t xml:space="preserve">(2023–?)</w:t>
            </w:r>
          </w:p>
        </w:tc>
        <w:tc>
          <w:tcPr/>
          <w:p>
            <w:pPr>
              <w:pStyle w:val="Compact"/>
              <w:jc w:val="left"/>
            </w:pPr>
            <w:r>
              <w:t xml:space="preserve">Schrems III (anhängig)</w:t>
            </w:r>
          </w:p>
        </w:tc>
        <w:tc>
          <w:tcPr/>
          <w:p>
            <w:pPr>
              <w:pStyle w:val="Compact"/>
              <w:jc w:val="left"/>
            </w:pPr>
            <w:r>
              <w:t xml:space="preserve">Strukturell dieselben Schwachstellen</w:t>
            </w:r>
          </w:p>
        </w:tc>
      </w:tr>
    </w:tbl>
    <w:p>
      <w:pPr>
        <w:pStyle w:val="BodyText"/>
      </w:pPr>
      <w:r>
        <w:t xml:space="preserve">Das DPF beruht nicht auf einem Gesetz, sondern auf einer</w:t>
      </w:r>
      <w:r>
        <w:t xml:space="preserve"> </w:t>
      </w:r>
      <w:r>
        <w:rPr>
          <w:bCs/>
          <w:b/>
        </w:rPr>
        <w:t xml:space="preserve">Presidential Executive Order</w:t>
      </w:r>
      <w:r>
        <w:t xml:space="preserve"> </w:t>
      </w:r>
      <w:r>
        <w:t xml:space="preserve">(Biden, EO 14086) — die durch einen gegenteiligen Präsidialerlass jederzeit aufgehoben werden kann. Drei strukturelle Schwachstellen machen es anfällig:</w:t>
      </w:r>
    </w:p>
    <w:p>
      <w:pPr>
        <w:pStyle w:val="BodyText"/>
      </w:pPr>
      <w:r>
        <w:rPr>
          <w:bCs/>
          <w:b/>
        </w:rPr>
        <w:t xml:space="preserve">PCLOB-Ausfall:</w:t>
      </w:r>
      <w:r>
        <w:t xml:space="preserve"> </w:t>
      </w:r>
      <w:r>
        <w:t xml:space="preserve">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pStyle w:val="BodyText"/>
      </w:pPr>
      <w:r>
        <w:rPr>
          <w:bCs/>
          <w:b/>
        </w:rPr>
        <w:t xml:space="preserve">DPRC-Legitimität:</w:t>
      </w:r>
      <w:r>
        <w:t xml:space="preserve"> </w:t>
      </w:r>
      <w:r>
        <w:t xml:space="preserve">Der neu eingeführte Data Protection Review Court sitzt innerhalb der Exekutive. Seine Mitglieder werden vom Präsidenten ernannt und abberufen. Er erfüllt die EuGH-Anforderung an einen</w:t>
      </w:r>
      <w:r>
        <w:t xml:space="preserve"> </w:t>
      </w:r>
      <w:r>
        <w:t xml:space="preserve">“</w:t>
      </w:r>
      <w:r>
        <w:t xml:space="preserve">unabhängigen Rechtsbehelf</w:t>
      </w:r>
      <w:r>
        <w:t xml:space="preserve">”</w:t>
      </w:r>
      <w:r>
        <w:t xml:space="preserve"> </w:t>
      </w:r>
      <w:r>
        <w:t xml:space="preserve">nach Einschätzung europäischer Datenschutzrechtler nicht.</w:t>
      </w:r>
    </w:p>
    <w:p>
      <w:pPr>
        <w:pStyle w:val="BodyText"/>
      </w:pPr>
      <w:r>
        <w:rPr>
          <w:bCs/>
          <w:b/>
        </w:rPr>
        <w:t xml:space="preserve">FISA § 702 unverändert:</w:t>
      </w:r>
      <w:r>
        <w:t xml:space="preserve"> </w:t>
      </w:r>
      <w:r>
        <w:t xml:space="preserve">Das Grundproblem — anlasslose Massenüberwachung ohne richterliche Einzelfallprüfung — wurde durch das DPF nicht adressiert. EO 14086 schränkt FISA § 702 nicht ein. Schrems III greift genau diesen Punkt auf.</w:t>
      </w:r>
    </w:p>
    <w:p>
      <w:pPr>
        <w:pStyle w:val="BlockText"/>
      </w:pPr>
      <w: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bookmarkEnd w:id="96"/>
    <w:bookmarkStart w:id="97" w:name="Xab14b239e7d1a5681a831860c44708ac20d5dcb"/>
    <w:p>
      <w:pPr>
        <w:pStyle w:val="Heading3"/>
      </w:pPr>
      <w:r>
        <w:t xml:space="preserve">9.2 Das Executive Agreement — die CLOUD-Act-eigene Lösung</w:t>
      </w:r>
    </w:p>
    <w:p>
      <w:pPr>
        <w:pStyle w:val="FirstParagraph"/>
      </w:pPr>
      <w:r>
        <w:t xml:space="preserve">Der CLOUD Act hat eine zweite Lösungsoption</w:t>
      </w:r>
      <w:r>
        <w:t xml:space="preserve"> </w:t>
      </w:r>
      <w:r>
        <w:rPr>
          <w:bCs/>
          <w:b/>
        </w:rPr>
        <w:t xml:space="preserve">explizit eingebaut</w:t>
      </w:r>
      <w:r>
        <w:t xml:space="preserve">: bilaterale Executive Agreements zwischen den USA und qualifizierten ausländischen Regierungen. Ziel: rechtlich gesicherter Datenzugriff für Strafverfolgungszwecke — ohne das DSGVO/CLOUD-Act-Dilemma.</w:t>
      </w:r>
    </w:p>
    <w:p>
      <w:pPr>
        <w:pStyle w:val="BodyText"/>
      </w:pPr>
      <w:r>
        <w:rPr>
          <w:bCs/>
          <w:b/>
        </w:rPr>
        <w:t xml:space="preserve">Großbritannien hat es getan:</w:t>
      </w:r>
      <w:r>
        <w:t xml:space="preserve"> </w:t>
      </w:r>
      <w:r>
        <w:t xml:space="preserve">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pStyle w:val="BodyText"/>
      </w:pPr>
      <w:r>
        <w:rPr>
          <w:bCs/>
          <w:b/>
        </w:rPr>
        <w:t xml:space="preserve">Die EU verhandelt seit Juni 2019 — ohne Ergebnis.</w:t>
      </w:r>
      <w:r>
        <w:t xml:space="preserve"> </w:t>
      </w:r>
      <w:r>
        <w:t xml:space="preserve">Stand April 2026: fast sieben Jahre im Verhandlungsmodus, kein Abkommen.</w:t>
      </w:r>
    </w:p>
    <w:bookmarkEnd w:id="97"/>
    <w:bookmarkStart w:id="98" w:name="Xd51cd40335bdbc8880a150339e2e86dbeb3ac46"/>
    <w:p>
      <w:pPr>
        <w:pStyle w:val="Heading3"/>
      </w:pPr>
      <w:r>
        <w:t xml:space="preserve">9.3 Was ein Abkommen lösen würde — und was nicht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Was gelöst wäre</w:t>
            </w:r>
          </w:p>
        </w:tc>
        <w:tc>
          <w:tcPr/>
          <w:p>
            <w:pPr>
              <w:pStyle w:val="Compact"/>
              <w:jc w:val="left"/>
            </w:pPr>
            <w:r>
              <w:t xml:space="preserve">Was weiterhin offen bliebe</w:t>
            </w:r>
          </w:p>
        </w:tc>
      </w:tr>
      <w:tr>
        <w:tc>
          <w:tcPr/>
          <w:p>
            <w:pPr>
              <w:pStyle w:val="Compact"/>
              <w:jc w:val="left"/>
            </w:pPr>
            <w:r>
              <w:t xml:space="preserve">✅ DSGVO Art. 48 — Rechtsgrundlage für Herausgabe in konkreten Strafsachen</w:t>
            </w:r>
          </w:p>
        </w:tc>
        <w:tc>
          <w:tcPr/>
          <w:p>
            <w:pPr>
              <w:pStyle w:val="Compact"/>
              <w:jc w:val="left"/>
            </w:pPr>
            <w:r>
              <w:t xml:space="preserve">❌ FISA § 702 — Massenüberwachung ohne Einzelfallprüfung</w:t>
            </w:r>
          </w:p>
        </w:tc>
      </w:tr>
      <w:tr>
        <w:tc>
          <w:tcPr/>
          <w:p>
            <w:pPr>
              <w:pStyle w:val="Compact"/>
              <w:jc w:val="left"/>
            </w:pPr>
            <w:r>
              <w:t xml:space="preserve">✅ Rechtssicherheit für Anbieter (kein Dilemma DSGVO vs. CLOUD Act)</w:t>
            </w:r>
          </w:p>
        </w:tc>
        <w:tc>
          <w:tcPr/>
          <w:p>
            <w:pPr>
              <w:pStyle w:val="Compact"/>
              <w:jc w:val="left"/>
            </w:pPr>
            <w:r>
              <w:t xml:space="preserve">❌ National Security Letters — kein Richter, kein Verdacht, Schweigegebot</w:t>
            </w:r>
          </w:p>
        </w:tc>
      </w:tr>
      <w:tr>
        <w:tc>
          <w:tcPr/>
          <w:p>
            <w:pPr>
              <w:pStyle w:val="Compact"/>
              <w:jc w:val="left"/>
            </w:pPr>
            <w:r>
              <w:t xml:space="preserve">✅ Strafverfolgung bei Schwerkriminalität legitim ermöglicht</w:t>
            </w:r>
          </w:p>
        </w:tc>
        <w:tc>
          <w:tcPr/>
          <w:p>
            <w:pPr>
              <w:pStyle w:val="Compact"/>
              <w:jc w:val="left"/>
            </w:pPr>
            <w:r>
              <w:t xml:space="preserve">❌ Wirtschaftsspionage — kein Abkommen verhindert das strukturell</w:t>
            </w:r>
          </w:p>
        </w:tc>
      </w:tr>
      <w:tr>
        <w:tc>
          <w:tcPr/>
          <w:p>
            <w:pPr>
              <w:pStyle w:val="Compact"/>
              <w:jc w:val="left"/>
            </w:pPr>
            <w:r>
              <w:t xml:space="preserve">✅ Vergleichbar mit UK-Abkommen 2019</w:t>
            </w:r>
          </w:p>
        </w:tc>
        <w:tc>
          <w:tcPr/>
          <w:p>
            <w:pPr>
              <w:pStyle w:val="Compact"/>
              <w:jc w:val="left"/>
            </w:pPr>
            <w:r>
              <w:t xml:space="preserve">❌ Schrems III — EuGH könnte trotzdem kippen wenn FISA § 702 unangetastet bleibt</w:t>
            </w:r>
          </w:p>
        </w:tc>
      </w:tr>
    </w:tbl>
    <w:bookmarkEnd w:id="98"/>
    <w:bookmarkStart w:id="99" w:name="warum-kein-abkommen-zustande-kommt"/>
    <w:p>
      <w:pPr>
        <w:pStyle w:val="Heading3"/>
      </w:pPr>
      <w:r>
        <w:t xml:space="preserve">9.4 Warum kein Abkommen zustande kommt</w:t>
      </w:r>
    </w:p>
    <w:p>
      <w:pPr>
        <w:pStyle w:val="FirstParagraph"/>
      </w:pPr>
      <w: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pStyle w:val="BodyText"/>
      </w:pPr>
      <w:r>
        <w:rPr>
          <w:bCs/>
          <w:b/>
        </w:rPr>
        <w:t xml:space="preserve">Das Dilemma in einem Satz:</w:t>
      </w:r>
      <w:r>
        <w:t xml:space="preserve"> </w:t>
      </w:r>
      <w:r>
        <w:t xml:space="preserve">Die USA wollen Datenzugriff ohne richterliche Kontrolle. Europa will richterliche Kontrolle ohne Ausnahmen. Dazwischen liegt kein Abkommen — sondern Geopolitik.</w:t>
      </w:r>
    </w:p>
    <w:bookmarkEnd w:id="99"/>
    <w:bookmarkStart w:id="100" w:name="fazit-nicht-warten-bauen"/>
    <w:p>
      <w:pPr>
        <w:pStyle w:val="Heading3"/>
      </w:pPr>
      <w:r>
        <w:t xml:space="preserve">9.5 Fazit: Nicht warten — bauen</w:t>
      </w:r>
    </w:p>
    <w:p>
      <w:pPr>
        <w:pStyle w:val="FirstParagraph"/>
      </w:pPr>
      <w: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pStyle w:val="BodyText"/>
      </w:pPr>
      <w:r>
        <w:t xml:space="preserve">Das DPF und ein mögliches Executive Agreement sind Ergänzungen — kein Ersatz für EU-souveräne Infrastruktur. Wer sieben Jahre auf ein Abkommen gewartet hat, das nicht kommt, sollte aufgehört haben zu warten.</w:t>
      </w:r>
    </w:p>
    <w:p>
      <w:r>
        <w:pict>
          <v:rect style="width:0;height:1.5pt" o:hralign="center" o:hrstd="t" o:hr="t"/>
        </w:pict>
      </w:r>
    </w:p>
    <w:bookmarkEnd w:id="100"/>
    <w:bookmarkEnd w:id="101"/>
    <w:bookmarkStart w:id="106" w:name="X0b2fa1153ca7d6dec888a67614770377851341c"/>
    <w:p>
      <w:pPr>
        <w:pStyle w:val="Heading2"/>
      </w:pPr>
      <w:r>
        <w:t xml:space="preserve">10. Big Tech Lobbyarbeit in Europa und Deutschland</w:t>
      </w:r>
    </w:p>
    <w:bookmarkStart w:id="102" w:name="Xe383de6168bb7e7f690bf8157ee6ffe2a7ba5a6"/>
    <w:p>
      <w:pPr>
        <w:pStyle w:val="Heading3"/>
      </w:pPr>
      <w:r>
        <w:t xml:space="preserve">10.1 Das Ausmaß — Zahlen aus dem EU-Transparenzregister</w:t>
      </w:r>
    </w:p>
    <w:p>
      <w:pPr>
        <w:pStyle w:val="FirstParagraph"/>
      </w:pPr>
      <w:r>
        <w:t xml:space="preserve">Die Tech-Branche hat ihre Ausgaben für EU-Lobbyarbeit auf ein</w:t>
      </w:r>
      <w:r>
        <w:t xml:space="preserve"> </w:t>
      </w:r>
      <w:r>
        <w:rPr>
          <w:bCs/>
          <w:b/>
        </w:rPr>
        <w:t xml:space="preserve">Rekordniveau von 151 Millionen Euro</w:t>
      </w:r>
      <w:r>
        <w:t xml:space="preserve"> </w:t>
      </w:r>
      <w:r>
        <w:t xml:space="preserve">gesteigert — ein Anstieg um 33,6% seit 2023 und um 55,6% seit 2021. Das ist der höchste jemals gemessene Lobbyetat des Technologiesektors in Brüssel.</w:t>
      </w:r>
    </w:p>
    <w:p>
      <w:pPr>
        <w:pStyle w:val="BodyText"/>
      </w:pPr>
      <w:r>
        <w:t xml:space="preserve">Zum Vergleich: Die Top-7-Autobauer in Europa gaben 2019 insgesamt 7,9 Millionen Euro für Lobbyarbeit aus — weniger als ein Siebzehntel der Tech-Lobby.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Unternehmen</w:t>
            </w:r>
          </w:p>
        </w:tc>
        <w:tc>
          <w:tcPr/>
          <w:p>
            <w:pPr>
              <w:pStyle w:val="Compact"/>
              <w:jc w:val="left"/>
            </w:pPr>
            <w:r>
              <w:t xml:space="preserve">EU-Lobbyausgaben jährlich</w:t>
            </w:r>
          </w:p>
        </w:tc>
      </w:tr>
      <w:tr>
        <w:tc>
          <w:tcPr/>
          <w:p>
            <w:pPr>
              <w:pStyle w:val="Compact"/>
              <w:jc w:val="left"/>
            </w:pPr>
            <w:r>
              <w:t xml:space="preserve">Meta</w:t>
            </w:r>
          </w:p>
        </w:tc>
        <w:tc>
          <w:tcPr/>
          <w:p>
            <w:pPr>
              <w:pStyle w:val="Compact"/>
              <w:jc w:val="left"/>
            </w:pPr>
            <w:r>
              <w:t xml:space="preserve">10 Mio. €</w:t>
            </w:r>
          </w:p>
        </w:tc>
      </w:tr>
      <w:tr>
        <w:tc>
          <w:tcPr/>
          <w:p>
            <w:pPr>
              <w:pStyle w:val="Compact"/>
              <w:jc w:val="left"/>
            </w:pPr>
            <w:r>
              <w:t xml:space="preserve">Microsoft</w:t>
            </w:r>
          </w:p>
        </w:tc>
        <w:tc>
          <w:tcPr/>
          <w:p>
            <w:pPr>
              <w:pStyle w:val="Compact"/>
              <w:jc w:val="left"/>
            </w:pPr>
            <w:r>
              <w:t xml:space="preserve">7 Mio. €</w:t>
            </w:r>
          </w:p>
        </w:tc>
      </w:tr>
      <w:tr>
        <w:tc>
          <w:tcPr/>
          <w:p>
            <w:pPr>
              <w:pStyle w:val="Compact"/>
              <w:jc w:val="left"/>
            </w:pPr>
            <w:r>
              <w:t xml:space="preserve">Apple</w:t>
            </w:r>
          </w:p>
        </w:tc>
        <w:tc>
          <w:tcPr/>
          <w:p>
            <w:pPr>
              <w:pStyle w:val="Compact"/>
              <w:jc w:val="left"/>
            </w:pPr>
            <w:r>
              <w:t xml:space="preserve">7 Mio. €</w:t>
            </w:r>
          </w:p>
        </w:tc>
      </w:tr>
      <w:tr>
        <w:tc>
          <w:tcPr/>
          <w:p>
            <w:pPr>
              <w:pStyle w:val="Compact"/>
              <w:jc w:val="left"/>
            </w:pPr>
            <w:r>
              <w:t xml:space="preserve">Amazon</w:t>
            </w:r>
          </w:p>
        </w:tc>
        <w:tc>
          <w:tcPr/>
          <w:p>
            <w:pPr>
              <w:pStyle w:val="Compact"/>
              <w:jc w:val="left"/>
            </w:pPr>
            <w:r>
              <w:t xml:space="preserve">7 Mio. €</w:t>
            </w:r>
          </w:p>
        </w:tc>
      </w:tr>
      <w:tr>
        <w:tc>
          <w:tcPr/>
          <w:p>
            <w:pPr>
              <w:pStyle w:val="Compact"/>
              <w:jc w:val="left"/>
            </w:pPr>
            <w:r>
              <w:t xml:space="preserve">Google</w:t>
            </w:r>
          </w:p>
        </w:tc>
        <w:tc>
          <w:tcPr/>
          <w:p>
            <w:pPr>
              <w:pStyle w:val="Compact"/>
              <w:jc w:val="left"/>
            </w:pPr>
            <w:r>
              <w:t xml:space="preserve">4,5 Mio. €</w:t>
            </w:r>
          </w:p>
        </w:tc>
      </w:tr>
      <w:tr>
        <w:tc>
          <w:tcPr/>
          <w:p>
            <w:pPr>
              <w:pStyle w:val="Compact"/>
              <w:jc w:val="left"/>
            </w:pPr>
            <w:r>
              <w:rPr>
                <w:bCs/>
                <w:b/>
              </w:rPr>
              <w:t xml:space="preserve">GAFAM gesamt</w:t>
            </w:r>
          </w:p>
        </w:tc>
        <w:tc>
          <w:tcPr/>
          <w:p>
            <w:pPr>
              <w:pStyle w:val="Compact"/>
              <w:jc w:val="left"/>
            </w:pPr>
            <w:r>
              <w:rPr>
                <w:bCs/>
                <w:b/>
              </w:rPr>
              <w:t xml:space="preserve">~35,5 Mio. €</w:t>
            </w:r>
          </w:p>
        </w:tc>
      </w:tr>
    </w:tbl>
    <w:p>
      <w:pPr>
        <w:pStyle w:val="BodyText"/>
      </w:pPr>
      <w:r>
        <w:rPr>
          <w:bCs/>
          <w:b/>
        </w:rPr>
        <w:t xml:space="preserve">890 Digital-Lobbyisten</w:t>
      </w:r>
      <w:r>
        <w:t xml:space="preserve"> </w:t>
      </w:r>
      <w:r>
        <w:t xml:space="preserve">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bookmarkEnd w:id="102"/>
    <w:bookmarkStart w:id="103" w:name="konkrete-lobbymethoden"/>
    <w:p>
      <w:pPr>
        <w:pStyle w:val="Heading3"/>
      </w:pPr>
      <w:r>
        <w:t xml:space="preserve">10.2 Konkrete Lobbymethoden</w:t>
      </w:r>
    </w:p>
    <w:p>
      <w:pPr>
        <w:pStyle w:val="FirstParagraph"/>
      </w:pPr>
      <w:r>
        <w:rPr>
          <w:bCs/>
          <w:b/>
        </w:rPr>
        <w:t xml:space="preserve">1. Direkte Politikbeeinflussung (Nachweis)</w:t>
      </w:r>
    </w:p>
    <w:p>
      <w:pPr>
        <w:pStyle w:val="BodyText"/>
      </w:pPr>
      <w:r>
        <w:t xml:space="preserve">Google schickte am 16. August 2025 ein Lobbypapier an die Bundesregierung — mit dem Antrag, das Auskunftsrecht von DSGVO-Betroffenen einzuschränken, Begründung:</w:t>
      </w:r>
      <w:r>
        <w:t xml:space="preserve"> </w:t>
      </w:r>
      <w:r>
        <w:t xml:space="preserve">“</w:t>
      </w:r>
      <w:r>
        <w:t xml:space="preserve">disproportionate effort</w:t>
      </w:r>
      <w:r>
        <w:t xml:space="preserve">”</w:t>
      </w:r>
      <w:r>
        <w:t xml:space="preserve"> </w:t>
      </w:r>
      <w:r>
        <w:t xml:space="preserve">für Unternehmen. Die Bundesregierung verwendete exakt dieselbe Formulierung in ihrem Positionspapier für die EU-Kommission. Der geleakte Entwurf des Digital Omnibus enthält genau diese Einschränkung. Das ist kein Zufall — das ist dokumentierter Lobbyerfolg.</w:t>
      </w:r>
    </w:p>
    <w:p>
      <w:pPr>
        <w:pStyle w:val="BodyText"/>
      </w:pPr>
      <w:r>
        <w:rPr>
          <w:bCs/>
          <w:b/>
        </w:rPr>
        <w:t xml:space="preserve">2. Konferenz-Sponsoring</w:t>
      </w:r>
    </w:p>
    <w:p>
      <w:pPr>
        <w:pStyle w:val="BodyText"/>
      </w:pPr>
      <w: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pStyle w:val="BodyText"/>
      </w:pPr>
      <w:r>
        <w:rPr>
          <w:bCs/>
          <w:b/>
        </w:rPr>
        <w:t xml:space="preserve">3. Think-Tank-Netzwerke</w:t>
      </w:r>
    </w:p>
    <w:p>
      <w:pPr>
        <w:pStyle w:val="BodyText"/>
      </w:pPr>
      <w: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pStyle w:val="BodyText"/>
      </w:pPr>
      <w:r>
        <w:rPr>
          <w:bCs/>
          <w:b/>
        </w:rPr>
        <w:t xml:space="preserve">4. Taktische Allianz mit Rechtspopulisten — neue Qualität seit 2024</w:t>
      </w:r>
    </w:p>
    <w:p>
      <w:pPr>
        <w:pStyle w:val="BodyText"/>
      </w:pPr>
      <w: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pStyle w:val="BodyText"/>
      </w:pPr>
      <w:r>
        <w:rPr>
          <w:bCs/>
          <w:b/>
        </w:rPr>
        <w:t xml:space="preserve">5. Wahlkampf-Lobbying und Deregulierungs-Narrative</w:t>
      </w:r>
    </w:p>
    <w:p>
      <w:pPr>
        <w:pStyle w:val="BodyText"/>
      </w:pPr>
      <w:r>
        <w:t xml:space="preserve">Amazon und Google betrieben rund um die Bundestagswahl aktiv Lobbyarbeit, um den Datenschutz zu schwächen und</w:t>
      </w:r>
      <w:r>
        <w:t xml:space="preserve"> </w:t>
      </w:r>
      <w:r>
        <w:t xml:space="preserve">“</w:t>
      </w:r>
      <w:r>
        <w:t xml:space="preserve">Datennutzung</w:t>
      </w:r>
      <w:r>
        <w:t xml:space="preserve">”</w:t>
      </w:r>
      <w:r>
        <w:t xml:space="preserve"> </w:t>
      </w:r>
      <w:r>
        <w:t xml:space="preserve">zu fördern. Dahinter steht ein Set wiederkehrender Lobby-Narrative, die in Positionspapieren, Konferenzbeiträgen und politischen Beratungen systematisch eingesetzt werden: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Narrativ</w:t>
            </w:r>
          </w:p>
        </w:tc>
        <w:tc>
          <w:tcPr/>
          <w:p>
            <w:pPr>
              <w:pStyle w:val="Compact"/>
              <w:jc w:val="left"/>
            </w:pPr>
            <w:r>
              <w:t xml:space="preserve">Wer es nutzt</w:t>
            </w:r>
          </w:p>
        </w:tc>
        <w:tc>
          <w:tcPr/>
          <w:p>
            <w:pPr>
              <w:pStyle w:val="Compact"/>
              <w:jc w:val="left"/>
            </w:pPr>
            <w:r>
              <w:t xml:space="preserve">Was es bezweckt</w:t>
            </w:r>
          </w:p>
        </w:tc>
      </w:tr>
      <w:tr>
        <w:tc>
          <w:tcPr/>
          <w:p>
            <w:pPr>
              <w:pStyle w:val="Compact"/>
              <w:jc w:val="left"/>
            </w:pPr>
            <w:r>
              <w:rPr>
                <w:bCs/>
                <w:b/>
              </w:rPr>
              <w:t xml:space="preserve">“</w:t>
            </w:r>
            <w:r>
              <w:rPr>
                <w:bCs/>
                <w:b/>
              </w:rPr>
              <w:t xml:space="preserve">Datenschutz ist etwas für Gesunde</w:t>
            </w:r>
            <w:r>
              <w:rPr>
                <w:bCs/>
                <w:b/>
              </w:rPr>
              <w:t xml:space="preserve">”</w:t>
            </w:r>
          </w:p>
        </w:tc>
        <w:tc>
          <w:tcPr/>
          <w:p>
            <w:pPr>
              <w:pStyle w:val="Compact"/>
              <w:jc w:val="left"/>
            </w:pPr>
            <w:r>
              <w:t xml:space="preserve">Jens Spahn (2016, als Staatssekretär BMF); Brainlab-CEO Stefan Vilsmeier:</w:t>
            </w:r>
            <w:r>
              <w:t xml:space="preserve"> </w:t>
            </w:r>
            <w:r>
              <w:t xml:space="preserve">“</w:t>
            </w:r>
            <w:r>
              <w:t xml:space="preserve">Daten nicht zu nutzen tötet Patienten im großen Stil</w:t>
            </w:r>
            <w:r>
              <w:t xml:space="preserve">”</w:t>
            </w:r>
          </w:p>
        </w:tc>
        <w:tc>
          <w:tcPr/>
          <w:p>
            <w:pPr>
              <w:pStyle w:val="Compact"/>
              <w:jc w:val="left"/>
            </w:pPr>
            <w:r>
              <w:t xml:space="preserve">Datenschutz als Hindernis für Gesundheitsforschung framen; emotionale Druckkulisse für Lockerung von Art. 9 DSGVO</w:t>
            </w:r>
          </w:p>
        </w:tc>
      </w:tr>
      <w:tr>
        <w:tc>
          <w:tcPr/>
          <w:p>
            <w:pPr>
              <w:pStyle w:val="Compact"/>
              <w:jc w:val="left"/>
            </w:pPr>
            <w:r>
              <w:rPr>
                <w:bCs/>
                <w:b/>
              </w:rPr>
              <w:t xml:space="preserve">“</w:t>
            </w:r>
            <w:r>
              <w:rPr>
                <w:bCs/>
                <w:b/>
              </w:rPr>
              <w:t xml:space="preserve">DSGVO als Innovationskiller</w:t>
            </w:r>
            <w:r>
              <w:rPr>
                <w:bCs/>
                <w:b/>
              </w:rPr>
              <w:t xml:space="preserve">”</w:t>
            </w:r>
          </w:p>
        </w:tc>
        <w:tc>
          <w:tcPr/>
          <w:p>
            <w:pPr>
              <w:pStyle w:val="Compact"/>
              <w:jc w:val="left"/>
            </w:pPr>
            <w:r>
              <w:t xml:space="preserve">Mario Draghi (EU-Berater, 2025); DigitalEurope; CCIA</w:t>
            </w:r>
          </w:p>
        </w:tc>
        <w:tc>
          <w:tcPr/>
          <w:p>
            <w:pPr>
              <w:pStyle w:val="Compact"/>
              <w:jc w:val="left"/>
            </w:pPr>
            <w:r>
              <w:t xml:space="preserve">Falsche Dichotomie Regulierung vs. Innovation; verschweigt, dass regulierte Märkte (Pharma, Finanzsektor) Innovationsführer sind</w:t>
            </w:r>
          </w:p>
        </w:tc>
      </w:tr>
      <w:tr>
        <w:tc>
          <w:tcPr/>
          <w:p>
            <w:pPr>
              <w:pStyle w:val="Compact"/>
              <w:jc w:val="left"/>
            </w:pPr>
            <w:r>
              <w:rPr>
                <w:bCs/>
                <w:b/>
              </w:rPr>
              <w:t xml:space="preserve">“</w:t>
            </w:r>
            <w:r>
              <w:rPr>
                <w:bCs/>
                <w:b/>
              </w:rPr>
              <w:t xml:space="preserve">Europa fällt zurück</w:t>
            </w:r>
            <w:r>
              <w:rPr>
                <w:bCs/>
                <w:b/>
              </w:rPr>
              <w:t xml:space="preserve">”</w:t>
            </w:r>
          </w:p>
        </w:tc>
        <w:tc>
          <w:tcPr/>
          <w:p>
            <w:pPr>
              <w:pStyle w:val="Compact"/>
              <w:jc w:val="left"/>
            </w:pPr>
            <w:r>
              <w:t xml:space="preserve">Meta:</w:t>
            </w:r>
            <w:r>
              <w:t xml:space="preserve"> </w:t>
            </w:r>
            <w:r>
              <w:t xml:space="preserve">“</w:t>
            </w:r>
            <w:r>
              <w:t xml:space="preserve">Critical to first pause the implementation and enforcement of the AI Act…risking the EU falling behind in the global AI race</w:t>
            </w:r>
            <w:r>
              <w:t xml:space="preserve">”</w:t>
            </w:r>
          </w:p>
        </w:tc>
        <w:tc>
          <w:tcPr/>
          <w:p>
            <w:pPr>
              <w:pStyle w:val="Compact"/>
              <w:jc w:val="left"/>
            </w:pPr>
            <w:r>
              <w:t xml:space="preserve">Geopolitische Angst als Hebel für Deregulierung; verschweigt, dass US-Tech-Konzerne</w:t>
            </w:r>
            <w:r>
              <w:t xml:space="preserve"> </w:t>
            </w:r>
            <w:r>
              <w:rPr>
                <w:bCs/>
                <w:b/>
              </w:rPr>
              <w:t xml:space="preserve">in</w:t>
            </w:r>
            <w:r>
              <w:t xml:space="preserve"> </w:t>
            </w:r>
            <w:r>
              <w:t xml:space="preserve">Europa reguliert werden wollen, nicht</w:t>
            </w:r>
            <w:r>
              <w:t xml:space="preserve"> </w:t>
            </w:r>
            <w:r>
              <w:rPr>
                <w:bCs/>
                <w:b/>
              </w:rPr>
              <w:t xml:space="preserve">von</w:t>
            </w:r>
            <w:r>
              <w:t xml:space="preserve"> </w:t>
            </w:r>
            <w:r>
              <w:t xml:space="preserve">Europa</w:t>
            </w:r>
          </w:p>
        </w:tc>
      </w:tr>
      <w:tr>
        <w:tc>
          <w:tcPr/>
          <w:p>
            <w:pPr>
              <w:pStyle w:val="Compact"/>
              <w:jc w:val="left"/>
            </w:pPr>
            <w:r>
              <w:rPr>
                <w:bCs/>
                <w:b/>
              </w:rPr>
              <w:t xml:space="preserve">“</w:t>
            </w:r>
            <w:r>
              <w:rPr>
                <w:bCs/>
                <w:b/>
              </w:rPr>
              <w:t xml:space="preserve">Legitimate Interest reicht für KI</w:t>
            </w:r>
            <w:r>
              <w:rPr>
                <w:bCs/>
                <w:b/>
              </w:rPr>
              <w:t xml:space="preserve">”</w:t>
            </w:r>
          </w:p>
        </w:tc>
        <w:tc>
          <w:tcPr/>
          <w:p>
            <w:pPr>
              <w:pStyle w:val="Compact"/>
              <w:jc w:val="left"/>
            </w:pPr>
            <w:r>
              <w:t xml:space="preserve">DigitalEurope:</w:t>
            </w:r>
            <w:r>
              <w:t xml:space="preserve"> </w:t>
            </w:r>
            <w:r>
              <w:t xml:space="preserve">“</w:t>
            </w:r>
            <w:r>
              <w:t xml:space="preserve">Reinforce the use of</w:t>
            </w:r>
            <w:r>
              <w:t xml:space="preserve"> </w:t>
            </w:r>
            <w:r>
              <w:t xml:space="preserve">‘</w:t>
            </w:r>
            <w:r>
              <w:t xml:space="preserve">legitimate interest</w:t>
            </w:r>
            <w:r>
              <w:t xml:space="preserve">’</w:t>
            </w:r>
            <w:r>
              <w:t xml:space="preserve"> </w:t>
            </w:r>
            <w:r>
              <w:t xml:space="preserve">as a ground to process personal data for key use cases such as product development — including of AI models</w:t>
            </w:r>
            <w:r>
              <w:t xml:space="preserve">”</w:t>
            </w:r>
            <w:r>
              <w:t xml:space="preserve">; CCIA</w:t>
            </w:r>
          </w:p>
        </w:tc>
        <w:tc>
          <w:tcPr/>
          <w:p>
            <w:pPr>
              <w:pStyle w:val="Compact"/>
              <w:jc w:val="left"/>
            </w:pPr>
            <w:r>
              <w:t xml:space="preserve">Art. 6 Abs. 1 lit. f DSGVO als Universalschlüssel für KI-Training mit personenbezogenen Daten; untergräbt Art. 9 (Gesundheitsdaten)</w:t>
            </w:r>
          </w:p>
        </w:tc>
      </w:tr>
      <w:tr>
        <w:tc>
          <w:tcPr/>
          <w:p>
            <w:pPr>
              <w:pStyle w:val="Compact"/>
              <w:jc w:val="left"/>
            </w:pPr>
            <w:r>
              <w:rPr>
                <w:bCs/>
                <w:b/>
              </w:rPr>
              <w:t xml:space="preserve">“</w:t>
            </w:r>
            <w:r>
              <w:rPr>
                <w:bCs/>
                <w:b/>
              </w:rPr>
              <w:t xml:space="preserve">Art. 9 DSGVO behindert KI im Gesundheitswesen</w:t>
            </w:r>
            <w:r>
              <w:rPr>
                <w:bCs/>
                <w:b/>
              </w:rPr>
              <w:t xml:space="preserve">”</w:t>
            </w:r>
          </w:p>
        </w:tc>
        <w:tc>
          <w:tcPr/>
          <w:p>
            <w:pPr>
              <w:pStyle w:val="Compact"/>
              <w:jc w:val="left"/>
            </w:pPr>
            <w:r>
              <w:t xml:space="preserve">Dot Europe (Big-Tech-Lobbyorganisation) an dänische Regierung:</w:t>
            </w:r>
            <w:r>
              <w:t xml:space="preserve"> </w:t>
            </w:r>
            <w:r>
              <w:t xml:space="preserve">“</w:t>
            </w:r>
            <w:r>
              <w:t xml:space="preserve">GDPR Article 9 strictly limits the processing of special category data…posing challenges for AI development, particularly in healthcare</w:t>
            </w:r>
            <w:r>
              <w:t xml:space="preserve">”</w:t>
            </w:r>
          </w:p>
        </w:tc>
        <w:tc>
          <w:tcPr/>
          <w:p>
            <w:pPr>
              <w:pStyle w:val="Compact"/>
              <w:jc w:val="left"/>
            </w:pPr>
            <w:r>
              <w:t xml:space="preserve">Direkte Forderung nach Lockerung des Schutzes für Gesundheitsdaten; verpackt als KI-Qualitätssicherung</w:t>
            </w:r>
          </w:p>
        </w:tc>
      </w:tr>
      <w:tr>
        <w:tc>
          <w:tcPr/>
          <w:p>
            <w:pPr>
              <w:pStyle w:val="Compact"/>
              <w:jc w:val="left"/>
            </w:pPr>
            <w:r>
              <w:rPr>
                <w:bCs/>
                <w:b/>
              </w:rPr>
              <w:t xml:space="preserve">“</w:t>
            </w:r>
            <w:r>
              <w:rPr>
                <w:bCs/>
                <w:b/>
              </w:rPr>
              <w:t xml:space="preserve">Vereinfachung</w:t>
            </w:r>
            <w:r>
              <w:rPr>
                <w:bCs/>
                <w:b/>
              </w:rPr>
              <w:t xml:space="preserve">”</w:t>
            </w:r>
            <w:r>
              <w:rPr>
                <w:bCs/>
                <w:b/>
              </w:rPr>
              <w:t xml:space="preserve"> </w:t>
            </w:r>
            <w:r>
              <w:rPr>
                <w:bCs/>
                <w:b/>
              </w:rPr>
              <w:t xml:space="preserve">statt Deregulierung</w:t>
            </w:r>
          </w:p>
        </w:tc>
        <w:tc>
          <w:tcPr/>
          <w:p>
            <w:pPr>
              <w:pStyle w:val="Compact"/>
              <w:jc w:val="left"/>
            </w:pPr>
            <w:r>
              <w:t xml:space="preserve">EU-Kommission (Digital Omnibus, November 2025):</w:t>
            </w:r>
            <w:r>
              <w:t xml:space="preserve"> </w:t>
            </w:r>
            <w:r>
              <w:t xml:space="preserve">“</w:t>
            </w:r>
            <w:r>
              <w:t xml:space="preserve">simplify the EU’s Digital Rulebook</w:t>
            </w:r>
            <w:r>
              <w:t xml:space="preserve">”</w:t>
            </w:r>
          </w:p>
        </w:tc>
        <w:tc>
          <w:tcPr/>
          <w:p>
            <w:pPr>
              <w:pStyle w:val="Compact"/>
              <w:jc w:val="left"/>
            </w:pPr>
            <w:r>
              <w:t xml:space="preserve">Framing verschleiert, dass die meisten Artikel komplexer werden und Schlupflöcher entstehen, die nur große Konzerne nutzen können (noyb-Analyse)</w:t>
            </w:r>
          </w:p>
        </w:tc>
      </w:tr>
      <w:tr>
        <w:tc>
          <w:tcPr/>
          <w:p>
            <w:pPr>
              <w:pStyle w:val="Compact"/>
              <w:jc w:val="left"/>
            </w:pPr>
            <w:r>
              <w:rPr>
                <w:bCs/>
                <w:b/>
              </w:rPr>
              <w:t xml:space="preserve">“</w:t>
            </w:r>
            <w:r>
              <w:rPr>
                <w:bCs/>
                <w:b/>
              </w:rPr>
              <w:t xml:space="preserve">Disproportionate effort</w:t>
            </w:r>
            <w:r>
              <w:rPr>
                <w:bCs/>
                <w:b/>
              </w:rPr>
              <w:t xml:space="preserve">”</w:t>
            </w:r>
          </w:p>
        </w:tc>
        <w:tc>
          <w:tcPr/>
          <w:p>
            <w:pPr>
              <w:pStyle w:val="Compact"/>
              <w:jc w:val="left"/>
            </w:pPr>
            <w:r>
              <w:t xml:space="preserve">Google (Lobbypapier an Bundesregierung, August 2025) → wortgleich in Bundesregierungs-Positionspapier → wortgleich im Digital-Omnibus-Entwurf</w:t>
            </w:r>
          </w:p>
        </w:tc>
        <w:tc>
          <w:tcPr/>
          <w:p>
            <w:pPr>
              <w:pStyle w:val="Compact"/>
              <w:jc w:val="left"/>
            </w:pPr>
            <w:r>
              <w:t xml:space="preserve">Einschränkung des DSGVO-Auskunftsrechts (Art. 15–22); dokumentierter 1:1-Lobbyerfolg</w:t>
            </w:r>
          </w:p>
        </w:tc>
      </w:tr>
    </w:tbl>
    <w:p>
      <w:pPr>
        <w:pStyle w:val="BodyText"/>
      </w:pPr>
      <w:r>
        <w:rPr>
          <w:bCs/>
          <w:b/>
        </w:rPr>
        <w:t xml:space="preserve">Das Muster:</w:t>
      </w:r>
      <w:r>
        <w:t xml:space="preserve"> </w:t>
      </w:r>
      <w:r>
        <w:t xml:space="preserve">Jedes dieser Narrative adressiert ein reales Problem (KI braucht Daten, Bürokratie ist real, Gesundheitsforschung ist wichtig) — und leitet daraus eine unverhältnismäßige Schlussfolgerung ab (also müssen Grundrechte weichen). Die Corporate Europe Observatory dokumentierte im Januar 2026 Artikel für Artikel, wie Big-Tech-Forderungen in den Digital Omnibus eingeflossen sind — in sieben Fällen deckungsgleich mit Lobbypapieren.</w:t>
      </w:r>
    </w:p>
    <w:bookmarkEnd w:id="103"/>
    <w:bookmarkStart w:id="104" w:name="deutschland-im-besonderen"/>
    <w:p>
      <w:pPr>
        <w:pStyle w:val="Heading3"/>
      </w:pPr>
      <w:r>
        <w:t xml:space="preserve">10.3 Deutschland im Besonderen</w:t>
      </w:r>
    </w:p>
    <w:p>
      <w:pPr>
        <w:pStyle w:val="FirstParagraph"/>
      </w:pPr>
      <w:r>
        <w:t xml:space="preserve">GAFAM wendete in Berlin 8,8 Millionen Euro für Lobbyarbeit auf. Amazon waren im Februar 2024 die EU-Lobbyausweise entzogen worden — trotzdem trafen sich EU-Abgeordnete weiterhin mit Amazon-Mitarbeitern.</w:t>
      </w:r>
    </w:p>
    <w:bookmarkEnd w:id="104"/>
    <w:bookmarkStart w:id="105" w:name="was-big-tech-konkret-verhindert-hat"/>
    <w:p>
      <w:pPr>
        <w:pStyle w:val="Heading3"/>
      </w:pPr>
      <w:r>
        <w:t xml:space="preserve">10.4 Was Big Tech konkret verhindert hat</w:t>
      </w:r>
    </w:p>
    <w:p>
      <w:pPr>
        <w:pStyle w:val="FirstParagraph"/>
      </w:pPr>
      <w:r>
        <w:t xml:space="preserve">Das Digital Omnibus Paket (EU-Kommission, November 2025) enthält auf Vorschlag Deutschlands Einschränkungen des DSGVO-Auskunftsrechts — Wortlaut übereinstimmend mit Google-Lobbypapier vom August 2025.</w:t>
      </w:r>
    </w:p>
    <w:p>
      <w:pPr>
        <w:pStyle w:val="BlockText"/>
      </w:pPr>
      <w:r>
        <w:rPr>
          <w:bCs/>
          <w:b/>
        </w:rPr>
        <w:t xml:space="preserve">Fazit Lobbyarbeit:</w:t>
      </w:r>
      <w:r>
        <w:t xml:space="preserve"> </w:t>
      </w:r>
      <w:r>
        <w:t xml:space="preserve">Big Tech gibt 19-mal mehr für EU-Lobbyarbeit aus als die Autoindustrie. Die DSGVO gilt — aber ihre Durchsetzung und Weiterentwicklung wird durch diese Finanzasymmetrie systematisch beeinflusst.</w:t>
      </w:r>
    </w:p>
    <w:p>
      <w:r>
        <w:pict>
          <v:rect style="width:0;height:1.5pt" o:hralign="center" o:hrstd="t" o:hr="t"/>
        </w:pict>
      </w:r>
    </w:p>
    <w:bookmarkEnd w:id="105"/>
    <w:bookmarkEnd w:id="106"/>
    <w:bookmarkStart w:id="112" w:name="X86bf0da993c9cdf225c0990a3dd60a2ee5cc442"/>
    <w:p>
      <w:pPr>
        <w:pStyle w:val="Heading2"/>
      </w:pPr>
      <w:r>
        <w:t xml:space="preserve">11. Die Berater-Falle: US-Strategieberatungen als verdeckte Cloud-Multiplikatoren</w:t>
      </w:r>
    </w:p>
    <w:p>
      <w:pPr>
        <w:pStyle w:val="FirstParagraph"/>
      </w:pPr>
      <w: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bookmarkStart w:id="107" w:name="wer-berät-das-deutsche-gesundheitswesen"/>
    <w:p>
      <w:pPr>
        <w:pStyle w:val="Heading3"/>
      </w:pPr>
      <w:r>
        <w:t xml:space="preserve">11.1 Wer berät das deutsche Gesundheitswesen?</w:t>
      </w:r>
    </w:p>
    <w:p>
      <w:pPr>
        <w:pStyle w:val="FirstParagraph"/>
      </w:pPr>
      <w: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pStyle w:val="BodyText"/>
      </w:pPr>
      <w:r>
        <w:rPr>
          <w:bCs/>
          <w:b/>
        </w:rPr>
        <w:t xml:space="preserve">MBB — die drei großen Strategieberatungen:</w:t>
      </w:r>
      <w:r>
        <w:t xml:space="preserve"> </w:t>
      </w:r>
      <w:r>
        <w:t xml:space="preserve">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pStyle w:val="BodyText"/>
      </w:pPr>
      <w:r>
        <w:rPr>
          <w:bCs/>
          <w:b/>
        </w:rPr>
        <w:t xml:space="preserve">Big Four und IT-Beratungen:</w:t>
      </w:r>
      <w:r>
        <w:t xml:space="preserve"> </w:t>
      </w:r>
      <w:r>
        <w:t xml:space="preserve">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pStyle w:val="BodyText"/>
      </w:pPr>
      <w: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bookmarkEnd w:id="107"/>
    <w:bookmarkStart w:id="108" w:name="X1416571c2e1329732792f88b7746632a32b6853"/>
    <w:p>
      <w:pPr>
        <w:pStyle w:val="Heading3"/>
      </w:pPr>
      <w:r>
        <w:t xml:space="preserve">11.2 Das strukturelle Interessenproblem — belegte Partnerschaften</w:t>
      </w:r>
    </w:p>
    <w:p>
      <w:pPr>
        <w:pStyle w:val="FirstParagraph"/>
      </w:pPr>
      <w: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pStyle w:val="BodyText"/>
      </w:pPr>
      <w:r>
        <w:rPr>
          <w:bCs/>
          <w:b/>
        </w:rPr>
        <w:t xml:space="preserve">Accenture und Microsoft — das tiefste Geflecht:</w:t>
      </w:r>
    </w:p>
    <w:p>
      <w:pPr>
        <w:pStyle w:val="BodyText"/>
      </w:pPr>
      <w: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w:t>
      </w:r>
      <w:r>
        <w:t xml:space="preserve"> </w:t>
      </w:r>
      <w:r>
        <w:t xml:space="preserve">“</w:t>
      </w:r>
      <w:r>
        <w:t xml:space="preserve">Accenture Microsoft Business Group</w:t>
      </w:r>
      <w:r>
        <w:t xml:space="preserve">”</w:t>
      </w:r>
      <w:r>
        <w:t xml:space="preserve"> </w:t>
      </w:r>
      <w:r>
        <w:t xml:space="preserve">weiterentwickelt — einer Gruppe mit über 65.000 Microsoft-zertifizierten Mitarbeitenden aus Accenture und Avanade. [Quelle: Accenture/Microsoft Pressemitteilung, Microsoft Source Blog, November 2024]</w:t>
      </w:r>
    </w:p>
    <w:p>
      <w:pPr>
        <w:pStyle w:val="BodyText"/>
      </w:pPr>
      <w:r>
        <w:t xml:space="preserve">Im November 2024 investierten Accenture, Avanade und Microsoft gemeinsam in eine</w:t>
      </w:r>
      <w:r>
        <w:t xml:space="preserve"> </w:t>
      </w:r>
      <w:r>
        <w:t xml:space="preserve">“</w:t>
      </w:r>
      <w:r>
        <w:t xml:space="preserve">Copilot Business Transformation Practice</w:t>
      </w:r>
      <w:r>
        <w:t xml:space="preserve">”</w:t>
      </w:r>
      <w:r>
        <w:t xml:space="preserve"> </w:t>
      </w:r>
      <w:r>
        <w:t xml:space="preserve">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pStyle w:val="BodyText"/>
      </w:pPr>
      <w:r>
        <w:t xml:space="preserve">Microsoft zahlt zertifizierten Partnerberatungen im Rahmen des</w:t>
      </w:r>
      <w:r>
        <w:t xml:space="preserve"> </w:t>
      </w:r>
      <w:r>
        <w:t xml:space="preserve">“</w:t>
      </w:r>
      <w:r>
        <w:t xml:space="preserve">Microsoft AI Cloud Partner Program</w:t>
      </w:r>
      <w:r>
        <w:t xml:space="preserve">”</w:t>
      </w:r>
      <w:r>
        <w:t xml:space="preserve"> </w:t>
      </w:r>
      <w:r>
        <w:t xml:space="preserve">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w:t>
      </w:r>
      <w:r>
        <w:t xml:space="preserve"> </w:t>
      </w:r>
      <w:r>
        <w:t xml:space="preserve">“</w:t>
      </w:r>
      <w:r>
        <w:t xml:space="preserve">Microsoft Fiscal Year 2025 Updates</w:t>
      </w:r>
      <w:r>
        <w:t xml:space="preserve">”</w:t>
      </w:r>
      <w:r>
        <w:t xml:space="preserve">, Oktober 2024; Redmond Channel Partner, Juli 2024]</w:t>
      </w:r>
    </w:p>
    <w:p>
      <w:pPr>
        <w:pStyle w:val="BodyText"/>
      </w:pPr>
      <w:r>
        <w:rPr>
          <w:bCs/>
          <w:b/>
        </w:rPr>
        <w:t xml:space="preserve">KPMG und Microsoft — 2 Milliarden Dollar Commitment:</w:t>
      </w:r>
    </w:p>
    <w:p>
      <w:pPr>
        <w:pStyle w:val="BodyText"/>
      </w:pPr>
      <w: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w:t>
      </w:r>
      <w:r>
        <w:t xml:space="preserve"> </w:t>
      </w:r>
      <w:r>
        <w:t xml:space="preserve">“</w:t>
      </w:r>
      <w:r>
        <w:t xml:space="preserve">KPMG Clara</w:t>
      </w:r>
      <w:r>
        <w:t xml:space="preserve">”</w:t>
      </w:r>
      <w:r>
        <w:t xml:space="preserve"> </w:t>
      </w:r>
      <w:r>
        <w:t xml:space="preserve">sowie in Steuerberatungsleistungen. KPMG wurde von Microsoft als</w:t>
      </w:r>
      <w:r>
        <w:t xml:space="preserve"> </w:t>
      </w:r>
      <w:r>
        <w:t xml:space="preserve">“</w:t>
      </w:r>
      <w:r>
        <w:t xml:space="preserve">Supplier of the Year</w:t>
      </w:r>
      <w:r>
        <w:t xml:space="preserve">”</w:t>
      </w:r>
      <w:r>
        <w:t xml:space="preserve"> </w:t>
      </w:r>
      <w:r>
        <w:t xml:space="preserve">und 2023 als</w:t>
      </w:r>
      <w:r>
        <w:t xml:space="preserve"> </w:t>
      </w:r>
      <w:r>
        <w:t xml:space="preserve">“</w:t>
      </w:r>
      <w:r>
        <w:t xml:space="preserve">Global Defense and Intelligence Partner of the Year</w:t>
      </w:r>
      <w:r>
        <w:t xml:space="preserve">”</w:t>
      </w:r>
      <w:r>
        <w:t xml:space="preserve"> </w:t>
      </w:r>
      <w:r>
        <w:t xml:space="preserve">ausgezeichnet. [Quelle: VentureBeat,</w:t>
      </w:r>
      <w:r>
        <w:t xml:space="preserve"> </w:t>
      </w:r>
      <w:r>
        <w:t xml:space="preserve">“</w:t>
      </w:r>
      <w:r>
        <w:t xml:space="preserve">KPMG to invest $2 billion in AI in expanded partnership with Microsoft</w:t>
      </w:r>
      <w:r>
        <w:t xml:space="preserve">”</w:t>
      </w:r>
      <w:r>
        <w:t xml:space="preserve">, Juli 2023; SiliconAngle, Juli 2023; KPMG Microsoft Alliance Page, kpmg.com]</w:t>
      </w:r>
    </w:p>
    <w:p>
      <w:pPr>
        <w:pStyle w:val="BodyText"/>
      </w:pPr>
      <w:r>
        <w:t xml:space="preserve">Im November 2024 schloss KPMG zusätzlich eine 100-Millionen-Dollar-Partnerschaft mit Google Cloud — ein Beispiel dafür, wie Beratungshäuser parallel mit mehreren konkurrierenden Hyperscalern kommerzielle Bindungen eingehen. [Quelle: CFO Dive,</w:t>
      </w:r>
      <w:r>
        <w:t xml:space="preserve"> </w:t>
      </w:r>
      <w:r>
        <w:t xml:space="preserve">“</w:t>
      </w:r>
      <w:r>
        <w:t xml:space="preserve">KPMG inks $100M Google Cloud deal</w:t>
      </w:r>
      <w:r>
        <w:t xml:space="preserve">”</w:t>
      </w:r>
      <w:r>
        <w:t xml:space="preserve">, November 2024]</w:t>
      </w:r>
    </w:p>
    <w:p>
      <w:pPr>
        <w:pStyle w:val="BodyText"/>
      </w:pPr>
      <w:r>
        <w:rPr>
          <w:bCs/>
          <w:b/>
        </w:rPr>
        <w:t xml:space="preserve">McKinsey und Amazon Web Services — die Amazon McKinsey Group:</w:t>
      </w:r>
    </w:p>
    <w:p>
      <w:pPr>
        <w:pStyle w:val="BodyText"/>
      </w:pPr>
      <w:r>
        <w:t xml:space="preserve">Im Januar 2026 gründeten McKinsey &amp; Company und Amazon Web Services (AWS) offiziell die</w:t>
      </w:r>
      <w:r>
        <w:t xml:space="preserve"> </w:t>
      </w:r>
      <w:r>
        <w:t xml:space="preserve">“</w:t>
      </w:r>
      <w:r>
        <w:t xml:space="preserve">Amazon McKinsey Group</w:t>
      </w:r>
      <w:r>
        <w:t xml:space="preserve">”</w:t>
      </w:r>
      <w:r>
        <w:t xml:space="preserve"> </w:t>
      </w:r>
      <w:r>
        <w:t xml:space="preserve">(AMG)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w:t>
      </w:r>
      <w:r>
        <w:t xml:space="preserve"> </w:t>
      </w:r>
      <w:r>
        <w:t xml:space="preserve">“</w:t>
      </w:r>
      <w:r>
        <w:t xml:space="preserve">Amazon McKinsey Group</w:t>
      </w:r>
      <w:r>
        <w:t xml:space="preserve">”</w:t>
      </w:r>
      <w:r>
        <w:t xml:space="preserve"> </w:t>
      </w:r>
      <w:r>
        <w:t xml:space="preserve">Pressemitteilung, 22. Januar 2026; TechInformed, 23. Januar 2026; Fortune, 23. Januar 2026]</w:t>
      </w:r>
    </w:p>
    <w:p>
      <w:pPr>
        <w:pStyle w:val="BodyText"/>
      </w:pPr>
      <w:r>
        <w:t xml:space="preserve">McKinsey ist offiziell registrierter Beratungspartner im AWS Partner Network (partners.amazonaws.com) und hat seit 2019 eine strategische Allianz mit AWS, die 2022 und 2026 weiter ausgebaut wurde. [Quelle: McKinsey &amp; Company,</w:t>
      </w:r>
      <w:r>
        <w:t xml:space="preserve"> </w:t>
      </w:r>
      <w:r>
        <w:t xml:space="preserve">“</w:t>
      </w:r>
      <w:r>
        <w:t xml:space="preserve">AWS &amp; McKinsey</w:t>
      </w:r>
      <w:r>
        <w:t xml:space="preserve">”</w:t>
      </w:r>
      <w:r>
        <w:t xml:space="preserve">, mckinsey.com/about-us/overview/alliances-and-acquisitions/aws]</w:t>
      </w:r>
    </w:p>
    <w:p>
      <w:pPr>
        <w:pStyle w:val="BodyText"/>
      </w:pPr>
      <w:r>
        <w:rPr>
          <w:bCs/>
          <w:b/>
        </w:rPr>
        <w:t xml:space="preserve">OpenAI Frontier Alliance — gemeinsame KI-Agenda:</w:t>
      </w:r>
    </w:p>
    <w:p>
      <w:pPr>
        <w:pStyle w:val="BodyText"/>
      </w:pPr>
      <w:r>
        <w:t xml:space="preserve">Am 23. Februar 2026 gründete OpenAI die</w:t>
      </w:r>
      <w:r>
        <w:t xml:space="preserve"> </w:t>
      </w:r>
      <w:r>
        <w:t xml:space="preserve">“</w:t>
      </w:r>
      <w:r>
        <w:t xml:space="preserve">Frontier Alliances</w:t>
      </w:r>
      <w:r>
        <w:t xml:space="preserve">”</w:t>
      </w:r>
      <w:r>
        <w:t xml:space="preserve"> </w:t>
      </w:r>
      <w:r>
        <w:t xml:space="preserve">—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w:t>
      </w:r>
      <w:r>
        <w:t xml:space="preserve"> </w:t>
      </w:r>
      <w:r>
        <w:t xml:space="preserve">“</w:t>
      </w:r>
      <w:r>
        <w:t xml:space="preserve">Practice Groups</w:t>
      </w:r>
      <w:r>
        <w:t xml:space="preserve">”</w:t>
      </w:r>
      <w:r>
        <w:t xml:space="preserve"> </w:t>
      </w:r>
      <w:r>
        <w:t xml:space="preserve">auf, die auf OpenAI-Technologie zertifiziert sind. [Quelle: OpenAI,</w:t>
      </w:r>
      <w:r>
        <w:t xml:space="preserve"> </w:t>
      </w:r>
      <w:r>
        <w:t xml:space="preserve">“</w:t>
      </w:r>
      <w:r>
        <w:t xml:space="preserve">Introducing Frontier Alliances</w:t>
      </w:r>
      <w:r>
        <w:t xml:space="preserve">”</w:t>
      </w:r>
      <w:r>
        <w:t xml:space="preserve">, openai.com, 23. Februar 2026; CNBC, TechCrunch, Fortune, 23. Februar 2026]</w:t>
      </w:r>
    </w:p>
    <w:p>
      <w:pPr>
        <w:pStyle w:val="BodyText"/>
      </w:pPr>
      <w: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pStyle w:val="BodyText"/>
      </w:pPr>
      <w:r>
        <w:rPr>
          <w:bCs/>
          <w:b/>
        </w:rPr>
        <w:t xml:space="preserve">Oracle — der übersehene Vierte:</w:t>
      </w:r>
    </w:p>
    <w:p>
      <w:pPr>
        <w:pStyle w:val="BodyText"/>
      </w:pPr>
      <w: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pStyle w:val="BodyText"/>
      </w:pPr>
      <w:r>
        <w:rPr>
          <w:bCs/>
          <w:b/>
        </w:rPr>
        <w:t xml:space="preserve">IBM — die doppelte Rolle in Deutschland:</w:t>
      </w:r>
    </w:p>
    <w:p>
      <w:pPr>
        <w:pStyle w:val="BodyText"/>
      </w:pPr>
      <w: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w:t>
      </w:r>
      <w:r>
        <w:t xml:space="preserve"> </w:t>
      </w:r>
      <w:r>
        <w:t xml:space="preserve">“</w:t>
      </w:r>
      <w:r>
        <w:t xml:space="preserve">Rien ne va plus — ohne die Riesen im Hintergrund läuft in der TI gar nichts</w:t>
      </w:r>
      <w:r>
        <w:t xml:space="preserve">”</w:t>
      </w:r>
      <w:r>
        <w:t xml:space="preserve">] IBM hat damit eine einzigartige Dreifachrolle: strategischer Berater, Technologieanbieter und Betreiber gesundheitsrelevanter Basisinfrastruktur.</w:t>
      </w:r>
    </w:p>
    <w:bookmarkEnd w:id="108"/>
    <w:bookmarkStart w:id="109" w:name="Xba4c4e4e53eca29884330c36d53283488e25bd2"/>
    <w:p>
      <w:pPr>
        <w:pStyle w:val="Heading3"/>
      </w:pPr>
      <w:r>
        <w:t xml:space="preserve">11.3 Der Mechanismus: Warum das Modell systemische Präferenz für US-Hyperscaler erzeugt</w:t>
      </w:r>
    </w:p>
    <w:p>
      <w:pPr>
        <w:pStyle w:val="FirstParagraph"/>
      </w:pPr>
      <w:r>
        <w:t xml:space="preserve">Ein Berater der Kategorie Accenture oder Deloitte, der eine GKV beim Aufbau einer Cloud-Infrastruktur begleitet, verdient auf mehrfachen Ebenen:</w:t>
      </w:r>
    </w:p>
    <w:p>
      <w:pPr>
        <w:pStyle w:val="BodyText"/>
      </w:pPr>
      <w:r>
        <w:rPr>
          <w:bCs/>
          <w:b/>
        </w:rPr>
        <w:t xml:space="preserve">Ebene 1 — Beratungshonorar:</w:t>
      </w:r>
      <w:r>
        <w:t xml:space="preserve"> </w:t>
      </w:r>
      <w:r>
        <w:t xml:space="preserve">Das klassische Tagessatz-Modell (typisch für Senior-Profile großer Häuser: 2.500–6.000 Euro/Tag). Dieser Teil ist unabhängig von der Technologieauswahl.</w:t>
      </w:r>
    </w:p>
    <w:p>
      <w:pPr>
        <w:pStyle w:val="BodyText"/>
      </w:pPr>
      <w:r>
        <w:rPr>
          <w:bCs/>
          <w:b/>
        </w:rPr>
        <w:t xml:space="preserve">Ebene 2 — Partnerschaftsincentives des Cloud-Anbieters:</w:t>
      </w:r>
      <w:r>
        <w:t xml:space="preserve"> </w:t>
      </w:r>
      <w:r>
        <w:t xml:space="preserve">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w:t>
      </w:r>
      <w:r>
        <w:t xml:space="preserve"> </w:t>
      </w:r>
      <w:r>
        <w:t xml:space="preserve">“</w:t>
      </w:r>
      <w:r>
        <w:t xml:space="preserve">Microsoft Fiscal Year 2025 Updates</w:t>
      </w:r>
      <w:r>
        <w:t xml:space="preserve">”</w:t>
      </w:r>
      <w:r>
        <w:t xml:space="preserve">, Oktober 2024] Der Mechanismus ist strukturell bekannt: Ein Beratungshaus, das einen Kunden zu Azure migriert, löst Incentivezahlungen aus, die unabhängig vom Beratungshonorar fließen.</w:t>
      </w:r>
    </w:p>
    <w:p>
      <w:pPr>
        <w:pStyle w:val="BodyText"/>
      </w:pPr>
      <w:r>
        <w:rPr>
          <w:bCs/>
          <w:b/>
        </w:rPr>
        <w:t xml:space="preserve">Ebene 3 — Implementierungsfolgeaufträge:</w:t>
      </w:r>
      <w:r>
        <w:t xml:space="preserve"> </w:t>
      </w:r>
      <w:r>
        <w:t xml:space="preserve">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pStyle w:val="BodyText"/>
      </w:pPr>
      <w: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pStyle w:val="BodyText"/>
      </w:pPr>
      <w:r>
        <w:t xml:space="preserve">Eine Studie zu Interessenkonflikten im Beratungskontext beschreibt das Grundmuster:</w:t>
      </w:r>
      <w:r>
        <w:t xml:space="preserve"> </w:t>
      </w:r>
      <w:r>
        <w:t xml:space="preserve">“</w:t>
      </w:r>
      <w:r>
        <w:t xml:space="preserve">A lot of consultants get a commission or fee from third parties for bringing them new business. This creates an environment where the consultant is biased towards using or recommending the services of such third parties.</w:t>
      </w:r>
      <w:r>
        <w:t xml:space="preserve">”</w:t>
      </w:r>
      <w:r>
        <w:t xml:space="preserve"> </w:t>
      </w:r>
      <w:r>
        <w:t xml:space="preserve">[Quelle: Atelier &amp; Avenue,</w:t>
      </w:r>
      <w:r>
        <w:t xml:space="preserve"> </w:t>
      </w:r>
      <w:r>
        <w:t xml:space="preserve">“</w:t>
      </w:r>
      <w:r>
        <w:t xml:space="preserve">The 4 unacceptable Conflicts of Interest of classic consultancies &amp; agencies</w:t>
      </w:r>
      <w:r>
        <w:t xml:space="preserve">”</w:t>
      </w:r>
      <w:r>
        <w:t xml:space="preserve">, 2019]</w:t>
      </w:r>
    </w:p>
    <w:bookmarkEnd w:id="109"/>
    <w:bookmarkStart w:id="110" w:name="X2a87f8e13abecc341d38497d17ab4027d13ebe0"/>
    <w:p>
      <w:pPr>
        <w:pStyle w:val="Heading3"/>
      </w:pPr>
      <w:r>
        <w:t xml:space="preserve">11.4 Was das für eine GKV oder ein Klinikum konkret bedeutet</w:t>
      </w:r>
    </w:p>
    <w:p>
      <w:pPr>
        <w:pStyle w:val="FirstParagraph"/>
      </w:pPr>
      <w:r>
        <w:t xml:space="preserve">Eine GKV oder ein Universitätsklinikum, das McKinsey, Accenture oder Deloitte mit der Entwicklung seiner Digitalisierungsstrategie oder Cloud-Migrationsstrategie beauftragt, erhält eine Empfehlung von einem Unternehmen, das:</w:t>
      </w:r>
    </w:p>
    <w:p>
      <w:pPr>
        <w:pStyle w:val="BodyText"/>
      </w:pPr>
      <w: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pStyle w:val="BodyText"/>
      </w:pPr>
      <w: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pStyle w:val="BodyText"/>
      </w:pPr>
      <w:r>
        <w:t xml:space="preserve">Drittens eigene finanzielle Anreize hat, dass der Klient einen großen US-Hyperscaler-Stack wählt — sowohl durch Partnerprovisionen als auch durch Folgeauftragspotenzial.</w:t>
      </w:r>
    </w:p>
    <w:p>
      <w:pPr>
        <w:pStyle w:val="BodyText"/>
      </w:pPr>
      <w: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bookmarkEnd w:id="110"/>
    <w:bookmarkStart w:id="111" w:name="X4e0ce84346c8d9de5678b110b05b014e8fab9dd"/>
    <w:p>
      <w:pPr>
        <w:pStyle w:val="Heading3"/>
      </w:pPr>
      <w:r>
        <w:t xml:space="preserve">11.5 Praktische Leitfragen für die Beraterauswahl</w:t>
      </w:r>
    </w:p>
    <w:p>
      <w:pPr>
        <w:pStyle w:val="FirstParagraph"/>
      </w:pPr>
      <w:r>
        <w:t xml:space="preserve">Für jede Beauftragung einer externen Beratung im Kontext von Cloud-Infrastruktur und Digitalisierungsstrategie sollten folgende Fragen gestellt und schriftlich beantwortet werden:</w:t>
      </w:r>
    </w:p>
    <w:p>
      <w:pPr>
        <w:pStyle w:val="BodyText"/>
      </w:pPr>
      <w:r>
        <w:rPr>
          <w:bCs/>
          <w:b/>
        </w:rPr>
        <w:t xml:space="preserve">Zur Unabhängigkeit des Beraters:</w:t>
      </w:r>
      <w:r>
        <w:t xml:space="preserve"> </w:t>
      </w:r>
      <w:r>
        <w:t xml:space="preserve">- Hat die Beratungsfirma Partnerschaftsverträge, Zertifizierungsprogramme oder Incentive-Vereinbarungen mit Microsoft, AWS, Google oder anderen Cloud-Anbietern, die im Projekt evaluiert werden?</w:t>
      </w:r>
      <w:r>
        <w:t xml:space="preserve"> </w:t>
      </w:r>
      <w:r>
        <w:t xml:space="preserve">- Erhält die Beratungsfirma direkte oder indirekte Vergütungen (Provisionen, Migration-Incentives, Co-Marketing-Budgets, Deal-Registration-Fees) von Cloud-Anbietern bei Kundenmigrationen?</w:t>
      </w:r>
      <w:r>
        <w:t xml:space="preserve"> </w:t>
      </w:r>
      <w:r>
        <w:t xml:space="preserve">- Unterliegt die Beratungsfirma selbst dem CLOUD Act — und welche Daten der GKV landen auf deren US-kontrollierten Systemen?</w:t>
      </w:r>
    </w:p>
    <w:p>
      <w:pPr>
        <w:pStyle w:val="BodyText"/>
      </w:pPr>
      <w:r>
        <w:rPr>
          <w:bCs/>
          <w:b/>
        </w:rPr>
        <w:t xml:space="preserve">Zur Qualität der Empfehlung:</w:t>
      </w:r>
      <w:r>
        <w:t xml:space="preserve"> </w:t>
      </w:r>
      <w:r>
        <w:t xml:space="preserve">- Wurden beim Cloud-Anbietervergleich EU-souveräne Alternativen (STACKIT, plusserver, 3DS Outscale, Cloud Temple etc.) mit gleichem methodischen Aufwand evaluiert?</w:t>
      </w:r>
      <w:r>
        <w:t xml:space="preserve"> </w:t>
      </w:r>
      <w:r>
        <w:t xml:space="preserve">- Wer hat die Evaluation der EU-Alternativen durchgeführt — und welche Qualifikationen hat das Beraterteam für EU-Cloud-Anbieter?</w:t>
      </w:r>
      <w:r>
        <w:t xml:space="preserve"> </w:t>
      </w:r>
      <w:r>
        <w:t xml:space="preserve">- Wurde eine Datentransfer-Folgenabschätzung (TIA, §17.4) für den empfohlenen Anbieter erstellt und dem Auftraggeber übergeben?</w:t>
      </w:r>
      <w:r>
        <w:t xml:space="preserve"> </w:t>
      </w:r>
      <w:r>
        <w:t xml:space="preserve">- Ist das CLOUD-Act-Risiko des empfohlenen Anbieters explizit im schriftlichen Beratungsergebnis adressiert?</w:t>
      </w:r>
    </w:p>
    <w:p>
      <w:pPr>
        <w:pStyle w:val="BodyText"/>
      </w:pPr>
      <w:r>
        <w:rPr>
          <w:bCs/>
          <w:b/>
        </w:rPr>
        <w:t xml:space="preserve">Zur Vertragssituation:</w:t>
      </w:r>
      <w:r>
        <w:t xml:space="preserve"> </w:t>
      </w:r>
      <w:r>
        <w:t xml:space="preserve">- Enthält der Beratungsvertrag eine Offenlegungspflicht für Interessenkonflikte gegenüber Dritten — insbesondere gegenüber Cloud-Anbietern?</w:t>
      </w:r>
      <w:r>
        <w:t xml:space="preserve"> </w:t>
      </w:r>
      <w:r>
        <w:t xml:space="preserve">- Gibt es Klauseln, die Provisionszahlungen oder sonstige Vergütungen von Technologieanbietern an den Berater, die im Zusammenhang mit diesem Projekt entstehen, offenlegungspflichtig oder unzulässig machen?</w:t>
      </w:r>
    </w:p>
    <w:p>
      <w:pPr>
        <w:pStyle w:val="BodyText"/>
      </w:pPr>
      <w:r>
        <w:rPr>
          <w:bCs/>
          <w:b/>
        </w:rPr>
        <w:t xml:space="preserve">Europäische und strukturell unabhängigere Beratungsalternativen: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Firma</w:t>
            </w:r>
          </w:p>
        </w:tc>
        <w:tc>
          <w:tcPr/>
          <w:p>
            <w:pPr>
              <w:pStyle w:val="Compact"/>
              <w:jc w:val="left"/>
            </w:pPr>
            <w:r>
              <w:t xml:space="preserve">Sitz</w:t>
            </w:r>
          </w:p>
        </w:tc>
        <w:tc>
          <w:tcPr/>
          <w:p>
            <w:pPr>
              <w:pStyle w:val="Compact"/>
              <w:jc w:val="left"/>
            </w:pPr>
            <w:r>
              <w:t xml:space="preserve">Struktur</w:t>
            </w:r>
          </w:p>
        </w:tc>
        <w:tc>
          <w:tcPr/>
          <w:p>
            <w:pPr>
              <w:pStyle w:val="Compact"/>
              <w:jc w:val="left"/>
            </w:pPr>
            <w:r>
              <w:t xml:space="preserve">CLOUD-Act-Status</w:t>
            </w:r>
          </w:p>
        </w:tc>
      </w:tr>
      <w:tr>
        <w:tc>
          <w:tcPr/>
          <w:p>
            <w:pPr>
              <w:pStyle w:val="Compact"/>
              <w:jc w:val="left"/>
            </w:pPr>
            <w:r>
              <w:rPr>
                <w:bCs/>
                <w:b/>
              </w:rPr>
              <w:t xml:space="preserve">Roland Berger</w:t>
            </w:r>
          </w:p>
        </w:tc>
        <w:tc>
          <w:tcPr/>
          <w:p>
            <w:pPr>
              <w:pStyle w:val="Compact"/>
              <w:jc w:val="left"/>
            </w:pPr>
            <w:r>
              <w:t xml:space="preserve">München</w:t>
            </w:r>
          </w:p>
        </w:tc>
        <w:tc>
          <w:tcPr/>
          <w:p>
            <w:pPr>
              <w:pStyle w:val="Compact"/>
              <w:jc w:val="left"/>
            </w:pPr>
            <w:r>
              <w:t xml:space="preserve">Privat, europäisch</w:t>
            </w:r>
          </w:p>
        </w:tc>
        <w:tc>
          <w:tcPr/>
          <w:p>
            <w:pPr>
              <w:pStyle w:val="Compact"/>
              <w:jc w:val="left"/>
            </w:pPr>
            <w:r>
              <w:t xml:space="preserve">🟢 Kein US-Bezug nachweisbar</w:t>
            </w:r>
          </w:p>
        </w:tc>
      </w:tr>
      <w:tr>
        <w:tc>
          <w:tcPr/>
          <w:p>
            <w:pPr>
              <w:pStyle w:val="Compact"/>
              <w:jc w:val="left"/>
            </w:pPr>
            <w:r>
              <w:rPr>
                <w:bCs/>
                <w:b/>
              </w:rPr>
              <w:t xml:space="preserve">Arthur D. Little</w:t>
            </w:r>
          </w:p>
        </w:tc>
        <w:tc>
          <w:tcPr/>
          <w:p>
            <w:pPr>
              <w:pStyle w:val="Compact"/>
              <w:jc w:val="left"/>
            </w:pPr>
            <w:r>
              <w:t xml:space="preserve">Paris/Boston</w:t>
            </w:r>
          </w:p>
        </w:tc>
        <w:tc>
          <w:tcPr/>
          <w:p>
            <w:pPr>
              <w:pStyle w:val="Compact"/>
              <w:jc w:val="left"/>
            </w:pPr>
            <w:r>
              <w:t xml:space="preserve">Privat, unabhängig</w:t>
            </w:r>
          </w:p>
        </w:tc>
        <w:tc>
          <w:tcPr/>
          <w:p>
            <w:pPr>
              <w:pStyle w:val="Compact"/>
              <w:jc w:val="left"/>
            </w:pPr>
            <w:r>
              <w:t xml:space="preserve">🟡 US-Gründung, aber europäisch kontrolliert</w:t>
            </w:r>
          </w:p>
        </w:tc>
      </w:tr>
      <w:tr>
        <w:tc>
          <w:tcPr/>
          <w:p>
            <w:pPr>
              <w:pStyle w:val="Compact"/>
              <w:jc w:val="left"/>
            </w:pPr>
            <w:r>
              <w:rPr>
                <w:bCs/>
                <w:b/>
              </w:rPr>
              <w:t xml:space="preserve">BearingPoint</w:t>
            </w:r>
          </w:p>
        </w:tc>
        <w:tc>
          <w:tcPr/>
          <w:p>
            <w:pPr>
              <w:pStyle w:val="Compact"/>
              <w:jc w:val="left"/>
            </w:pPr>
            <w:r>
              <w:t xml:space="preserve">Frankfurt</w:t>
            </w:r>
          </w:p>
        </w:tc>
        <w:tc>
          <w:tcPr/>
          <w:p>
            <w:pPr>
              <w:pStyle w:val="Compact"/>
              <w:jc w:val="left"/>
            </w:pPr>
            <w:r>
              <w:t xml:space="preserve">Privat, europäisch</w:t>
            </w:r>
          </w:p>
        </w:tc>
        <w:tc>
          <w:tcPr/>
          <w:p>
            <w:pPr>
              <w:pStyle w:val="Compact"/>
              <w:jc w:val="left"/>
            </w:pPr>
            <w:r>
              <w:t xml:space="preserve">🟢 Kein US-Bezug</w:t>
            </w:r>
          </w:p>
        </w:tc>
      </w:tr>
      <w:tr>
        <w:tc>
          <w:tcPr/>
          <w:p>
            <w:pPr>
              <w:pStyle w:val="Compact"/>
              <w:jc w:val="left"/>
            </w:pPr>
            <w:r>
              <w:rPr>
                <w:bCs/>
                <w:b/>
              </w:rPr>
              <w:t xml:space="preserve">Sopra Steria</w:t>
            </w:r>
          </w:p>
        </w:tc>
        <w:tc>
          <w:tcPr/>
          <w:p>
            <w:pPr>
              <w:pStyle w:val="Compact"/>
              <w:jc w:val="left"/>
            </w:pPr>
            <w:r>
              <w:t xml:space="preserve">Paris</w:t>
            </w:r>
          </w:p>
        </w:tc>
        <w:tc>
          <w:tcPr/>
          <w:p>
            <w:pPr>
              <w:pStyle w:val="Compact"/>
              <w:jc w:val="left"/>
            </w:pPr>
            <w:r>
              <w:t xml:space="preserve">Euronext-börsennotiert, FR</w:t>
            </w:r>
          </w:p>
        </w:tc>
        <w:tc>
          <w:tcPr/>
          <w:p>
            <w:pPr>
              <w:pStyle w:val="Compact"/>
              <w:jc w:val="left"/>
            </w:pPr>
            <w:r>
              <w:t xml:space="preserve">🟢 Europäisch</w:t>
            </w:r>
          </w:p>
        </w:tc>
      </w:tr>
      <w:tr>
        <w:tc>
          <w:tcPr/>
          <w:p>
            <w:pPr>
              <w:pStyle w:val="Compact"/>
              <w:jc w:val="left"/>
            </w:pPr>
            <w:r>
              <w:rPr>
                <w:bCs/>
                <w:b/>
              </w:rPr>
              <w:t xml:space="preserve">adesso</w:t>
            </w:r>
          </w:p>
        </w:tc>
        <w:tc>
          <w:tcPr/>
          <w:p>
            <w:pPr>
              <w:pStyle w:val="Compact"/>
              <w:jc w:val="left"/>
            </w:pPr>
            <w:r>
              <w:t xml:space="preserve">Dortmund</w:t>
            </w:r>
          </w:p>
        </w:tc>
        <w:tc>
          <w:tcPr/>
          <w:p>
            <w:pPr>
              <w:pStyle w:val="Compact"/>
              <w:jc w:val="left"/>
            </w:pPr>
            <w:r>
              <w:t xml:space="preserve">MDAX, Gesundheits-IT</w:t>
            </w:r>
          </w:p>
        </w:tc>
        <w:tc>
          <w:tcPr/>
          <w:p>
            <w:pPr>
              <w:pStyle w:val="Compact"/>
              <w:jc w:val="left"/>
            </w:pPr>
            <w:r>
              <w:t xml:space="preserve">🟢 Deutsch</w:t>
            </w:r>
          </w:p>
        </w:tc>
      </w:tr>
      <w:tr>
        <w:tc>
          <w:tcPr/>
          <w:p>
            <w:pPr>
              <w:pStyle w:val="Compact"/>
              <w:jc w:val="left"/>
            </w:pPr>
            <w:r>
              <w:rPr>
                <w:bCs/>
                <w:b/>
              </w:rPr>
              <w:t xml:space="preserve">Capgemini</w:t>
            </w:r>
          </w:p>
        </w:tc>
        <w:tc>
          <w:tcPr/>
          <w:p>
            <w:pPr>
              <w:pStyle w:val="Compact"/>
              <w:jc w:val="left"/>
            </w:pPr>
            <w:r>
              <w:t xml:space="preserve">Paris</w:t>
            </w:r>
          </w:p>
        </w:tc>
        <w:tc>
          <w:tcPr/>
          <w:p>
            <w:pPr>
              <w:pStyle w:val="Compact"/>
              <w:jc w:val="left"/>
            </w:pPr>
            <w:r>
              <w:t xml:space="preserve">Euronext CAC 40</w:t>
            </w:r>
          </w:p>
        </w:tc>
        <w:tc>
          <w:tcPr/>
          <w:p>
            <w:pPr>
              <w:pStyle w:val="Compact"/>
              <w:jc w:val="left"/>
            </w:pPr>
            <w:r>
              <w:t xml:space="preserve">🟡 US-Partnerstrukturen vorhanden</w:t>
            </w:r>
          </w:p>
        </w:tc>
      </w:tr>
    </w:tbl>
    <w:p>
      <w:pPr>
        <w:pStyle w:val="BodyText"/>
      </w:pPr>
      <w:r>
        <w:t xml:space="preserve">Capgemini ist Gründungsmitglied der OpenAI Frontier Alliance — und damit trotz europäischer Börsennotierung ebenfalls kommerziell mit US-KI-Infrastruktur verbunden. [Quelle: OpenAI,</w:t>
      </w:r>
      <w:r>
        <w:t xml:space="preserve"> </w:t>
      </w:r>
      <w:r>
        <w:t xml:space="preserve">“</w:t>
      </w:r>
      <w:r>
        <w:t xml:space="preserve">Introducing Frontier Alliances</w:t>
      </w:r>
      <w:r>
        <w:t xml:space="preserve">”</w:t>
      </w:r>
      <w:r>
        <w:t xml:space="preserve">, Februar 2026]</w:t>
      </w:r>
    </w:p>
    <w:p>
      <w:r>
        <w:pict>
          <v:rect style="width:0;height:1.5pt" o:hralign="center" o:hrstd="t" o:hr="t"/>
        </w:pict>
      </w:r>
    </w:p>
    <w:bookmarkEnd w:id="111"/>
    <w:bookmarkEnd w:id="112"/>
    <w:bookmarkStart w:id="122" w:name="Xeca11daf083deacf6802bcebab86a27fcf56b78"/>
    <w:p>
      <w:pPr>
        <w:pStyle w:val="Heading2"/>
      </w:pPr>
      <w:r>
        <w:t xml:space="preserve">12. Marktbeispiele: Wie Gesundheitsinstitutionen in die US-Cloud geraten</w:t>
      </w:r>
    </w:p>
    <w:p>
      <w:pPr>
        <w:pStyle w:val="FirstParagraph"/>
      </w:pPr>
      <w: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r>
        <w:pict>
          <v:rect style="width:0;height:1.5pt" o:hralign="center" o:hrstd="t" o:hr="t"/>
        </w:pict>
      </w:r>
    </w:p>
    <w:bookmarkStart w:id="113" w:name="Xaef77fcdab12417bc01170ef0486e8935dccde9"/>
    <w:p>
      <w:pPr>
        <w:pStyle w:val="Heading3"/>
      </w:pPr>
      <w:r>
        <w:t xml:space="preserve">12.1 Eintrittspfad 1: GKV-Rechenzentren — das Cloud-Outsourcing läuft über Intermediäre</w:t>
      </w:r>
    </w:p>
    <w:p>
      <w:pPr>
        <w:pStyle w:val="FirstParagraph"/>
      </w:pPr>
      <w:r>
        <w:t xml:space="preserve">GKV-Kernsysteme laufen nicht bei den Kassen selbst — sie liegen bei spezialisierten GKV-Rechenzentren:</w:t>
      </w:r>
      <w:r>
        <w:t xml:space="preserve"> </w:t>
      </w:r>
      <w:r>
        <w:rPr>
          <w:bCs/>
          <w:b/>
        </w:rPr>
        <w:t xml:space="preserve">BITMARCK</w:t>
      </w:r>
      <w:r>
        <w:t xml:space="preserve"> </w:t>
      </w:r>
      <w:r>
        <w:t xml:space="preserve">(&gt;80 % aller GKV),</w:t>
      </w:r>
      <w:r>
        <w:t xml:space="preserve"> </w:t>
      </w:r>
      <w:r>
        <w:rPr>
          <w:bCs/>
          <w:b/>
        </w:rPr>
        <w:t xml:space="preserve">Kubus IT</w:t>
      </w:r>
      <w:r>
        <w:t xml:space="preserve"> </w:t>
      </w:r>
      <w:r>
        <w:t xml:space="preserve">(AOK Bayern/Plus),</w:t>
      </w:r>
      <w:r>
        <w:t xml:space="preserve"> </w:t>
      </w:r>
      <w:r>
        <w:rPr>
          <w:bCs/>
          <w:b/>
        </w:rPr>
        <w:t xml:space="preserve">ITSC</w:t>
      </w:r>
      <w:r>
        <w:t xml:space="preserve"> </w:t>
      </w:r>
      <w:r>
        <w:t xml:space="preserve">(norddeutsche Kassen),</w:t>
      </w:r>
      <w:r>
        <w:t xml:space="preserve"> </w:t>
      </w:r>
      <w:r>
        <w:rPr>
          <w:bCs/>
          <w:b/>
        </w:rPr>
        <w:t xml:space="preserve">gkv informatik</w:t>
      </w:r>
      <w:r>
        <w:t xml:space="preserve">,</w:t>
      </w:r>
      <w:r>
        <w:t xml:space="preserve"> </w:t>
      </w:r>
      <w:r>
        <w:rPr>
          <w:bCs/>
          <w:b/>
        </w:rPr>
        <w:t xml:space="preserve">ITSCare</w:t>
      </w:r>
      <w:r>
        <w:t xml:space="preserve"> </w:t>
      </w:r>
      <w:r>
        <w:t xml:space="preserve">(Baden-Württemberg, Hessen, Rheinland-Pfalz/Saarland) und</w:t>
      </w:r>
      <w:r>
        <w:t xml:space="preserve"> </w:t>
      </w:r>
      <w:r>
        <w:rPr>
          <w:bCs/>
          <w:b/>
        </w:rPr>
        <w:t xml:space="preserve">MOBIL ISC</w:t>
      </w:r>
      <w:r>
        <w:t xml:space="preserve">. Diese RZ sind die eigentlichen Infrastrukturentscheider — und sie migrieren gerade in Richtung Cloud. Das CLOUD-Act-Risiko entsteht nicht in der Kassensoftware selbst, sondern in der Hosting-Schicht darunter.</w:t>
      </w:r>
    </w:p>
    <w:p>
      <w:pPr>
        <w:pStyle w:val="BodyText"/>
      </w:pPr>
      <w:r>
        <w:rPr>
          <w:bCs/>
          <w:b/>
        </w:rPr>
        <w:t xml:space="preserve">ITSCare — kasseneigenes RZ für 7,5 Millionen Versicherte:</w:t>
      </w:r>
      <w:r>
        <w:t xml:space="preserve"> </w:t>
      </w:r>
      <w:r>
        <w:t xml:space="preserve">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pStyle w:val="BodyText"/>
      </w:pPr>
      <w:r>
        <w:rPr>
          <w:bCs/>
          <w:b/>
        </w:rPr>
        <w:t xml:space="preserve">Techniker Krankenkasse — Inhouse-IT-Strategie als bewusstes Gegenmodell:</w:t>
      </w:r>
      <w:r>
        <w:t xml:space="preserve"> </w:t>
      </w:r>
      <w:r>
        <w:t xml:space="preserve">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pStyle w:val="BodyText"/>
      </w:pPr>
      <w:r>
        <w:rPr>
          <w:bCs/>
          <w:b/>
        </w:rPr>
        <w:t xml:space="preserve">Kubus IT → Arvato Systems → Google Cloud</w:t>
      </w:r>
      <w:r>
        <w:t xml:space="preserve"> </w:t>
      </w:r>
      <w:r>
        <w:t xml:space="preserve">(Negativbeispiel, belegt): Kubus IT migrierte sein On-Premise-RZ vollständig zu Arvato Systems für ~17.500 IT-Nutzer. Arvato bietet dabei Google Cloud als Hyperscaler-Option an. Auf dem Google Cloud Summit München 2024 präsentierte Arvato den Kubus-Fall als Beleg für</w:t>
      </w:r>
      <w:r>
        <w:t xml:space="preserve"> </w:t>
      </w:r>
      <w:r>
        <w:t xml:space="preserve">“</w:t>
      </w:r>
      <w:r>
        <w:t xml:space="preserve">souveräne GKV-Cloud mit Google</w:t>
      </w:r>
      <w:r>
        <w:t xml:space="preserve">”</w:t>
      </w:r>
      <w:r>
        <w:t xml:space="preserve">. Google Cloud ist CLOUD-Act-Kategorie A — Serverstandort schützt nicht. [Quelle: Arvato Systems Referenz</w:t>
      </w:r>
      <w:r>
        <w:t xml:space="preserve"> </w:t>
      </w:r>
      <w:r>
        <w:t xml:space="preserve">“</w:t>
      </w:r>
      <w:r>
        <w:t xml:space="preserve">Cloud migration for kubus IT</w:t>
      </w:r>
      <w:r>
        <w:t xml:space="preserve">”</w:t>
      </w:r>
      <w:r>
        <w:t xml:space="preserve">]</w:t>
      </w:r>
    </w:p>
    <w:p>
      <w:pPr>
        <w:pStyle w:val="BodyText"/>
      </w:pPr>
      <w:r>
        <w:rPr>
          <w:bCs/>
          <w:b/>
        </w:rPr>
        <w:t xml:space="preserve">ITSC → OVHcloud</w:t>
      </w:r>
      <w:r>
        <w:t xml:space="preserve"> </w:t>
      </w:r>
      <w:r>
        <w:t xml:space="preserve">(Positivbeispiel, belegt): Das ITSC migriert mit adesso zu OVHcloud-Rechenzentren in Deutschland und Frankreich. Budget siebenstellig, Start Mai 2024. OVHcloud ist französisch, keine US-Börsennotierung. [Quelle: e-health-com.de,</w:t>
      </w:r>
      <w:r>
        <w:t xml:space="preserve"> </w:t>
      </w:r>
      <w:r>
        <w:t xml:space="preserve">“</w:t>
      </w:r>
      <w:r>
        <w:t xml:space="preserve">adesso wird Cloud-Transformationspartner für das ITSC</w:t>
      </w:r>
      <w:r>
        <w:t xml:space="preserve">”</w:t>
      </w:r>
      <w:r>
        <w:t xml:space="preserve">]</w:t>
      </w:r>
    </w:p>
    <w:p>
      <w:pPr>
        <w:pStyle w:val="BodyText"/>
      </w:pPr>
      <w:r>
        <w:rPr>
          <w:bCs/>
          <w:b/>
        </w:rPr>
        <w:t xml:space="preserve">gkv informatik → T-Systems</w:t>
      </w:r>
      <w:r>
        <w:t xml:space="preserve">: Teile der gkv-informatik-Infrastruktur wurden zu T-Systems ausgelagert — als AWS-Partner und Azure-Reseller tief in US-Hyperscaler eingebettet. CLOUD-Act-Risiko entsteht dort, wo GKV-Workloads auf US-Diensten laufen.</w:t>
      </w:r>
    </w:p>
    <w:p>
      <w:pPr>
        <w:pStyle w:val="BodyText"/>
      </w:pPr>
      <w:r>
        <w:rPr>
          <w:bCs/>
          <w:b/>
        </w:rPr>
        <w:t xml:space="preserve">Die SAP-Zeitbombe:</w:t>
      </w:r>
      <w:r>
        <w:t xml:space="preserve"> </w:t>
      </w:r>
      <w:r>
        <w:t xml:space="preserve">Alle AOK-Systeme laufen auf</w:t>
      </w:r>
      <w:r>
        <w:t xml:space="preserve"> </w:t>
      </w:r>
      <w:r>
        <w:rPr>
          <w:rStyle w:val="VerbatimChar"/>
        </w:rPr>
        <w:t xml:space="preserve">oscare®</w:t>
      </w:r>
      <w:r>
        <w:t xml:space="preserve"> </w:t>
      </w:r>
      <w:r>
        <w:t xml:space="preserve">(SAP-basiert). Die nächste Migration — SAP S/4HANA Cloud auf Azure oder AWS — wäre ein direkter CLOUD-Act-Eintrittspfad. Mit dem</w:t>
      </w:r>
      <w:r>
        <w:t xml:space="preserve"> </w:t>
      </w:r>
      <w:r>
        <w:t xml:space="preserve">“</w:t>
      </w:r>
      <w:r>
        <w:t xml:space="preserve">BITMARCK all in ONE</w:t>
      </w:r>
      <w:r>
        <w:t xml:space="preserve">”</w:t>
      </w:r>
      <w:r>
        <w:t xml:space="preserve">-Programm und dem govdigital-Beitritt (Oktober 2024) stellt sich dieselbe Frage für BITMARCK. [Quelle: govdigital.de Oktober 2024; BITMARCK-Kundentag 2025]</w:t>
      </w:r>
    </w:p>
    <w:p>
      <w:r>
        <w:pict>
          <v:rect style="width:0;height:1.5pt" o:hralign="center" o:hrstd="t" o:hr="t"/>
        </w:pict>
      </w:r>
    </w:p>
    <w:bookmarkEnd w:id="113"/>
    <w:bookmarkStart w:id="114" w:name="Xb92c4d10d728a2c7c2b91f10a7c7c541e9833f7"/>
    <w:p>
      <w:pPr>
        <w:pStyle w:val="Heading3"/>
      </w:pPr>
      <w:r>
        <w:t xml:space="preserve">12.2 Eintrittspfad 2: KVen — Azure als etablierte Infrastruktur (belegt durch TED-Ausschreibung)</w:t>
      </w:r>
    </w:p>
    <w:p>
      <w:pPr>
        <w:pStyle w:val="FirstParagraph"/>
      </w:pPr>
      <w: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w:t>
      </w:r>
      <w:r>
        <w:t xml:space="preserve"> </w:t>
      </w:r>
      <w:r>
        <w:rPr>
          <w:bCs/>
          <w:b/>
        </w:rPr>
        <w:t xml:space="preserve">KV-IT GmbH</w:t>
      </w:r>
      <w:r>
        <w:t xml:space="preserve"> </w:t>
      </w:r>
      <w:r>
        <w:t xml:space="preserve">in Düsseldorf/Dortmund. [Quelle: kvno.de/kv-it-gmbh]</w:t>
      </w:r>
    </w:p>
    <w:p>
      <w:pPr>
        <w:pStyle w:val="BodyText"/>
      </w:pPr>
      <w:r>
        <w:rPr>
          <w:bCs/>
          <w:b/>
        </w:rPr>
        <w:t xml:space="preserve">Der Beleg — TED-Ausschreibung 98706-2026 (11. Februar 2026):</w:t>
      </w:r>
      <w:r>
        <w:t xml:space="preserve"> </w:t>
      </w:r>
      <w:r>
        <w:t xml:space="preserve">Die KVNO schrieb unter der Kennung X-KVNO-2025-0023 die</w:t>
      </w:r>
      <w:r>
        <w:t xml:space="preserve"> </w:t>
      </w:r>
      <w:r>
        <w:t xml:space="preserve">“</w:t>
      </w:r>
      <w:r>
        <w:t xml:space="preserve">Entwicklung und Betrieb einer KI-Plattform als PaaS-Lösung sowie diverser KI Use Cases</w:t>
      </w:r>
      <w:r>
        <w:t xml:space="preserve">”</w:t>
      </w:r>
      <w:r>
        <w:t xml:space="preserve"> </w:t>
      </w:r>
      <w:r>
        <w:t xml:space="preserve">aus. Der Ausschreibungstext ist eindeutig:</w:t>
      </w:r>
    </w:p>
    <w:p>
      <w:pPr>
        <w:pStyle w:val="BlockText"/>
      </w:pPr>
      <w:r>
        <w:rPr>
          <w:iCs/>
          <w:i/>
        </w:rPr>
        <w:t xml:space="preserve">“</w:t>
      </w:r>
      <w:r>
        <w:rPr>
          <w:iCs/>
          <w:i/>
        </w:rPr>
        <w:t xml:space="preserve">Die KI-Plattform wird als Cloud-PaaS-Lösung auf der Azure Cloud der KVNO vom Auftragnehmer bereitgestellt und langfristig im Auftrag der KVNO betrieben.</w:t>
      </w:r>
      <w:r>
        <w:rPr>
          <w:iCs/>
          <w:i/>
        </w:rPr>
        <w:t xml:space="preserve">”</w:t>
      </w:r>
    </w:p>
    <w:p>
      <w:pPr>
        <w:pStyle w:val="FirstParagraph"/>
      </w:pPr>
      <w: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pStyle w:val="BodyText"/>
      </w:pPr>
      <w:r>
        <w:rPr>
          <w:bCs/>
          <w:b/>
        </w:rPr>
        <w:t xml:space="preserve">Was die Ausschreibung außerdem zeigt:</w:t>
      </w:r>
      <w:r>
        <w:t xml:space="preserve"> </w:t>
      </w:r>
      <w:r>
        <w:t xml:space="preserve">- Eignungskriterien verlangen</w:t>
      </w:r>
      <w:r>
        <w:t xml:space="preserve"> </w:t>
      </w:r>
      <w:r>
        <w:rPr>
          <w:bCs/>
          <w:b/>
        </w:rPr>
        <w:t xml:space="preserve">BSI C5 Typ 2-Testate</w:t>
      </w:r>
      <w:r>
        <w:t xml:space="preserve"> </w:t>
      </w:r>
      <w:r>
        <w:t xml:space="preserve">für Container-Orchestrierung und KI-Dienste — technische Sicherheit wird adressiert</w:t>
      </w:r>
      <w:r>
        <w:t xml:space="preserve"> </w:t>
      </w:r>
      <w:r>
        <w:t xml:space="preserve">- DSGVO-, BDSG-, EU-KI-VO- und SGB-V-Konformität ist explizite Anforderung</w:t>
      </w:r>
      <w:r>
        <w:t xml:space="preserve"> </w:t>
      </w:r>
      <w:r>
        <w:t xml:space="preserve">- Der</w:t>
      </w:r>
      <w:r>
        <w:t xml:space="preserve"> </w:t>
      </w:r>
      <w:r>
        <w:rPr>
          <w:bCs/>
          <w:b/>
        </w:rPr>
        <w:t xml:space="preserve">CLOUD Act</w:t>
      </w:r>
      <w:r>
        <w:t xml:space="preserve"> </w:t>
      </w:r>
      <w:r>
        <w:t xml:space="preserve">als Risikodimension taucht in der Ausschreibung nicht auf — strukturell nicht adressiert</w:t>
      </w:r>
      <w:r>
        <w:t xml:space="preserve"> </w:t>
      </w:r>
      <w:r>
        <w:t xml:space="preserve">- Mindestlaufzeit 36 Monate, zweimal verlängerbar um je 12 Monate → langfristige Azure-Bindung</w:t>
      </w:r>
    </w:p>
    <w:p>
      <w:pPr>
        <w:pStyle w:val="BodyText"/>
      </w:pPr>
      <w:r>
        <w:rPr>
          <w:bCs/>
          <w:b/>
        </w:rPr>
        <w:t xml:space="preserve">CLOUD-Act-Bewertung:</w:t>
      </w:r>
      <w:r>
        <w:t xml:space="preserve"> </w:t>
      </w:r>
      <w:r>
        <w:t xml:space="preserve">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pStyle w:val="BodyText"/>
      </w:pPr>
      <w:r>
        <w:rPr>
          <w:bCs/>
          <w:b/>
        </w:rPr>
        <w:t xml:space="preserve">Das strukturelle KV-Muster:</w:t>
      </w:r>
      <w:r>
        <w:t xml:space="preserve"> </w:t>
      </w:r>
      <w:r>
        <w:t xml:space="preserve">Als Körperschaften des öffentlichen Rechts sind KVen EU-ausschreibungspflichtig. Vergabekriterien wie</w:t>
      </w:r>
      <w:r>
        <w:t xml:space="preserve"> </w:t>
      </w:r>
      <w:r>
        <w:t xml:space="preserve">“</w:t>
      </w:r>
      <w:r>
        <w:t xml:space="preserve">2 vergleichbare Referenzprojekte mit Cloud-PaaS auf Azure</w:t>
      </w:r>
      <w:r>
        <w:t xml:space="preserve">”</w:t>
      </w:r>
      <w:r>
        <w:t xml:space="preserve"> </w:t>
      </w:r>
      <w:r>
        <w:t xml:space="preserve">schreiben Microsoft strukturell fest — nicht durch bösen Willen, sondern weil Azure der de-facto-Standard ist, gegen den Referenzen gemessen werden. Ein Umstieg würde einen aktiven Beschluss erfordern, Azure als Referenzplattform zu ersetzen.</w:t>
      </w:r>
    </w:p>
    <w:p>
      <w:r>
        <w:pict>
          <v:rect style="width:0;height:1.5pt" o:hralign="center" o:hrstd="t" o:hr="t"/>
        </w:pict>
      </w:r>
    </w:p>
    <w:bookmarkEnd w:id="114"/>
    <w:bookmarkStart w:id="115" w:name="Xff317efa28b8234599a958d25185703bc1cbfa1"/>
    <w:p>
      <w:pPr>
        <w:pStyle w:val="Heading3"/>
      </w:pPr>
      <w:r>
        <w:t xml:space="preserve">12.3 Eintrittspfad 3: MDK — Souveräne Branchenlösung auf EWERK-Infrastruktur (Positivbeispiel)</w:t>
      </w:r>
    </w:p>
    <w:p>
      <w:pPr>
        <w:pStyle w:val="FirstParagraph"/>
      </w:pPr>
      <w:r>
        <w:t xml:space="preserve">Die</w:t>
      </w:r>
      <w:r>
        <w:t xml:space="preserve"> </w:t>
      </w:r>
      <w:r>
        <w:rPr>
          <w:bCs/>
          <w:b/>
        </w:rPr>
        <w:t xml:space="preserve">MDK-Gemeinschaft</w:t>
      </w:r>
      <w:r>
        <w:t xml:space="preserve"> </w:t>
      </w:r>
      <w:r>
        <w:t xml:space="preserve">(15 Medizinische Dienste bundesweit, über 9.000 Mitarbeiter) entschied sich 2018 nach einem europaweiten Vergabeverfahren für ein Konsortium aus</w:t>
      </w:r>
      <w:r>
        <w:t xml:space="preserve"> </w:t>
      </w:r>
      <w:r>
        <w:rPr>
          <w:bCs/>
          <w:b/>
        </w:rPr>
        <w:t xml:space="preserve">HBSN AG</w:t>
      </w:r>
      <w:r>
        <w:t xml:space="preserve">,</w:t>
      </w:r>
      <w:r>
        <w:t xml:space="preserve"> </w:t>
      </w:r>
      <w:r>
        <w:rPr>
          <w:bCs/>
          <w:b/>
        </w:rPr>
        <w:t xml:space="preserve">EWERK RZ GmbH</w:t>
      </w:r>
      <w:r>
        <w:t xml:space="preserve"> </w:t>
      </w:r>
      <w:r>
        <w:t xml:space="preserve">(Leipzig) und</w:t>
      </w:r>
      <w:r>
        <w:t xml:space="preserve"> </w:t>
      </w:r>
      <w:r>
        <w:rPr>
          <w:bCs/>
          <w:b/>
        </w:rPr>
        <w:t xml:space="preserve">MOBIL ISC GmbH</w:t>
      </w:r>
      <w:r>
        <w:t xml:space="preserve"> </w:t>
      </w:r>
      <w:r>
        <w:t xml:space="preserve">für den Betrieb ihrer gemeinsamen Branchenlösung. [Quelle: zaronews.world, Pressemitteilung HBSN, Juni 2018]</w:t>
      </w:r>
    </w:p>
    <w:p>
      <w:pPr>
        <w:pStyle w:val="BodyText"/>
      </w:pPr>
      <w: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pStyle w:val="BodyText"/>
      </w:pPr>
      <w:r>
        <w:rPr>
          <w:bCs/>
          <w:b/>
        </w:rPr>
        <w:t xml:space="preserve">CLOUD-Act-Bewertung:</w:t>
      </w:r>
      <w:r>
        <w:t xml:space="preserve"> </w:t>
      </w:r>
      <w:r>
        <w:t xml:space="preserve">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r>
        <w:pict>
          <v:rect style="width:0;height:1.5pt" o:hralign="center" o:hrstd="t" o:hr="t"/>
        </w:pict>
      </w:r>
    </w:p>
    <w:bookmarkEnd w:id="115"/>
    <w:bookmarkStart w:id="116" w:name="X922c59709980fb0222480425b126726cebecdf5"/>
    <w:p>
      <w:pPr>
        <w:pStyle w:val="Heading3"/>
      </w:pPr>
      <w:r>
        <w:t xml:space="preserve">12.4 Eintrittspfad 4: KIS-Neuausschreibung — Charité und der Epic-Präzedenzfall</w:t>
      </w:r>
    </w:p>
    <w:p>
      <w:pPr>
        <w:pStyle w:val="FirstParagraph"/>
      </w:pPr>
      <w:r>
        <w:t xml:space="preserve">Die Charité (Berlin, 950.000 Patienten/Jahr, Europas größtes Universitätsklinikum) wählte im Dezember 2025</w:t>
      </w:r>
      <w:r>
        <w:t xml:space="preserve"> </w:t>
      </w:r>
      <w:r>
        <w:rPr>
          <w:bCs/>
          <w:b/>
        </w:rPr>
        <w:t xml:space="preserve">Epic Systems</w:t>
      </w:r>
      <w:r>
        <w:t xml:space="preserve"> </w:t>
      </w:r>
      <w:r>
        <w:t xml:space="preserve">(Verona, Wisconsin, US-Privatunternehmen) als KIS-Anbieter — 200 Mio. EUR über zehn Jahre, Implementierung bis Ende 2029. Der Auslöser war erzwungen: SAP kündigt IS-H 2027 ab (Verlängerung bis 2030 zu erhöhten Kosten). [Quelle: Charité Pressemitteilung Dezember 2025]</w:t>
      </w:r>
    </w:p>
    <w:p>
      <w:pPr>
        <w:pStyle w:val="BodyText"/>
      </w:pPr>
      <w: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pStyle w:val="BodyText"/>
      </w:pPr>
      <w:r>
        <w:rPr>
          <w:bCs/>
          <w:b/>
        </w:rPr>
        <w:t xml:space="preserve">Das Gegenbeispiel — Charité × Schwarz Digits:</w:t>
      </w:r>
      <w:r>
        <w:t xml:space="preserve"> </w:t>
      </w:r>
      <w:r>
        <w:t xml:space="preserve">Dieselbe Charité gründete im März 2026 mit Schwarz Digits (der Digitalsparte der Schwarz Gruppe, zu der auch STACKIT gehört) die</w:t>
      </w:r>
      <w:r>
        <w:t xml:space="preserve"> </w:t>
      </w:r>
      <w:r>
        <w:t xml:space="preserve">“</w:t>
      </w:r>
      <w:r>
        <w:t xml:space="preserve">Schwarz Charité Health Data GmbH</w:t>
      </w:r>
      <w:r>
        <w:t xml:space="preserve">”</w:t>
      </w:r>
      <w:r>
        <w:t xml:space="preserve">.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r>
        <w:pict>
          <v:rect style="width:0;height:1.5pt" o:hralign="center" o:hrstd="t" o:hr="t"/>
        </w:pict>
      </w:r>
    </w:p>
    <w:bookmarkEnd w:id="116"/>
    <w:bookmarkStart w:id="117" w:name="Xad388003611c14652ecea19eb4a41e013d931bc"/>
    <w:p>
      <w:pPr>
        <w:pStyle w:val="Heading3"/>
      </w:pPr>
      <w:r>
        <w:t xml:space="preserve">12.5 Eintrittspfad 5: US-Konzernübernahmen und SaaS-Plattformen</w:t>
      </w:r>
    </w:p>
    <w:p>
      <w:pPr>
        <w:pStyle w:val="FirstParagraph"/>
      </w:pPr>
      <w:r>
        <w:rPr>
          <w:bCs/>
          <w:b/>
        </w:rPr>
        <w:t xml:space="preserve">DAVASO/IQVIA — Rezeptabrechnung unter US-Jurisdiktion:</w:t>
      </w:r>
      <w:r>
        <w:t xml:space="preserve"> </w:t>
      </w:r>
      <w:r>
        <w:t xml:space="preserve">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w:t>
      </w:r>
      <w:r>
        <w:t xml:space="preserve"> </w:t>
      </w:r>
      <w:r>
        <w:rPr>
          <w:iCs/>
          <w:i/>
        </w:rPr>
        <w:t xml:space="preserve">kommerzieller</w:t>
      </w:r>
      <w:r>
        <w:t xml:space="preserve"> </w:t>
      </w:r>
      <w:r>
        <w:t xml:space="preserve">Weiternutzung — nicht vor US-Behördenzugriff. Seit 2025: IQVIA Health System Services (IQVIA HSS). [Quelle: Apotheke Adhoc, März 2026]</w:t>
      </w:r>
    </w:p>
    <w:p>
      <w:pPr>
        <w:pStyle w:val="BodyText"/>
      </w:pPr>
      <w:r>
        <w:rPr>
          <w:bCs/>
          <w:b/>
        </w:rPr>
        <w:t xml:space="preserve">Doctolib — 20 Millionen Nutzer, AWS-Infrastruktur:</w:t>
      </w:r>
      <w:r>
        <w:t xml:space="preserve"> </w:t>
      </w:r>
      <w:r>
        <w:t xml:space="preserve">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r>
        <w:pict>
          <v:rect style="width:0;height:1.5pt" o:hralign="center" o:hrstd="t" o:hr="t"/>
        </w:pict>
      </w:r>
    </w:p>
    <w:bookmarkEnd w:id="117"/>
    <w:bookmarkStart w:id="118" w:name="Xd9f58386c2f6d8382f37d712bc893c8645db770"/>
    <w:p>
      <w:pPr>
        <w:pStyle w:val="Heading3"/>
      </w:pPr>
      <w:r>
        <w:t xml:space="preserve">12.6 Forschungsinfrastruktur — souverän wo möglich, heterogen in der Breite</w:t>
      </w:r>
    </w:p>
    <w:p>
      <w:pPr>
        <w:pStyle w:val="FirstParagraph"/>
      </w:pPr>
      <w:r>
        <w:rPr>
          <w:bCs/>
          <w:b/>
        </w:rPr>
        <w:t xml:space="preserve">FDZ Gesundheit (BfArM)</w:t>
      </w:r>
      <w:r>
        <w:t xml:space="preserve"> </w:t>
      </w:r>
      <w:r>
        <w:t xml:space="preserve">—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pStyle w:val="BodyText"/>
      </w:pPr>
      <w:r>
        <w:rPr>
          <w:bCs/>
          <w:b/>
        </w:rPr>
        <w:t xml:space="preserve">MII/DIZ — föderale Heterogenität:</w:t>
      </w:r>
      <w:r>
        <w:t xml:space="preserve"> </w:t>
      </w:r>
      <w:r>
        <w:t xml:space="preserve">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r>
        <w:pict>
          <v:rect style="width:0;height:1.5pt" o:hralign="center" o:hrstd="t" o:hr="t"/>
        </w:pict>
      </w:r>
    </w:p>
    <w:bookmarkEnd w:id="118"/>
    <w:bookmarkStart w:id="119" w:name="X685f8f82616465701dabcfd6eeb4a1ee200f9eb"/>
    <w:p>
      <w:pPr>
        <w:pStyle w:val="Heading3"/>
      </w:pPr>
      <w:r>
        <w:t xml:space="preserve">12.7 KIS-Markt: Überblick nach SAP IS-H-Abkündigung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Anbieter</w:t>
            </w:r>
          </w:p>
        </w:tc>
        <w:tc>
          <w:tcPr/>
          <w:p>
            <w:pPr>
              <w:pStyle w:val="Compact"/>
              <w:jc w:val="left"/>
            </w:pPr>
            <w:r>
              <w:t xml:space="preserve">Eigentümer</w:t>
            </w:r>
          </w:p>
        </w:tc>
        <w:tc>
          <w:tcPr/>
          <w:p>
            <w:pPr>
              <w:pStyle w:val="Compact"/>
              <w:jc w:val="left"/>
            </w:pPr>
            <w:r>
              <w:t xml:space="preserve">CLOUD-Act</w:t>
            </w:r>
          </w:p>
        </w:tc>
        <w:tc>
          <w:tcPr/>
          <w:p>
            <w:pPr>
              <w:pStyle w:val="Compact"/>
              <w:jc w:val="left"/>
            </w:pPr>
            <w:r>
              <w:t xml:space="preserve">Installationen DE</w:t>
            </w:r>
          </w:p>
        </w:tc>
        <w:tc>
          <w:tcPr/>
          <w:p>
            <w:pPr>
              <w:pStyle w:val="Compact"/>
              <w:jc w:val="left"/>
            </w:pPr>
            <w:r>
              <w:t xml:space="preserve">Segment</w:t>
            </w:r>
          </w:p>
        </w:tc>
      </w:tr>
      <w:tr>
        <w:tc>
          <w:tcPr/>
          <w:p>
            <w:pPr>
              <w:pStyle w:val="Compact"/>
              <w:jc w:val="left"/>
            </w:pPr>
            <w:r>
              <w:rPr>
                <w:bCs/>
                <w:b/>
              </w:rPr>
              <w:t xml:space="preserve">Dedalus/Orbis</w:t>
            </w:r>
          </w:p>
        </w:tc>
        <w:tc>
          <w:tcPr/>
          <w:p>
            <w:pPr>
              <w:pStyle w:val="Compact"/>
              <w:jc w:val="left"/>
            </w:pPr>
            <w:r>
              <w:t xml:space="preserve">IT — Ardian PE (FR)</w:t>
            </w:r>
          </w:p>
        </w:tc>
        <w:tc>
          <w:tcPr/>
          <w:p>
            <w:pPr>
              <w:pStyle w:val="Compact"/>
              <w:jc w:val="left"/>
            </w:pPr>
            <w:r>
              <w:t xml:space="preserve">🟢 EU-souverän</w:t>
            </w:r>
          </w:p>
        </w:tc>
        <w:tc>
          <w:tcPr/>
          <w:p>
            <w:pPr>
              <w:pStyle w:val="Compact"/>
              <w:jc w:val="left"/>
            </w:pPr>
            <w:r>
              <w:t xml:space="preserve">821</w:t>
            </w:r>
          </w:p>
        </w:tc>
        <w:tc>
          <w:tcPr/>
          <w:p>
            <w:pPr>
              <w:pStyle w:val="Compact"/>
              <w:jc w:val="left"/>
            </w:pPr>
            <w:r>
              <w:t xml:space="preserve">Akut (Marktführer)</w:t>
            </w:r>
          </w:p>
        </w:tc>
      </w:tr>
      <w:tr>
        <w:tc>
          <w:tcPr/>
          <w:p>
            <w:pPr>
              <w:pStyle w:val="Compact"/>
              <w:jc w:val="left"/>
            </w:pPr>
            <w:r>
              <w:rPr>
                <w:bCs/>
                <w:b/>
              </w:rPr>
              <w:t xml:space="preserve">Oracle Cerner i.s.h.med</w:t>
            </w:r>
          </w:p>
        </w:tc>
        <w:tc>
          <w:tcPr/>
          <w:p>
            <w:pPr>
              <w:pStyle w:val="Compact"/>
              <w:jc w:val="left"/>
            </w:pPr>
            <w:r>
              <w:t xml:space="preserve">NYSE: ORCL (US)</w:t>
            </w:r>
          </w:p>
        </w:tc>
        <w:tc>
          <w:tcPr/>
          <w:p>
            <w:pPr>
              <w:pStyle w:val="Compact"/>
              <w:jc w:val="left"/>
            </w:pPr>
            <w:r>
              <w:t xml:space="preserve">🔴 Kat. A</w:t>
            </w:r>
          </w:p>
        </w:tc>
        <w:tc>
          <w:tcPr/>
          <w:p>
            <w:pPr>
              <w:pStyle w:val="Compact"/>
              <w:jc w:val="left"/>
            </w:pPr>
            <w:r>
              <w:t xml:space="preserve">~250</w:t>
            </w:r>
          </w:p>
        </w:tc>
        <w:tc>
          <w:tcPr/>
          <w:p>
            <w:pPr>
              <w:pStyle w:val="Compact"/>
              <w:jc w:val="left"/>
            </w:pPr>
            <w:r>
              <w:t xml:space="preserve">Akut (SAP-gebunden)</w:t>
            </w:r>
          </w:p>
        </w:tc>
      </w:tr>
      <w:tr>
        <w:tc>
          <w:tcPr/>
          <w:p>
            <w:pPr>
              <w:pStyle w:val="Compact"/>
              <w:jc w:val="left"/>
            </w:pPr>
            <w:r>
              <w:rPr>
                <w:bCs/>
                <w:b/>
              </w:rPr>
              <w:t xml:space="preserve">NEXUS AG</w:t>
            </w:r>
          </w:p>
        </w:tc>
        <w:tc>
          <w:tcPr/>
          <w:p>
            <w:pPr>
              <w:pStyle w:val="Compact"/>
              <w:jc w:val="left"/>
            </w:pPr>
            <w:r>
              <w:t xml:space="preserve">DE (börsennotiert)</w:t>
            </w:r>
          </w:p>
        </w:tc>
        <w:tc>
          <w:tcPr/>
          <w:p>
            <w:pPr>
              <w:pStyle w:val="Compact"/>
              <w:jc w:val="left"/>
            </w:pPr>
            <w:r>
              <w:t xml:space="preserve">🟢 EU-souverän</w:t>
            </w:r>
          </w:p>
        </w:tc>
        <w:tc>
          <w:tcPr/>
          <w:p>
            <w:pPr>
              <w:pStyle w:val="Compact"/>
              <w:jc w:val="left"/>
            </w:pPr>
            <w:r>
              <w:t xml:space="preserve">326</w:t>
            </w:r>
          </w:p>
        </w:tc>
        <w:tc>
          <w:tcPr/>
          <w:p>
            <w:pPr>
              <w:pStyle w:val="Compact"/>
              <w:jc w:val="left"/>
            </w:pPr>
            <w:r>
              <w:t xml:space="preserve">Akut/Psychiatrie</w:t>
            </w:r>
          </w:p>
        </w:tc>
      </w:tr>
      <w:tr>
        <w:tc>
          <w:tcPr/>
          <w:p>
            <w:pPr>
              <w:pStyle w:val="Compact"/>
              <w:jc w:val="left"/>
            </w:pPr>
            <w:r>
              <w:rPr>
                <w:bCs/>
                <w:b/>
              </w:rPr>
              <w:t xml:space="preserve">CGM Clinical</w:t>
            </w:r>
          </w:p>
        </w:tc>
        <w:tc>
          <w:tcPr/>
          <w:p>
            <w:pPr>
              <w:pStyle w:val="Compact"/>
              <w:jc w:val="left"/>
            </w:pPr>
            <w:r>
              <w:t xml:space="preserve">DE (CVC-PE 28 %)</w:t>
            </w:r>
          </w:p>
        </w:tc>
        <w:tc>
          <w:tcPr/>
          <w:p>
            <w:pPr>
              <w:pStyle w:val="Compact"/>
              <w:jc w:val="left"/>
            </w:pPr>
            <w:r>
              <w:t xml:space="preserve">🟡 PE-Vorbehalt</w:t>
            </w:r>
          </w:p>
        </w:tc>
        <w:tc>
          <w:tcPr/>
          <w:p>
            <w:pPr>
              <w:pStyle w:val="Compact"/>
              <w:jc w:val="left"/>
            </w:pPr>
            <w:r>
              <w:t xml:space="preserve">~350 Akut</w:t>
            </w:r>
          </w:p>
        </w:tc>
        <w:tc>
          <w:tcPr/>
          <w:p>
            <w:pPr>
              <w:pStyle w:val="Compact"/>
              <w:jc w:val="left"/>
            </w:pPr>
            <w:r>
              <w:t xml:space="preserve">Akut + Reha ~900 ges.</w:t>
            </w:r>
          </w:p>
        </w:tc>
      </w:tr>
      <w:tr>
        <w:tc>
          <w:tcPr/>
          <w:p>
            <w:pPr>
              <w:pStyle w:val="Compact"/>
              <w:jc w:val="left"/>
            </w:pPr>
            <w:r>
              <w:rPr>
                <w:bCs/>
                <w:b/>
              </w:rPr>
              <w:t xml:space="preserve">Meierhofer M-KIS</w:t>
            </w:r>
          </w:p>
        </w:tc>
        <w:tc>
          <w:tcPr/>
          <w:p>
            <w:pPr>
              <w:pStyle w:val="Compact"/>
              <w:jc w:val="left"/>
            </w:pPr>
            <w:r>
              <w:t xml:space="preserve">DE/AT privat</w:t>
            </w:r>
          </w:p>
        </w:tc>
        <w:tc>
          <w:tcPr/>
          <w:p>
            <w:pPr>
              <w:pStyle w:val="Compact"/>
              <w:jc w:val="left"/>
            </w:pPr>
            <w:r>
              <w:t xml:space="preserve">🟢 EU-souverän</w:t>
            </w:r>
          </w:p>
        </w:tc>
        <w:tc>
          <w:tcPr/>
          <w:p>
            <w:pPr>
              <w:pStyle w:val="Compact"/>
              <w:jc w:val="left"/>
            </w:pPr>
            <w:r>
              <w:t xml:space="preserve">~260 (DACH)</w:t>
            </w:r>
          </w:p>
        </w:tc>
        <w:tc>
          <w:tcPr/>
          <w:p>
            <w:pPr>
              <w:pStyle w:val="Compact"/>
              <w:jc w:val="left"/>
            </w:pPr>
            <w:r>
              <w:t xml:space="preserve">Akut + Reha</w:t>
            </w:r>
          </w:p>
        </w:tc>
      </w:tr>
      <w:tr>
        <w:tc>
          <w:tcPr/>
          <w:p>
            <w:pPr>
              <w:pStyle w:val="Compact"/>
              <w:jc w:val="left"/>
            </w:pPr>
            <w:r>
              <w:rPr>
                <w:bCs/>
                <w:b/>
              </w:rPr>
              <w:t xml:space="preserve">iMedOne (Telekom)</w:t>
            </w:r>
          </w:p>
        </w:tc>
        <w:tc>
          <w:tcPr/>
          <w:p>
            <w:pPr>
              <w:pStyle w:val="Compact"/>
              <w:jc w:val="left"/>
            </w:pPr>
            <w:r>
              <w:t xml:space="preserve">DAX: DTE / T-Systems (C — Konzernhebel)</w:t>
            </w:r>
          </w:p>
        </w:tc>
        <w:tc>
          <w:tcPr/>
          <w:p>
            <w:pPr>
              <w:pStyle w:val="Compact"/>
              <w:jc w:val="left"/>
            </w:pPr>
            <w:r>
              <w:t xml:space="preserve">🟡 Strukturell</w:t>
            </w:r>
          </w:p>
        </w:tc>
        <w:tc>
          <w:tcPr/>
          <w:p>
            <w:pPr>
              <w:pStyle w:val="Compact"/>
              <w:jc w:val="left"/>
            </w:pPr>
            <w:r>
              <w:t xml:space="preserve">~240</w:t>
            </w:r>
          </w:p>
        </w:tc>
        <w:tc>
          <w:tcPr/>
          <w:p>
            <w:pPr>
              <w:pStyle w:val="Compact"/>
              <w:jc w:val="left"/>
            </w:pPr>
            <w:r>
              <w:t xml:space="preserve">Akut</w:t>
            </w:r>
          </w:p>
        </w:tc>
      </w:tr>
      <w:tr>
        <w:tc>
          <w:tcPr/>
          <w:p>
            <w:pPr>
              <w:pStyle w:val="Compact"/>
              <w:jc w:val="left"/>
            </w:pPr>
            <w:r>
              <w:rPr>
                <w:bCs/>
                <w:b/>
              </w:rPr>
              <w:t xml:space="preserve">Epic</w:t>
            </w:r>
          </w:p>
        </w:tc>
        <w:tc>
          <w:tcPr/>
          <w:p>
            <w:pPr>
              <w:pStyle w:val="Compact"/>
              <w:jc w:val="left"/>
            </w:pPr>
            <w:r>
              <w:t xml:space="preserve">US (privat)</w:t>
            </w:r>
          </w:p>
        </w:tc>
        <w:tc>
          <w:tcPr/>
          <w:p>
            <w:pPr>
              <w:pStyle w:val="Compact"/>
              <w:jc w:val="left"/>
            </w:pPr>
            <w:r>
              <w:t xml:space="preserve">🔴 Kat. A</w:t>
            </w:r>
          </w:p>
        </w:tc>
        <w:tc>
          <w:tcPr/>
          <w:p>
            <w:pPr>
              <w:pStyle w:val="Compact"/>
              <w:jc w:val="left"/>
            </w:pPr>
            <w:r>
              <w:t xml:space="preserve">1 (Charité ab 2027)</w:t>
            </w:r>
          </w:p>
        </w:tc>
        <w:tc>
          <w:tcPr/>
          <w:p>
            <w:pPr>
              <w:pStyle w:val="Compact"/>
              <w:jc w:val="left"/>
            </w:pPr>
            <w:r>
              <w:t xml:space="preserve">Akut — im Aufbau</w:t>
            </w:r>
          </w:p>
        </w:tc>
      </w:tr>
      <w:tr>
        <w:tc>
          <w:tcPr/>
          <w:p>
            <w:pPr>
              <w:pStyle w:val="Compact"/>
              <w:jc w:val="left"/>
            </w:pPr>
            <w:r>
              <w:rPr>
                <w:bCs/>
                <w:b/>
              </w:rPr>
              <w:t xml:space="preserve">Mesalvo</w:t>
            </w:r>
          </w:p>
        </w:tc>
        <w:tc>
          <w:tcPr/>
          <w:p>
            <w:pPr>
              <w:pStyle w:val="Compact"/>
              <w:jc w:val="left"/>
            </w:pPr>
            <w:r>
              <w:t xml:space="preserve">DE privat</w:t>
            </w:r>
          </w:p>
        </w:tc>
        <w:tc>
          <w:tcPr/>
          <w:p>
            <w:pPr>
              <w:pStyle w:val="Compact"/>
              <w:jc w:val="left"/>
            </w:pPr>
            <w:r>
              <w:t xml:space="preserve">🟢 EU-souverän</w:t>
            </w:r>
          </w:p>
        </w:tc>
        <w:tc>
          <w:tcPr/>
          <w:p>
            <w:pPr>
              <w:pStyle w:val="Compact"/>
              <w:jc w:val="left"/>
            </w:pPr>
            <w:r>
              <w:t xml:space="preserve">~100–150</w:t>
            </w:r>
          </w:p>
        </w:tc>
        <w:tc>
          <w:tcPr/>
          <w:p>
            <w:pPr>
              <w:pStyle w:val="Compact"/>
              <w:jc w:val="left"/>
            </w:pPr>
            <w:r>
              <w:t xml:space="preserve">Akut, wachsend</w:t>
            </w:r>
          </w:p>
        </w:tc>
      </w:tr>
    </w:tbl>
    <w:p>
      <w:r>
        <w:pict>
          <v:rect style="width:0;height:1.5pt" o:hralign="center" o:hrstd="t" o:hr="t"/>
        </w:pict>
      </w:r>
    </w:p>
    <w:bookmarkEnd w:id="119"/>
    <w:bookmarkStart w:id="120" w:name="X631064c0009d2fcdcdd25dd0b0e614972795f05"/>
    <w:p>
      <w:pPr>
        <w:pStyle w:val="Heading3"/>
      </w:pPr>
      <w:r>
        <w:t xml:space="preserve">12.8 Eintrittspfad 6: Telematikinfrastruktur — souverän in der Governance, exponiert im Betrieb</w:t>
      </w:r>
    </w:p>
    <w:p>
      <w:pPr>
        <w:pStyle w:val="FirstParagraph"/>
      </w:pPr>
      <w: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pStyle w:val="BodyText"/>
      </w:pPr>
      <w:r>
        <w:t xml:space="preserve">Die schlechte: Im operativen Betrieb der TI sind US-Unternehmen tief verankert.</w:t>
      </w:r>
    </w:p>
    <w:p>
      <w:pPr>
        <w:pStyle w:val="BodyText"/>
      </w:pPr>
      <w:r>
        <w:rPr>
          <w:bCs/>
          <w:b/>
        </w:rPr>
        <w:t xml:space="preserve">IBM betreibt zwei Kerndienste.</w:t>
      </w:r>
      <w:r>
        <w:t xml:space="preserve"> </w:t>
      </w:r>
      <w:r>
        <w:t xml:space="preserve">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w:t>
      </w:r>
      <w:r>
        <w:t xml:space="preserve"> </w:t>
      </w:r>
      <w:r>
        <w:t xml:space="preserve">“</w:t>
      </w:r>
      <w:r>
        <w:t xml:space="preserve">nicht auslesen</w:t>
      </w:r>
      <w:r>
        <w:t xml:space="preserve">”</w:t>
      </w:r>
      <w:r>
        <w:t xml:space="preserve">. Das ist für Inhaltsdaten korrekt — aber CLOUD Act erfasst auch Metadaten, Verbindungsprotokolle und Systemzugriffe, nicht nur Klartextinhalte. [Quelle: Apotheke Wirtschaft, Heft 16/2025]</w:t>
      </w:r>
    </w:p>
    <w:p>
      <w:pPr>
        <w:pStyle w:val="BodyText"/>
      </w:pPr>
      <w:r>
        <w:rPr>
          <w:bCs/>
          <w:b/>
        </w:rPr>
        <w:t xml:space="preserve">Arvato Systems (Bertelsmann) trägt die Sicherheitsinfrastruktur.</w:t>
      </w:r>
      <w:r>
        <w:t xml:space="preserve"> </w:t>
      </w:r>
      <w:r>
        <w:t xml:space="preserve">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pStyle w:val="BodyText"/>
      </w:pPr>
      <w:r>
        <w:rPr>
          <w:bCs/>
          <w:b/>
        </w:rPr>
        <w:t xml:space="preserve">TI 2.0 öffnet neue Einfallstore.</w:t>
      </w:r>
      <w:r>
        <w:t xml:space="preserve"> </w:t>
      </w:r>
      <w:r>
        <w:t xml:space="preserve">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§18.1 vertieft.</w:t>
      </w:r>
    </w:p>
    <w:p>
      <w:pPr>
        <w:pStyle w:val="BodyText"/>
      </w:pPr>
      <w:r>
        <w:rPr>
          <w:bCs/>
          <w:b/>
        </w:rPr>
        <w:t xml:space="preserve">Risikomatrix TI: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TI-Komponente</w:t>
            </w:r>
          </w:p>
        </w:tc>
        <w:tc>
          <w:tcPr/>
          <w:p>
            <w:pPr>
              <w:pStyle w:val="Compact"/>
              <w:jc w:val="left"/>
            </w:pPr>
            <w:r>
              <w:t xml:space="preserve">Betreiber</w:t>
            </w:r>
          </w:p>
        </w:tc>
        <w:tc>
          <w:tcPr/>
          <w:p>
            <w:pPr>
              <w:pStyle w:val="Compact"/>
              <w:jc w:val="left"/>
            </w:pPr>
            <w:r>
              <w:t xml:space="preserve">CLOUD-Act-Risiko</w:t>
            </w:r>
          </w:p>
        </w:tc>
      </w:tr>
      <w:tr>
        <w:tc>
          <w:tcPr/>
          <w:p>
            <w:pPr>
              <w:pStyle w:val="Compact"/>
              <w:jc w:val="left"/>
            </w:pPr>
            <w:r>
              <w:t xml:space="preserve">Regulierung / Governance</w:t>
            </w:r>
          </w:p>
        </w:tc>
        <w:tc>
          <w:tcPr/>
          <w:p>
            <w:pPr>
              <w:pStyle w:val="Compact"/>
              <w:jc w:val="left"/>
            </w:pPr>
            <w:r>
              <w:t xml:space="preserve">gematik GmbH (BMG 51 %)</w:t>
            </w:r>
          </w:p>
        </w:tc>
        <w:tc>
          <w:tcPr/>
          <w:p>
            <w:pPr>
              <w:pStyle w:val="Compact"/>
              <w:jc w:val="left"/>
            </w:pPr>
            <w:r>
              <w:t xml:space="preserve">🟢 Keines</w:t>
            </w:r>
          </w:p>
        </w:tc>
      </w:tr>
      <w:tr>
        <w:tc>
          <w:tcPr/>
          <w:p>
            <w:pPr>
              <w:pStyle w:val="Compact"/>
              <w:jc w:val="left"/>
            </w:pPr>
            <w:r>
              <w:t xml:space="preserve">Rezeptserver-Fachdienst</w:t>
            </w:r>
          </w:p>
        </w:tc>
        <w:tc>
          <w:tcPr/>
          <w:p>
            <w:pPr>
              <w:pStyle w:val="Compact"/>
              <w:jc w:val="left"/>
            </w:pPr>
            <w:r>
              <w:t xml:space="preserve">IBM (US)</w:t>
            </w:r>
          </w:p>
        </w:tc>
        <w:tc>
          <w:tcPr/>
          <w:p>
            <w:pPr>
              <w:pStyle w:val="Compact"/>
              <w:jc w:val="left"/>
            </w:pPr>
            <w:r>
              <w:t xml:space="preserve">🔴 Real</w:t>
            </w:r>
          </w:p>
        </w:tc>
      </w:tr>
      <w:tr>
        <w:tc>
          <w:tcPr/>
          <w:p>
            <w:pPr>
              <w:pStyle w:val="Compact"/>
              <w:jc w:val="left"/>
            </w:pPr>
            <w:r>
              <w:t xml:space="preserve">Identity Provider</w:t>
            </w:r>
          </w:p>
        </w:tc>
        <w:tc>
          <w:tcPr/>
          <w:p>
            <w:pPr>
              <w:pStyle w:val="Compact"/>
              <w:jc w:val="left"/>
            </w:pPr>
            <w:r>
              <w:t xml:space="preserve">IBM (US, seit Dez. 2023)</w:t>
            </w:r>
          </w:p>
        </w:tc>
        <w:tc>
          <w:tcPr/>
          <w:p>
            <w:pPr>
              <w:pStyle w:val="Compact"/>
              <w:jc w:val="left"/>
            </w:pPr>
            <w:r>
              <w:t xml:space="preserve">🔴 Real</w:t>
            </w:r>
          </w:p>
        </w:tc>
      </w:tr>
      <w:tr>
        <w:tc>
          <w:tcPr/>
          <w:p>
            <w:pPr>
              <w:pStyle w:val="Compact"/>
              <w:jc w:val="left"/>
            </w:pPr>
            <w:r>
              <w:t xml:space="preserve">Verzeichnisdienst / KIM</w:t>
            </w:r>
          </w:p>
        </w:tc>
        <w:tc>
          <w:tcPr/>
          <w:p>
            <w:pPr>
              <w:pStyle w:val="Compact"/>
              <w:jc w:val="left"/>
            </w:pPr>
            <w:r>
              <w:t xml:space="preserve">Arvato Systems (DE/Bertelsmann)</w:t>
            </w:r>
          </w:p>
        </w:tc>
        <w:tc>
          <w:tcPr/>
          <w:p>
            <w:pPr>
              <w:pStyle w:val="Compact"/>
              <w:jc w:val="left"/>
            </w:pPr>
            <w:r>
              <w:t xml:space="preserve">🟡 Gering–mittel</w:t>
            </w:r>
          </w:p>
        </w:tc>
      </w:tr>
      <w:tr>
        <w:tc>
          <w:tcPr/>
          <w:p>
            <w:pPr>
              <w:pStyle w:val="Compact"/>
              <w:jc w:val="left"/>
            </w:pPr>
            <w:r>
              <w:t xml:space="preserve">Datenverschlüsselung</w:t>
            </w:r>
          </w:p>
        </w:tc>
        <w:tc>
          <w:tcPr/>
          <w:p>
            <w:pPr>
              <w:pStyle w:val="Compact"/>
              <w:jc w:val="left"/>
            </w:pPr>
            <w:r>
              <w:t xml:space="preserve">Ende-zu-Ende</w:t>
            </w:r>
          </w:p>
        </w:tc>
        <w:tc>
          <w:tcPr/>
          <w:p>
            <w:pPr>
              <w:pStyle w:val="Compact"/>
              <w:jc w:val="left"/>
            </w:pPr>
            <w:r>
              <w:t xml:space="preserve">🟢 Strukturell geschützt</w:t>
            </w:r>
          </w:p>
        </w:tc>
      </w:tr>
      <w:tr>
        <w:tc>
          <w:tcPr/>
          <w:p>
            <w:pPr>
              <w:pStyle w:val="Compact"/>
              <w:jc w:val="left"/>
            </w:pPr>
            <w:r>
              <w:t xml:space="preserve">TI-Gateway-Betreiber (TI 2.0)</w:t>
            </w:r>
          </w:p>
        </w:tc>
        <w:tc>
          <w:tcPr/>
          <w:p>
            <w:pPr>
              <w:pStyle w:val="Compact"/>
              <w:jc w:val="left"/>
            </w:pPr>
            <w:r>
              <w:t xml:space="preserve">Noch offen</w:t>
            </w:r>
          </w:p>
        </w:tc>
        <w:tc>
          <w:tcPr/>
          <w:p>
            <w:pPr>
              <w:pStyle w:val="Compact"/>
              <w:jc w:val="left"/>
            </w:pPr>
            <w:r>
              <w:t xml:space="preserve">🟡 Regulatorisch ungeklärt</w:t>
            </w:r>
          </w:p>
        </w:tc>
      </w:tr>
    </w:tbl>
    <w:p>
      <w:pPr>
        <w:pStyle w:val="BodyText"/>
      </w:pPr>
      <w:r>
        <w:rPr>
          <w:bCs/>
          <w:b/>
        </w:rPr>
        <w:t xml:space="preserve">Fazit:</w:t>
      </w:r>
      <w:r>
        <w:t xml:space="preserve"> </w:t>
      </w:r>
      <w:r>
        <w:t xml:space="preserve">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r>
        <w:pict>
          <v:rect style="width:0;height:1.5pt" o:hralign="center" o:hrstd="t" o:hr="t"/>
        </w:pict>
      </w:r>
    </w:p>
    <w:bookmarkEnd w:id="120"/>
    <w:bookmarkStart w:id="121" w:name="sechs-eintrittspfade-zusammenfassung"/>
    <w:p>
      <w:pPr>
        <w:pStyle w:val="Heading3"/>
      </w:pPr>
      <w:r>
        <w:t xml:space="preserve">12.9 Sechs Eintrittspfade — Zusammenfassung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Pfad</w:t>
            </w:r>
          </w:p>
        </w:tc>
        <w:tc>
          <w:tcPr/>
          <w:p>
            <w:pPr>
              <w:pStyle w:val="Compact"/>
              <w:jc w:val="left"/>
            </w:pPr>
            <w:r>
              <w:t xml:space="preserve">Mechanismus</w:t>
            </w:r>
          </w:p>
        </w:tc>
        <w:tc>
          <w:tcPr/>
          <w:p>
            <w:pPr>
              <w:pStyle w:val="Compact"/>
              <w:jc w:val="left"/>
            </w:pPr>
            <w:r>
              <w:t xml:space="preserve">Lösungsansatz</w:t>
            </w:r>
          </w:p>
        </w:tc>
      </w:tr>
      <w:tr>
        <w:tc>
          <w:tcPr/>
          <w:p>
            <w:pPr>
              <w:pStyle w:val="Compact"/>
              <w:jc w:val="left"/>
            </w:pPr>
            <w:r>
              <w:rPr>
                <w:bCs/>
                <w:b/>
              </w:rPr>
              <w:t xml:space="preserve">GKV-Outsourcing</w:t>
            </w:r>
          </w:p>
        </w:tc>
        <w:tc>
          <w:tcPr/>
          <w:p>
            <w:pPr>
              <w:pStyle w:val="Compact"/>
              <w:jc w:val="left"/>
            </w:pPr>
            <w:r>
              <w:t xml:space="preserve">RZ migriert zu Intermediär → US-Hyperscaler</w:t>
            </w:r>
          </w:p>
        </w:tc>
        <w:tc>
          <w:tcPr/>
          <w:p>
            <w:pPr>
              <w:pStyle w:val="Compact"/>
              <w:jc w:val="left"/>
            </w:pPr>
            <w:r>
              <w:t xml:space="preserve">EU-souveräne Cloud im AVV vorschreiben (OVHcloud-Modell)</w:t>
            </w:r>
          </w:p>
        </w:tc>
      </w:tr>
      <w:tr>
        <w:tc>
          <w:tcPr/>
          <w:p>
            <w:pPr>
              <w:pStyle w:val="Compact"/>
              <w:jc w:val="left"/>
            </w:pPr>
            <w:r>
              <w:rPr>
                <w:bCs/>
                <w:b/>
              </w:rPr>
              <w:t xml:space="preserve">KV-IT-Abhängigkeit</w:t>
            </w:r>
          </w:p>
        </w:tc>
        <w:tc>
          <w:tcPr/>
          <w:p>
            <w:pPr>
              <w:pStyle w:val="Compact"/>
              <w:jc w:val="left"/>
            </w:pPr>
            <w:r>
              <w:t xml:space="preserve">KV-Gemeinschaftsgesellschaft auf M365/Azure</w:t>
            </w:r>
          </w:p>
        </w:tc>
        <w:tc>
          <w:tcPr/>
          <w:p>
            <w:pPr>
              <w:pStyle w:val="Compact"/>
              <w:jc w:val="left"/>
            </w:pPr>
            <w:r>
              <w:t xml:space="preserve">Ausschreibungsgestaltung mit CLOUD-Act-Kriterium</w:t>
            </w:r>
          </w:p>
        </w:tc>
      </w:tr>
      <w:tr>
        <w:tc>
          <w:tcPr/>
          <w:p>
            <w:pPr>
              <w:pStyle w:val="Compact"/>
              <w:jc w:val="left"/>
            </w:pPr>
            <w:r>
              <w:rPr>
                <w:bCs/>
                <w:b/>
              </w:rPr>
              <w:t xml:space="preserve">KIS-Neuausschreibung</w:t>
            </w:r>
          </w:p>
        </w:tc>
        <w:tc>
          <w:tcPr/>
          <w:p>
            <w:pPr>
              <w:pStyle w:val="Compact"/>
              <w:jc w:val="left"/>
            </w:pPr>
            <w:r>
              <w:t xml:space="preserve">IS-H-Abkündigung → Epic/OCI-Migration</w:t>
            </w:r>
          </w:p>
        </w:tc>
        <w:tc>
          <w:tcPr/>
          <w:p>
            <w:pPr>
              <w:pStyle w:val="Compact"/>
              <w:jc w:val="left"/>
            </w:pPr>
            <w:r>
              <w:t xml:space="preserve">Dedalus/NEXUS als EU-Alternativen stärken</w:t>
            </w:r>
          </w:p>
        </w:tc>
      </w:tr>
      <w:tr>
        <w:tc>
          <w:tcPr/>
          <w:p>
            <w:pPr>
              <w:pStyle w:val="Compact"/>
              <w:jc w:val="left"/>
            </w:pPr>
            <w:r>
              <w:rPr>
                <w:bCs/>
                <w:b/>
              </w:rPr>
              <w:t xml:space="preserve">US-Übernahme</w:t>
            </w:r>
          </w:p>
        </w:tc>
        <w:tc>
          <w:tcPr/>
          <w:p>
            <w:pPr>
              <w:pStyle w:val="Compact"/>
              <w:jc w:val="left"/>
            </w:pPr>
            <w:r>
              <w:t xml:space="preserve">DAVASO/IQVIA — Übernahme nach Kartellprüfung</w:t>
            </w:r>
          </w:p>
        </w:tc>
        <w:tc>
          <w:tcPr/>
          <w:p>
            <w:pPr>
              <w:pStyle w:val="Compact"/>
              <w:jc w:val="left"/>
            </w:pPr>
            <w:r>
              <w:t xml:space="preserve">Nicht rückgängig zu machen; AVV-Schutzmechanismen</w:t>
            </w:r>
          </w:p>
        </w:tc>
      </w:tr>
      <w:tr>
        <w:tc>
          <w:tcPr/>
          <w:p>
            <w:pPr>
              <w:pStyle w:val="Compact"/>
              <w:jc w:val="left"/>
            </w:pPr>
            <w:r>
              <w:rPr>
                <w:bCs/>
                <w:b/>
              </w:rPr>
              <w:t xml:space="preserve">SaaS-Plattform</w:t>
            </w:r>
          </w:p>
        </w:tc>
        <w:tc>
          <w:tcPr/>
          <w:p>
            <w:pPr>
              <w:pStyle w:val="Compact"/>
              <w:jc w:val="left"/>
            </w:pPr>
            <w:r>
              <w:t xml:space="preserve">Doctolib auf AWS — C5 schützt nicht vor CLOUD Act</w:t>
            </w:r>
          </w:p>
        </w:tc>
        <w:tc>
          <w:tcPr/>
          <w:p>
            <w:pPr>
              <w:pStyle w:val="Compact"/>
              <w:jc w:val="left"/>
            </w:pPr>
            <w:r>
              <w:t xml:space="preserve">EU-Alternative fördern oder Migration zu EU-Anbietern</w:t>
            </w:r>
          </w:p>
        </w:tc>
      </w:tr>
      <w:tr>
        <w:tc>
          <w:tcPr/>
          <w:p>
            <w:pPr>
              <w:pStyle w:val="Compact"/>
              <w:jc w:val="left"/>
            </w:pPr>
            <w:r>
              <w:rPr>
                <w:bCs/>
                <w:b/>
              </w:rPr>
              <w:t xml:space="preserve">Telematikinfrastruktur</w:t>
            </w:r>
          </w:p>
        </w:tc>
        <w:tc>
          <w:tcPr/>
          <w:p>
            <w:pPr>
              <w:pStyle w:val="Compact"/>
              <w:jc w:val="left"/>
            </w:pPr>
            <w:r>
              <w:t xml:space="preserve">IBM betreibt TI-Kerndienste (Rezeptserver, IdP)</w:t>
            </w:r>
          </w:p>
        </w:tc>
        <w:tc>
          <w:tcPr/>
          <w:p>
            <w:pPr>
              <w:pStyle w:val="Compact"/>
              <w:jc w:val="left"/>
            </w:pPr>
            <w:r>
              <w:t xml:space="preserve">Nicht auflösbar — TI ist gesetzlich verpflichtend; Restrisiko dokumentieren</w:t>
            </w:r>
          </w:p>
        </w:tc>
      </w:tr>
    </w:tbl>
    <w:p>
      <w:r>
        <w:pict>
          <v:rect style="width:0;height:1.5pt" o:hralign="center" o:hrstd="t" o:hr="t"/>
        </w:pict>
      </w:r>
    </w:p>
    <w:bookmarkEnd w:id="121"/>
    <w:bookmarkEnd w:id="122"/>
    <w:bookmarkStart w:id="128" w:name="Xe22f99b34c5be75ac433e90444ef90736e6b352"/>
    <w:p>
      <w:pPr>
        <w:pStyle w:val="Heading2"/>
      </w:pPr>
      <w:r>
        <w:t xml:space="preserve">13. Clientseitige Verschlüsselung: Teilschutz, kein Allheilmittel</w:t>
      </w:r>
    </w:p>
    <w:bookmarkStart w:id="123" w:name="die-grundidee"/>
    <w:p>
      <w:pPr>
        <w:pStyle w:val="Heading3"/>
      </w:pPr>
      <w:r>
        <w:t xml:space="preserve">13.1 Die Grundidee</w:t>
      </w:r>
    </w:p>
    <w:p>
      <w:pPr>
        <w:pStyle w:val="FirstParagraph"/>
      </w:pPr>
      <w:r>
        <w:t xml:space="preserve">Wenn ein US-Anbieter nur verschlüsselte Daten sieht und nie die Schlüssel besitzt, kann er einer CLOUD-Act-Anordnung technisch nicht nachkommen — er hat schlicht keine lesbaren Daten. Das ist richtig — aber nur unter bestimmten Bedingungen.</w:t>
      </w:r>
    </w:p>
    <w:bookmarkEnd w:id="123"/>
    <w:bookmarkStart w:id="124" w:name="die-drei-verschlüsselungsmodelle"/>
    <w:p>
      <w:pPr>
        <w:pStyle w:val="Heading3"/>
      </w:pPr>
      <w:r>
        <w:t xml:space="preserve">13.2 Die drei Verschlüsselungsmodelle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Beschreibung</w:t>
            </w:r>
          </w:p>
        </w:tc>
        <w:tc>
          <w:tcPr/>
          <w:p>
            <w:pPr>
              <w:pStyle w:val="Compact"/>
              <w:jc w:val="left"/>
            </w:pPr>
            <w:r>
              <w:t xml:space="preserve">Schutz vs. CLOUD Act</w:t>
            </w:r>
          </w:p>
        </w:tc>
      </w:tr>
      <w:tr>
        <w:tc>
          <w:tcPr/>
          <w:p>
            <w:pPr>
              <w:pStyle w:val="Compact"/>
              <w:jc w:val="left"/>
            </w:pPr>
            <w:r>
              <w:rPr>
                <w:bCs/>
                <w:b/>
              </w:rPr>
              <w:t xml:space="preserve">Provider-Managed Keys</w:t>
            </w:r>
            <w:r>
              <w:t xml:space="preserve"> </w:t>
            </w:r>
            <w:r>
              <w:t xml:space="preserve">(Standard)</w:t>
            </w:r>
          </w:p>
        </w:tc>
        <w:tc>
          <w:tcPr/>
          <w:p>
            <w:pPr>
              <w:pStyle w:val="Compact"/>
              <w:jc w:val="left"/>
            </w:pPr>
            <w:r>
              <w:t xml:space="preserve">Anbieter verschlüsselt mit eigenen Schlüsseln. Kann jederzeit entschlüsseln.</w:t>
            </w:r>
          </w:p>
        </w:tc>
        <w:tc>
          <w:tcPr/>
          <w:p>
            <w:pPr>
              <w:pStyle w:val="Compact"/>
              <w:jc w:val="left"/>
            </w:pPr>
            <w:r>
              <w:t xml:space="preserve">❌ Kein Schutz</w:t>
            </w:r>
          </w:p>
        </w:tc>
      </w:tr>
      <w:tr>
        <w:tc>
          <w:tcPr/>
          <w:p>
            <w:pPr>
              <w:pStyle w:val="Compact"/>
              <w:jc w:val="left"/>
            </w:pPr>
            <w:r>
              <w:rPr>
                <w:bCs/>
                <w:b/>
              </w:rPr>
              <w:t xml:space="preserve">BYOK</w:t>
            </w:r>
            <w:r>
              <w:t xml:space="preserve"> </w:t>
            </w:r>
            <w:r>
              <w:t xml:space="preserve">(Bring Your Own Key)</w:t>
            </w:r>
          </w:p>
        </w:tc>
        <w:tc>
          <w:tcPr/>
          <w:p>
            <w:pPr>
              <w:pStyle w:val="Compact"/>
              <w:jc w:val="left"/>
            </w:pPr>
            <w:r>
              <w:t xml:space="preserve">Kunde generiert eigene Schlüssel, übergibt sie dem Anbieter-KMS. Anbieter verwaltet Schlüssel in eigenem System.</w:t>
            </w:r>
          </w:p>
        </w:tc>
        <w:tc>
          <w:tcPr/>
          <w:p>
            <w:pPr>
              <w:pStyle w:val="Compact"/>
              <w:jc w:val="left"/>
            </w:pPr>
            <w:r>
              <w:t xml:space="preserve">⚠️ Schwacher Schutz — Anbieter hat technisch Zugriff</w:t>
            </w:r>
          </w:p>
        </w:tc>
      </w:tr>
      <w:tr>
        <w:tc>
          <w:tcPr/>
          <w:p>
            <w:pPr>
              <w:pStyle w:val="Compact"/>
              <w:jc w:val="left"/>
            </w:pPr>
            <w:r>
              <w:rPr>
                <w:bCs/>
                <w:b/>
              </w:rPr>
              <w:t xml:space="preserve">HYOK</w:t>
            </w:r>
            <w:r>
              <w:t xml:space="preserve"> </w:t>
            </w:r>
            <w:r>
              <w:t xml:space="preserve">(Hold Your Own Key)</w:t>
            </w:r>
          </w:p>
        </w:tc>
        <w:tc>
          <w:tcPr/>
          <w:p>
            <w:pPr>
              <w:pStyle w:val="Compact"/>
              <w:jc w:val="left"/>
            </w:pPr>
            <w:r>
              <w:t xml:space="preserve">Schlüssel bleiben ausschließlich beim Kunden in eigenem HSM. Anbieter empfängt nur verschlüsselte Daten. Anbieter kann technisch</w:t>
            </w:r>
            <w:r>
              <w:t xml:space="preserve"> </w:t>
            </w:r>
            <w:r>
              <w:rPr>
                <w:bCs/>
                <w:b/>
              </w:rPr>
              <w:t xml:space="preserve">nicht</w:t>
            </w:r>
            <w:r>
              <w:t xml:space="preserve"> </w:t>
            </w:r>
            <w:r>
              <w:t xml:space="preserve">entschlüsseln.</w:t>
            </w:r>
          </w:p>
        </w:tc>
        <w:tc>
          <w:tcPr/>
          <w:p>
            <w:pPr>
              <w:pStyle w:val="Compact"/>
              <w:jc w:val="left"/>
            </w:pPr>
            <w:r>
              <w:t xml:space="preserve">✅ Struktureller Schutz</w:t>
            </w:r>
          </w:p>
        </w:tc>
      </w:tr>
    </w:tbl>
    <w:p>
      <w:pPr>
        <w:pStyle w:val="BodyText"/>
      </w:pPr>
      <w:r>
        <w:rPr>
          <w:bCs/>
          <w:b/>
        </w:rPr>
        <w:t xml:space="preserve">Der kritische Unterschied BYOK vs. HYOK:</w:t>
      </w:r>
    </w:p>
    <w:p>
      <w:pPr>
        <w:pStyle w:val="BodyText"/>
      </w:pPr>
      <w: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w:t>
      </w:r>
      <w:r>
        <w:t xml:space="preserve"> </w:t>
      </w:r>
      <w:r>
        <w:rPr>
          <w:bCs/>
          <w:b/>
        </w:rPr>
        <w:t xml:space="preserve">verbietet es aber auch nicht</w:t>
      </w:r>
      <w:r>
        <w:t xml:space="preserve">. Beim HYOK liegen Schlüssel nie in der Umgebung des Anbieters — die Anforderung ist technisch nicht ausführbar.</w:t>
      </w:r>
    </w:p>
    <w:bookmarkEnd w:id="124"/>
    <w:bookmarkStart w:id="125" w:name="wo-hyok-funktioniert"/>
    <w:p>
      <w:pPr>
        <w:pStyle w:val="Heading3"/>
      </w:pPr>
      <w:r>
        <w:t xml:space="preserve">13.3 Wo HYOK funktioniert</w:t>
      </w:r>
    </w:p>
    <w:p>
      <w:pPr>
        <w:pStyle w:val="FirstParagraph"/>
      </w:pPr>
      <w:r>
        <w:t xml:space="preserve">HYOK schützt strukturell vor CLOUD-Act-Zugriff bei:</w:t>
      </w:r>
    </w:p>
    <w:p>
      <w:pPr>
        <w:numPr>
          <w:ilvl w:val="0"/>
          <w:numId w:val="1013"/>
        </w:numPr>
        <w:pStyle w:val="Compact"/>
      </w:pPr>
      <w:r>
        <w:t xml:space="preserve">Statischen Datenspeichern (Archivdaten, Backup, Objektspeicher)</w:t>
      </w:r>
    </w:p>
    <w:p>
      <w:pPr>
        <w:numPr>
          <w:ilvl w:val="0"/>
          <w:numId w:val="1013"/>
        </w:numPr>
        <w:pStyle w:val="Compact"/>
      </w:pPr>
      <w:r>
        <w:t xml:space="preserve">File-Storage (Dokumente, Bilder, PDFs auf US-Cloud-Infrastruktur)</w:t>
      </w:r>
    </w:p>
    <w:p>
      <w:pPr>
        <w:numPr>
          <w:ilvl w:val="0"/>
          <w:numId w:val="1013"/>
        </w:numPr>
        <w:pStyle w:val="Compact"/>
      </w:pPr>
      <w:r>
        <w:t xml:space="preserve">Eigener Software mit Client-Anbindung (Anwendungslogik läuft lokal, nur verschlüsselte Blobs in der Cloud)</w:t>
      </w:r>
    </w:p>
    <w:p>
      <w:pPr>
        <w:numPr>
          <w:ilvl w:val="0"/>
          <w:numId w:val="1013"/>
        </w:numPr>
        <w:pStyle w:val="Compact"/>
      </w:pPr>
      <w:r>
        <w:t xml:space="preserve">Backup-Lösungen (Verschlüsselung vor Upload, Schlüssel on-premise)</w:t>
      </w:r>
    </w:p>
    <w:bookmarkEnd w:id="125"/>
    <w:bookmarkStart w:id="126" w:name="X42d10fe2118a91c82f580155363bb95a36b3509"/>
    <w:p>
      <w:pPr>
        <w:pStyle w:val="Heading3"/>
      </w:pPr>
      <w:r>
        <w:t xml:space="preserve">13.4 Wo HYOK nicht funktioniert — die entscheidende Grenze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Anwendungsfall</w:t>
            </w:r>
          </w:p>
        </w:tc>
        <w:tc>
          <w:tcPr/>
          <w:p>
            <w:pPr>
              <w:pStyle w:val="Compact"/>
              <w:jc w:val="left"/>
            </w:pPr>
            <w:r>
              <w:t xml:space="preserve">Warum HYOK nicht hilft</w:t>
            </w:r>
          </w:p>
        </w:tc>
      </w:tr>
      <w:tr>
        <w:tc>
          <w:tcPr/>
          <w:p>
            <w:pPr>
              <w:pStyle w:val="Compact"/>
              <w:jc w:val="left"/>
            </w:pPr>
            <w:r>
              <w:rPr>
                <w:bCs/>
                <w:b/>
              </w:rPr>
              <w:t xml:space="preserve">Microsoft 365 / SharePoint</w:t>
            </w:r>
          </w:p>
        </w:tc>
        <w:tc>
          <w:tcPr/>
          <w:p>
            <w:pPr>
              <w:pStyle w:val="Compact"/>
              <w:jc w:val="left"/>
            </w:pPr>
            <w:r>
              <w:t xml:space="preserve">Suchindex, Co-Authoring, Teams-KI benötigen unverschlüsselten Inhalt server-seitig</w:t>
            </w:r>
          </w:p>
        </w:tc>
      </w:tr>
      <w:tr>
        <w:tc>
          <w:tcPr/>
          <w:p>
            <w:pPr>
              <w:pStyle w:val="Compact"/>
              <w:jc w:val="left"/>
            </w:pPr>
            <w:r>
              <w:rPr>
                <w:bCs/>
                <w:b/>
              </w:rPr>
              <w:t xml:space="preserve">E-Mail (Exchange Online / Gmail)</w:t>
            </w:r>
          </w:p>
        </w:tc>
        <w:tc>
          <w:tcPr/>
          <w:p>
            <w:pPr>
              <w:pStyle w:val="Compact"/>
              <w:jc w:val="left"/>
            </w:pPr>
            <w:r>
              <w:t xml:space="preserve">Spam-Filter, Virenscanner, Regelverarbeitung, KI-Zusammenfassungen laufen auf unverschlüsselten Inhalten</w:t>
            </w:r>
          </w:p>
        </w:tc>
      </w:tr>
      <w:tr>
        <w:tc>
          <w:tcPr/>
          <w:p>
            <w:pPr>
              <w:pStyle w:val="Compact"/>
              <w:jc w:val="left"/>
            </w:pPr>
            <w:r>
              <w:rPr>
                <w:bCs/>
                <w:b/>
              </w:rPr>
              <w:t xml:space="preserve">KI / LLM-Services (Azure OpenAI, AWS Bedrock)</w:t>
            </w:r>
          </w:p>
        </w:tc>
        <w:tc>
          <w:tcPr/>
          <w:p>
            <w:pPr>
              <w:pStyle w:val="Compact"/>
              <w:jc w:val="left"/>
            </w:pPr>
            <w:r>
              <w:t xml:space="preserve">KI-Modell muss Prompt lesen — verschlüsselte Prompts kann kein Modell verarbeiten</w:t>
            </w:r>
          </w:p>
        </w:tc>
      </w:tr>
      <w:tr>
        <w:tc>
          <w:tcPr/>
          <w:p>
            <w:pPr>
              <w:pStyle w:val="Compact"/>
              <w:jc w:val="left"/>
            </w:pPr>
            <w:r>
              <w:rPr>
                <w:bCs/>
                <w:b/>
              </w:rPr>
              <w:t xml:space="preserve">SaaS-Anwendungen (Salesforce, SAP Cloud)</w:t>
            </w:r>
          </w:p>
        </w:tc>
        <w:tc>
          <w:tcPr/>
          <w:p>
            <w:pPr>
              <w:pStyle w:val="Compact"/>
              <w:jc w:val="left"/>
            </w:pPr>
            <w:r>
              <w:t xml:space="preserve">Jede SaaS-Funktion (Suche, Filter, Analyse) erfordert Klartextdaten im Provider-Speicher</w:t>
            </w:r>
          </w:p>
        </w:tc>
      </w:tr>
      <w:tr>
        <w:tc>
          <w:tcPr/>
          <w:p>
            <w:pPr>
              <w:pStyle w:val="Compact"/>
              <w:jc w:val="left"/>
            </w:pPr>
            <w:r>
              <w:rPr>
                <w:bCs/>
                <w:b/>
              </w:rPr>
              <w:t xml:space="preserve">Real-time Analytics / BI (Qlik Cloud, Power BI)</w:t>
            </w:r>
          </w:p>
        </w:tc>
        <w:tc>
          <w:tcPr/>
          <w:p>
            <w:pPr>
              <w:pStyle w:val="Compact"/>
              <w:jc w:val="left"/>
            </w:pPr>
            <w:r>
              <w:t xml:space="preserve">Aggregation, Filterung, Visualisierung erfordern Klartextdaten</w:t>
            </w:r>
          </w:p>
        </w:tc>
      </w:tr>
    </w:tbl>
    <w:p>
      <w:pPr>
        <w:pStyle w:val="BodyText"/>
      </w:pPr>
      <w:r>
        <w:t xml:space="preserve">Das Grundprinzip:</w:t>
      </w:r>
      <w:r>
        <w:t xml:space="preserve"> </w:t>
      </w:r>
      <w:r>
        <w:rPr>
          <w:bCs/>
          <w:b/>
        </w:rPr>
        <w:t xml:space="preserve">Ein System kann nur verarbeiten, was es lesen kann.</w:t>
      </w:r>
      <w:r>
        <w:t xml:space="preserve"> </w:t>
      </w:r>
      <w:r>
        <w:t xml:space="preserve">HYOK ist Schutz für ruhende Daten (Data at Rest), nicht für verarbeitete Daten (Data in Use).</w:t>
      </w:r>
    </w:p>
    <w:bookmarkEnd w:id="126"/>
    <w:bookmarkStart w:id="127" w:name="gesundheitssektor-matrix"/>
    <w:p>
      <w:pPr>
        <w:pStyle w:val="Heading3"/>
      </w:pPr>
      <w:r>
        <w:t xml:space="preserve">13.5 Gesundheitssektor-Matrix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HYOK-Schutz möglich?</w:t>
            </w:r>
          </w:p>
        </w:tc>
        <w:tc>
          <w:tcPr/>
          <w:p>
            <w:pPr>
              <w:pStyle w:val="Compact"/>
              <w:jc w:val="left"/>
            </w:pPr>
            <w:r>
              <w:t xml:space="preserve">Empfehlung</w:t>
            </w:r>
          </w:p>
        </w:tc>
      </w:tr>
      <w:tr>
        <w:tc>
          <w:tcPr/>
          <w:p>
            <w:pPr>
              <w:pStyle w:val="Compact"/>
              <w:jc w:val="left"/>
            </w:pPr>
            <w:r>
              <w:t xml:space="preserve">ePA-Datenspeicherung (statisch)</w:t>
            </w:r>
          </w:p>
        </w:tc>
        <w:tc>
          <w:tcPr/>
          <w:p>
            <w:pPr>
              <w:pStyle w:val="Compact"/>
              <w:jc w:val="left"/>
            </w:pPr>
            <w:r>
              <w:t xml:space="preserve">✅ Ja</w:t>
            </w:r>
          </w:p>
        </w:tc>
        <w:tc>
          <w:tcPr/>
          <w:p>
            <w:pPr>
              <w:pStyle w:val="Compact"/>
              <w:jc w:val="left"/>
            </w:pPr>
            <w:r>
              <w:t xml:space="preserve">HYOK auf EU-Infrastruktur</w:t>
            </w:r>
          </w:p>
        </w:tc>
      </w:tr>
      <w:tr>
        <w:tc>
          <w:tcPr/>
          <w:p>
            <w:pPr>
              <w:pStyle w:val="Compact"/>
              <w:jc w:val="left"/>
            </w:pPr>
            <w:r>
              <w:t xml:space="preserve">Patientendaten-Archiv</w:t>
            </w:r>
          </w:p>
        </w:tc>
        <w:tc>
          <w:tcPr/>
          <w:p>
            <w:pPr>
              <w:pStyle w:val="Compact"/>
              <w:jc w:val="left"/>
            </w:pPr>
            <w:r>
              <w:t xml:space="preserve">✅ Ja</w:t>
            </w:r>
          </w:p>
        </w:tc>
        <w:tc>
          <w:tcPr/>
          <w:p>
            <w:pPr>
              <w:pStyle w:val="Compact"/>
              <w:jc w:val="left"/>
            </w:pPr>
            <w:r>
              <w:t xml:space="preserve">HYOK + EU-Anbieter</w:t>
            </w:r>
          </w:p>
        </w:tc>
      </w:tr>
      <w:tr>
        <w:tc>
          <w:tcPr/>
          <w:p>
            <w:pPr>
              <w:pStyle w:val="Compact"/>
              <w:jc w:val="left"/>
            </w:pPr>
            <w:r>
              <w:t xml:space="preserve">KIS-Software (Krankenhausinformationssystem)</w:t>
            </w:r>
          </w:p>
        </w:tc>
        <w:tc>
          <w:tcPr/>
          <w:p>
            <w:pPr>
              <w:pStyle w:val="Compact"/>
              <w:jc w:val="left"/>
            </w:pPr>
            <w:r>
              <w:t xml:space="preserve">⚠️ Nur wenn lokal</w:t>
            </w:r>
          </w:p>
        </w:tc>
        <w:tc>
          <w:tcPr/>
          <w:p>
            <w:pPr>
              <w:pStyle w:val="Compact"/>
              <w:jc w:val="left"/>
            </w:pPr>
            <w:r>
              <w:t xml:space="preserve">On-Premise oder EU-Anbieter</w:t>
            </w:r>
          </w:p>
        </w:tc>
      </w:tr>
      <w:tr>
        <w:tc>
          <w:tcPr/>
          <w:p>
            <w:pPr>
              <w:pStyle w:val="Compact"/>
              <w:jc w:val="left"/>
            </w:pPr>
            <w:r>
              <w:t xml:space="preserve">Telemedizin-Plattform</w:t>
            </w:r>
          </w:p>
        </w:tc>
        <w:tc>
          <w:tcPr/>
          <w:p>
            <w:pPr>
              <w:pStyle w:val="Compact"/>
              <w:jc w:val="left"/>
            </w:pPr>
            <w:r>
              <w:t xml:space="preserve">❌ Nein</w:t>
            </w:r>
          </w:p>
        </w:tc>
        <w:tc>
          <w:tcPr/>
          <w:p>
            <w:pPr>
              <w:pStyle w:val="Compact"/>
              <w:jc w:val="left"/>
            </w:pPr>
            <w:r>
              <w:t xml:space="preserve">Nur EU-souveräne Anbieter</w:t>
            </w:r>
          </w:p>
        </w:tc>
      </w:tr>
      <w:tr>
        <w:tc>
          <w:tcPr/>
          <w:p>
            <w:pPr>
              <w:pStyle w:val="Compact"/>
              <w:jc w:val="left"/>
            </w:pPr>
            <w:r>
              <w:t xml:space="preserve">KI-gestützte Diagnostik (US-LLM)</w:t>
            </w:r>
          </w:p>
        </w:tc>
        <w:tc>
          <w:tcPr/>
          <w:p>
            <w:pPr>
              <w:pStyle w:val="Compact"/>
              <w:jc w:val="left"/>
            </w:pPr>
            <w:r>
              <w:t xml:space="preserve">❌ Nein</w:t>
            </w:r>
          </w:p>
        </w:tc>
        <w:tc>
          <w:tcPr/>
          <w:p>
            <w:pPr>
              <w:pStyle w:val="Compact"/>
              <w:jc w:val="left"/>
            </w:pPr>
            <w:r>
              <w:t xml:space="preserve">On-Premise vLLM auf eigenem GPU-Cluster</w:t>
            </w:r>
          </w:p>
        </w:tc>
      </w:tr>
      <w:tr>
        <w:tc>
          <w:tcPr/>
          <w:p>
            <w:pPr>
              <w:pStyle w:val="Compact"/>
              <w:jc w:val="left"/>
            </w:pPr>
            <w:r>
              <w:t xml:space="preserve">SharePoint/Teams für Klinik</w:t>
            </w:r>
          </w:p>
        </w:tc>
        <w:tc>
          <w:tcPr/>
          <w:p>
            <w:pPr>
              <w:pStyle w:val="Compact"/>
              <w:jc w:val="left"/>
            </w:pPr>
            <w:r>
              <w:t xml:space="preserve">❌ Nein</w:t>
            </w:r>
          </w:p>
        </w:tc>
        <w:tc>
          <w:tcPr/>
          <w:p>
            <w:pPr>
              <w:pStyle w:val="Compact"/>
              <w:jc w:val="left"/>
            </w:pPr>
            <w:r>
              <w:t xml:space="preserve">Nextcloud auf STACKIT/Hetzner</w:t>
            </w:r>
          </w:p>
        </w:tc>
      </w:tr>
      <w:tr>
        <w:tc>
          <w:tcPr/>
          <w:p>
            <w:pPr>
              <w:pStyle w:val="Compact"/>
              <w:jc w:val="left"/>
            </w:pPr>
            <w:r>
              <w:t xml:space="preserve">Buchhaltung/ERP auf US-SaaS</w:t>
            </w:r>
          </w:p>
        </w:tc>
        <w:tc>
          <w:tcPr/>
          <w:p>
            <w:pPr>
              <w:pStyle w:val="Compact"/>
              <w:jc w:val="left"/>
            </w:pPr>
            <w:r>
              <w:t xml:space="preserve">❌ Nein</w:t>
            </w:r>
          </w:p>
        </w:tc>
        <w:tc>
          <w:tcPr/>
          <w:p>
            <w:pPr>
              <w:pStyle w:val="Compact"/>
              <w:jc w:val="left"/>
            </w:pPr>
            <w:r>
              <w:t xml:space="preserve">SAP on-premise oder EU-ERP</w:t>
            </w:r>
          </w:p>
        </w:tc>
      </w:tr>
    </w:tbl>
    <w:p>
      <w:r>
        <w:pict>
          <v:rect style="width:0;height:1.5pt" o:hralign="center" o:hrstd="t" o:hr="t"/>
        </w:pict>
      </w:r>
    </w:p>
    <w:bookmarkEnd w:id="127"/>
    <w:bookmarkEnd w:id="128"/>
    <w:bookmarkStart w:id="132" w:name="Xc5532ee3476f658c13b883edeb8ee78a4c525fe"/>
    <w:p>
      <w:pPr>
        <w:pStyle w:val="Heading2"/>
      </w:pPr>
      <w:r>
        <w:t xml:space="preserve">14. Bewertungsschema und Länderranking</w:t>
      </w:r>
    </w:p>
    <w:p>
      <w:pPr>
        <w:pStyle w:val="FirstParagraph"/>
      </w:pPr>
      <w:r>
        <w:t xml:space="preserve">Das Bewertungsschema in diesem Kapitel dient als analytisches Werkzeug, um die Datensouveränitätslage verschiedener Weltregionen vergleichbar zu machen. Es liegt dem Globalen Vergleich in Kapitel 15 zugrunde.</w:t>
      </w:r>
    </w:p>
    <w:bookmarkStart w:id="129" w:name="X783c905cffe24e8630cd914178f71bde91b5132"/>
    <w:p>
      <w:pPr>
        <w:pStyle w:val="Heading3"/>
      </w:pPr>
      <w:r>
        <w:t xml:space="preserve">14.1 Das Bewertungsschema — 5 Dimensionen, 0–2 Punkte</w:t>
      </w:r>
    </w:p>
    <w:p>
      <w:pPr>
        <w:pStyle w:val="FirstParagraph"/>
      </w:pPr>
      <w: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0 Punkte</w:t>
            </w:r>
          </w:p>
        </w:tc>
        <w:tc>
          <w:tcPr/>
          <w:p>
            <w:pPr>
              <w:pStyle w:val="Compact"/>
              <w:jc w:val="left"/>
            </w:pPr>
            <w:r>
              <w:t xml:space="preserve">1 Punkt</w:t>
            </w:r>
          </w:p>
        </w:tc>
        <w:tc>
          <w:tcPr/>
          <w:p>
            <w:pPr>
              <w:pStyle w:val="Compact"/>
              <w:jc w:val="left"/>
            </w:pPr>
            <w:r>
              <w:t xml:space="preserve">2 Punkte</w:t>
            </w:r>
          </w:p>
        </w:tc>
      </w:tr>
      <w:tr>
        <w:tc>
          <w:tcPr/>
          <w:p>
            <w:pPr>
              <w:pStyle w:val="Compact"/>
              <w:jc w:val="left"/>
            </w:pPr>
            <w:r>
              <w:rPr>
                <w:bCs/>
                <w:b/>
              </w:rPr>
              <w:t xml:space="preserve">Recht</w:t>
            </w:r>
          </w:p>
        </w:tc>
        <w:tc>
          <w:tcPr/>
          <w:p>
            <w:pPr>
              <w:pStyle w:val="Compact"/>
              <w:jc w:val="left"/>
            </w:pPr>
            <w:r>
              <w:t xml:space="preserve">Kein Datenschutzgesetz</w:t>
            </w:r>
          </w:p>
        </w:tc>
        <w:tc>
          <w:tcPr/>
          <w:p>
            <w:pPr>
              <w:pStyle w:val="Compact"/>
              <w:jc w:val="left"/>
            </w:pPr>
            <w:r>
              <w:t xml:space="preserve">Gesetz vorhanden, kaum Durchsetzung</w:t>
            </w:r>
          </w:p>
        </w:tc>
        <w:tc>
          <w:tcPr/>
          <w:p>
            <w:pPr>
              <w:pStyle w:val="Compact"/>
              <w:jc w:val="left"/>
            </w:pPr>
            <w:r>
              <w:t xml:space="preserve">Gesetz + aktive Sanktionen</w:t>
            </w:r>
          </w:p>
        </w:tc>
      </w:tr>
      <w:tr>
        <w:tc>
          <w:tcPr/>
          <w:p>
            <w:pPr>
              <w:pStyle w:val="Compact"/>
              <w:jc w:val="left"/>
            </w:pPr>
            <w:r>
              <w:rPr>
                <w:bCs/>
                <w:b/>
              </w:rPr>
              <w:t xml:space="preserve">Infrastruktur</w:t>
            </w:r>
          </w:p>
        </w:tc>
        <w:tc>
          <w:tcPr/>
          <w:p>
            <w:pPr>
              <w:pStyle w:val="Compact"/>
              <w:jc w:val="left"/>
            </w:pPr>
            <w:r>
              <w:t xml:space="preserve">Keine eigenen RZ</w:t>
            </w:r>
          </w:p>
        </w:tc>
        <w:tc>
          <w:tcPr/>
          <w:p>
            <w:pPr>
              <w:pStyle w:val="Compact"/>
              <w:jc w:val="left"/>
            </w:pPr>
            <w:r>
              <w:t xml:space="preserve">Eigene RZ im Aufbau, Hyperscaler dominant</w:t>
            </w:r>
          </w:p>
        </w:tc>
        <w:tc>
          <w:tcPr/>
          <w:p>
            <w:pPr>
              <w:pStyle w:val="Compact"/>
              <w:jc w:val="left"/>
            </w:pPr>
            <w:r>
              <w:t xml:space="preserve">Funktionsfähige eigene Cloud-Infrastruktur</w:t>
            </w:r>
          </w:p>
        </w:tc>
      </w:tr>
      <w:tr>
        <w:tc>
          <w:tcPr/>
          <w:p>
            <w:pPr>
              <w:pStyle w:val="Compact"/>
              <w:jc w:val="left"/>
            </w:pPr>
            <w:r>
              <w:rPr>
                <w:bCs/>
                <w:b/>
              </w:rPr>
              <w:t xml:space="preserve">Anbieter</w:t>
            </w:r>
          </w:p>
        </w:tc>
        <w:tc>
          <w:tcPr/>
          <w:p>
            <w:pPr>
              <w:pStyle w:val="Compact"/>
              <w:jc w:val="left"/>
            </w:pPr>
            <w:r>
              <w:t xml:space="preserve">Nur US-Hyperscaler</w:t>
            </w:r>
          </w:p>
        </w:tc>
        <w:tc>
          <w:tcPr/>
          <w:p>
            <w:pPr>
              <w:pStyle w:val="Compact"/>
              <w:jc w:val="left"/>
            </w:pPr>
            <w:r>
              <w:t xml:space="preserve">Lokale Anbieter vorhanden, klein</w:t>
            </w:r>
          </w:p>
        </w:tc>
        <w:tc>
          <w:tcPr/>
          <w:p>
            <w:pPr>
              <w:pStyle w:val="Compact"/>
              <w:jc w:val="left"/>
            </w:pPr>
            <w:r>
              <w:t xml:space="preserve">Skalierbare lokale Alternativen ohne US-Exposure</w:t>
            </w:r>
          </w:p>
        </w:tc>
      </w:tr>
      <w:tr>
        <w:tc>
          <w:tcPr/>
          <w:p>
            <w:pPr>
              <w:pStyle w:val="Compact"/>
              <w:jc w:val="left"/>
            </w:pPr>
            <w:r>
              <w:rPr>
                <w:bCs/>
                <w:b/>
              </w:rPr>
              <w:t xml:space="preserve">Politik</w:t>
            </w:r>
          </w:p>
        </w:tc>
        <w:tc>
          <w:tcPr/>
          <w:p>
            <w:pPr>
              <w:pStyle w:val="Compact"/>
              <w:jc w:val="left"/>
            </w:pPr>
            <w:r>
              <w:t xml:space="preserve">Kein Bewusstsein</w:t>
            </w:r>
          </w:p>
        </w:tc>
        <w:tc>
          <w:tcPr/>
          <w:p>
            <w:pPr>
              <w:pStyle w:val="Compact"/>
              <w:jc w:val="left"/>
            </w:pPr>
            <w:r>
              <w:t xml:space="preserve">Strategiepapiere, keine Umsetzung</w:t>
            </w:r>
          </w:p>
        </w:tc>
        <w:tc>
          <w:tcPr/>
          <w:p>
            <w:pPr>
              <w:pStyle w:val="Compact"/>
              <w:jc w:val="left"/>
            </w:pPr>
            <w:r>
              <w:t xml:space="preserve">Staatliche Investitionen, Beschaffungsvorgaben</w:t>
            </w:r>
          </w:p>
        </w:tc>
      </w:tr>
      <w:tr>
        <w:tc>
          <w:tcPr/>
          <w:p>
            <w:pPr>
              <w:pStyle w:val="Compact"/>
              <w:jc w:val="left"/>
            </w:pPr>
            <w:r>
              <w:rPr>
                <w:bCs/>
                <w:b/>
              </w:rPr>
              <w:t xml:space="preserve">Technik</w:t>
            </w:r>
          </w:p>
        </w:tc>
        <w:tc>
          <w:tcPr/>
          <w:p>
            <w:pPr>
              <w:pStyle w:val="Compact"/>
              <w:jc w:val="left"/>
            </w:pPr>
            <w:r>
              <w:t xml:space="preserve">Proprietäre US-Abhängigkeit auf allen Ebenen</w:t>
            </w:r>
          </w:p>
        </w:tc>
        <w:tc>
          <w:tcPr/>
          <w:p>
            <w:pPr>
              <w:pStyle w:val="Compact"/>
              <w:jc w:val="left"/>
            </w:pPr>
            <w:r>
              <w:t xml:space="preserve">Teils Open Source, teils US-Stack</w:t>
            </w:r>
          </w:p>
        </w:tc>
        <w:tc>
          <w:tcPr/>
          <w:p>
            <w:pPr>
              <w:pStyle w:val="Compact"/>
              <w:jc w:val="left"/>
            </w:pPr>
            <w:r>
              <w:t xml:space="preserve">Eigener Stack auf Open Source, eigene Hardware</w:t>
            </w:r>
          </w:p>
        </w:tc>
      </w:tr>
    </w:tbl>
    <w:bookmarkEnd w:id="129"/>
    <w:bookmarkStart w:id="130" w:name="gesamtranking"/>
    <w:p>
      <w:pPr>
        <w:pStyle w:val="Heading3"/>
      </w:pPr>
      <w:r>
        <w:t xml:space="preserve">14.2 Gesamtranking</w:t>
      </w:r>
    </w:p>
    <w:p>
      <w:pPr>
        <w:pStyle w:val="FirstParagraph"/>
      </w:pPr>
      <w: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Region</w:t>
            </w:r>
          </w:p>
        </w:tc>
        <w:tc>
          <w:tcPr/>
          <w:p>
            <w:pPr>
              <w:pStyle w:val="Compact"/>
              <w:jc w:val="left"/>
            </w:pPr>
            <w:r>
              <w:t xml:space="preserve">Recht</w:t>
            </w:r>
          </w:p>
        </w:tc>
        <w:tc>
          <w:tcPr/>
          <w:p>
            <w:pPr>
              <w:pStyle w:val="Compact"/>
              <w:jc w:val="left"/>
            </w:pPr>
            <w:r>
              <w:t xml:space="preserve">Infra</w:t>
            </w:r>
          </w:p>
        </w:tc>
        <w:tc>
          <w:tcPr/>
          <w:p>
            <w:pPr>
              <w:pStyle w:val="Compact"/>
              <w:jc w:val="left"/>
            </w:pPr>
            <w:r>
              <w:t xml:space="preserve">Anbieter</w:t>
            </w:r>
          </w:p>
        </w:tc>
        <w:tc>
          <w:tcPr/>
          <w:p>
            <w:pPr>
              <w:pStyle w:val="Compact"/>
              <w:jc w:val="left"/>
            </w:pPr>
            <w:r>
              <w:t xml:space="preserve">Politik</w:t>
            </w:r>
          </w:p>
        </w:tc>
        <w:tc>
          <w:tcPr/>
          <w:p>
            <w:pPr>
              <w:pStyle w:val="Compact"/>
              <w:jc w:val="left"/>
            </w:pPr>
            <w:r>
              <w:t xml:space="preserve">Technik</w:t>
            </w:r>
          </w:p>
        </w:tc>
        <w:tc>
          <w:tcPr/>
          <w:p>
            <w:pPr>
              <w:pStyle w:val="Compact"/>
              <w:jc w:val="left"/>
            </w:pPr>
            <w:r>
              <w:rPr>
                <w:bCs/>
                <w:b/>
              </w:rPr>
              <w:t xml:space="preserve">Gesamt</w:t>
            </w:r>
          </w:p>
        </w:tc>
        <w:tc>
          <w:tcPr/>
          <w:p>
            <w:pPr>
              <w:pStyle w:val="Compact"/>
              <w:jc w:val="left"/>
            </w:pPr>
            <w:r>
              <w:t xml:space="preserve">Kurzbewertung</w:t>
            </w:r>
          </w:p>
        </w:tc>
      </w:tr>
      <w:tr>
        <w:tc>
          <w:tcPr/>
          <w:p>
            <w:pPr>
              <w:pStyle w:val="Compact"/>
              <w:jc w:val="left"/>
            </w:pPr>
            <w:r>
              <w:t xml:space="preserve">🇨🇳 China</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10/10</w:t>
            </w:r>
          </w:p>
        </w:tc>
        <w:tc>
          <w:tcPr/>
          <w:p>
            <w:pPr>
              <w:pStyle w:val="Compact"/>
              <w:jc w:val="left"/>
            </w:pPr>
            <w:r>
              <w:t xml:space="preserve">Souverän — aber autoritär</w:t>
            </w:r>
          </w:p>
        </w:tc>
      </w:tr>
      <w:tr>
        <w:tc>
          <w:tcPr/>
          <w:p>
            <w:pPr>
              <w:pStyle w:val="Compact"/>
              <w:jc w:val="left"/>
            </w:pPr>
            <w:r>
              <w:t xml:space="preserve">🇷🇺 Russland</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9/10</w:t>
            </w:r>
          </w:p>
        </w:tc>
        <w:tc>
          <w:tcPr/>
          <w:p>
            <w:pPr>
              <w:pStyle w:val="Compact"/>
              <w:jc w:val="left"/>
            </w:pPr>
            <w:r>
              <w:t xml:space="preserve">Sanktionsgetrieben, vollständig abgeschottet</w:t>
            </w:r>
          </w:p>
        </w:tc>
      </w:tr>
      <w:tr>
        <w:tc>
          <w:tcPr/>
          <w:p>
            <w:pPr>
              <w:pStyle w:val="Compact"/>
              <w:jc w:val="left"/>
            </w:pPr>
            <w:r>
              <w:t xml:space="preserve">🇸🇦🇦🇪 Arab. Staaten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8/10</w:t>
            </w:r>
          </w:p>
        </w:tc>
        <w:tc>
          <w:tcPr/>
          <w:p>
            <w:pPr>
              <w:pStyle w:val="Compact"/>
              <w:jc w:val="left"/>
            </w:pPr>
            <w:r>
              <w:t xml:space="preserve">Petrodollar-finanziert, US-Restrisiko</w:t>
            </w:r>
          </w:p>
        </w:tc>
      </w:tr>
      <w:tr>
        <w:tc>
          <w:tcPr/>
          <w:p>
            <w:pPr>
              <w:pStyle w:val="Compact"/>
              <w:jc w:val="left"/>
            </w:pPr>
            <w:r>
              <w:t xml:space="preserve">🇮🇳 Indien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Regulierung mit echtem Biss</w:t>
            </w:r>
          </w:p>
        </w:tc>
      </w:tr>
      <w:tr>
        <w:tc>
          <w:tcPr/>
          <w:p>
            <w:pPr>
              <w:pStyle w:val="Compact"/>
              <w:jc w:val="left"/>
            </w:pPr>
            <w:r>
              <w:t xml:space="preserve">🇯🇵 Japan</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rPr>
                <w:bCs/>
                <w:b/>
              </w:rPr>
              <w:t xml:space="preserve">7/10</w:t>
            </w:r>
          </w:p>
        </w:tc>
        <w:tc>
          <w:tcPr/>
          <w:p>
            <w:pPr>
              <w:pStyle w:val="Compact"/>
              <w:jc w:val="left"/>
            </w:pPr>
            <w:r>
              <w:t xml:space="preserve">Staatlich finanziert, strukturiert</w:t>
            </w:r>
          </w:p>
        </w:tc>
      </w:tr>
      <w:tr>
        <w:tc>
          <w:tcPr/>
          <w:p>
            <w:pPr>
              <w:pStyle w:val="Compact"/>
              <w:jc w:val="left"/>
            </w:pPr>
            <w:r>
              <w:t xml:space="preserve">🇪🇺 Europa</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6/10</w:t>
            </w:r>
          </w:p>
        </w:tc>
        <w:tc>
          <w:tcPr/>
          <w:p>
            <w:pPr>
              <w:pStyle w:val="Compact"/>
              <w:jc w:val="left"/>
            </w:pPr>
            <w:r>
              <w:t xml:space="preserve">Beste Regeln, schwächste Umsetzung</w:t>
            </w:r>
          </w:p>
        </w:tc>
      </w:tr>
      <w:tr>
        <w:tc>
          <w:tcPr/>
          <w:p>
            <w:pPr>
              <w:pStyle w:val="Compact"/>
              <w:jc w:val="left"/>
            </w:pPr>
            <w:r>
              <w:t xml:space="preserve">🇧🇷 Brasilien/Südamerika</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5/10</w:t>
            </w:r>
          </w:p>
        </w:tc>
        <w:tc>
          <w:tcPr/>
          <w:p>
            <w:pPr>
              <w:pStyle w:val="Compact"/>
              <w:jc w:val="left"/>
            </w:pPr>
            <w:r>
              <w:t xml:space="preserve">Ansätze ohne Eigenaufbau</w:t>
            </w:r>
          </w:p>
        </w:tc>
      </w:tr>
      <w:tr>
        <w:tc>
          <w:tcPr/>
          <w:p>
            <w:pPr>
              <w:pStyle w:val="Compact"/>
              <w:jc w:val="left"/>
            </w:pPr>
            <w:r>
              <w:t xml:space="preserve">🇮🇱 Israel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rPr>
                <w:bCs/>
                <w:b/>
              </w:rPr>
              <w:t xml:space="preserve">4/10</w:t>
            </w:r>
          </w:p>
        </w:tc>
        <w:tc>
          <w:tcPr/>
          <w:p>
            <w:pPr>
              <w:pStyle w:val="Compact"/>
              <w:jc w:val="left"/>
            </w:pPr>
            <w:r>
              <w:t xml:space="preserve">Starke Tech, delegierte Souveränität</w:t>
            </w:r>
          </w:p>
        </w:tc>
      </w:tr>
      <w:tr>
        <w:tc>
          <w:tcPr/>
          <w:p>
            <w:pPr>
              <w:pStyle w:val="Compact"/>
              <w:jc w:val="left"/>
            </w:pPr>
            <w:r>
              <w:t xml:space="preserve">🌍 Afrika</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3/10</w:t>
            </w:r>
          </w:p>
        </w:tc>
        <w:tc>
          <w:tcPr/>
          <w:p>
            <w:pPr>
              <w:pStyle w:val="Compact"/>
              <w:jc w:val="left"/>
            </w:pPr>
            <w:r>
              <w:t xml:space="preserve">Wille ohne Infrastruktur</w:t>
            </w:r>
          </w:p>
        </w:tc>
      </w:tr>
    </w:tbl>
    <w:bookmarkEnd w:id="130"/>
    <w:bookmarkStart w:id="131" w:name="das-globale-muster"/>
    <w:p>
      <w:pPr>
        <w:pStyle w:val="Heading3"/>
      </w:pPr>
      <w:r>
        <w:t xml:space="preserve">14.3 Das globale Muster</w:t>
      </w:r>
    </w:p>
    <w:p>
      <w:pPr>
        <w:pStyle w:val="FirstParagraph"/>
      </w:pPr>
      <w: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r>
        <w:pict>
          <v:rect style="width:0;height:1.5pt" o:hralign="center" o:hrstd="t" o:hr="t"/>
        </w:pict>
      </w:r>
    </w:p>
    <w:bookmarkEnd w:id="131"/>
    <w:bookmarkEnd w:id="132"/>
    <w:bookmarkStart w:id="143" w:name="X5002008707ff12bd026c43628a15c443ca76422"/>
    <w:p>
      <w:pPr>
        <w:pStyle w:val="Heading2"/>
      </w:pPr>
      <w:r>
        <w:t xml:space="preserve">15. Globaler Vergleich: Wie Regionen dem CLOUD Act entkommen</w:t>
      </w:r>
    </w:p>
    <w:bookmarkStart w:id="133" w:name="das-globale-problem-in-einem-satz"/>
    <w:p>
      <w:pPr>
        <w:pStyle w:val="Heading3"/>
      </w:pPr>
      <w:r>
        <w:t xml:space="preserve">15.1 Das globale Problem in einem Satz</w:t>
      </w:r>
    </w:p>
    <w:p>
      <w:pPr>
        <w:pStyle w:val="FirstParagraph"/>
      </w:pPr>
      <w: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bookmarkEnd w:id="133"/>
    <w:bookmarkStart w:id="134" w:name="X63a393a99bb07f893f4d3aeccc5e9cc30f76849"/>
    <w:p>
      <w:pPr>
        <w:pStyle w:val="Heading3"/>
      </w:pPr>
      <w:r>
        <w:t xml:space="preserve">15.2 China — vollständige Abschottung durch Industriepolitik</w:t>
      </w:r>
    </w:p>
    <w:p>
      <w:pPr>
        <w:pStyle w:val="FirstParagraph"/>
      </w:pPr>
      <w:r>
        <w:rPr>
          <w:bCs/>
          <w:b/>
        </w:rPr>
        <w:t xml:space="preserve">Strategie:</w:t>
      </w:r>
      <w:r>
        <w:t xml:space="preserve"> </w:t>
      </w:r>
      <w:r>
        <w:t xml:space="preserve">Staatlich koordinierte nationale Champions, eigene Chips, eigene Protokolle.</w:t>
      </w:r>
    </w:p>
    <w:p>
      <w:pPr>
        <w:numPr>
          <w:ilvl w:val="0"/>
          <w:numId w:val="1014"/>
        </w:numPr>
        <w:pStyle w:val="Compact"/>
      </w:pPr>
      <w:r>
        <w:rPr>
          <w:bCs/>
          <w:b/>
        </w:rPr>
        <w:t xml:space="preserve">Markt:</w:t>
      </w:r>
      <w:r>
        <w:t xml:space="preserve"> </w:t>
      </w:r>
      <w:r>
        <w:t xml:space="preserve">Alibaba Cloud (36%), Huawei Cloud (19%), Tencent Cloud, Baidu AI Cloud — zusammen 75%+ des Inlandsmarkts. AWS/Azure operieren nur über lizenzierte chinesische Partner.</w:t>
      </w:r>
    </w:p>
    <w:p>
      <w:pPr>
        <w:numPr>
          <w:ilvl w:val="0"/>
          <w:numId w:val="1014"/>
        </w:numPr>
        <w:pStyle w:val="Compact"/>
      </w:pPr>
      <w:r>
        <w:rPr>
          <w:bCs/>
          <w:b/>
        </w:rPr>
        <w:t xml:space="preserve">Hardware:</w:t>
      </w:r>
      <w:r>
        <w:t xml:space="preserve"> </w:t>
      </w:r>
      <w:r>
        <w:t xml:space="preserve">Huawei entwickelt eigene Chips (Kunpeng, Ascend) — nach US-Exportverboten erzwungen, jetzt strukturell souverän</w:t>
      </w:r>
    </w:p>
    <w:p>
      <w:pPr>
        <w:numPr>
          <w:ilvl w:val="0"/>
          <w:numId w:val="1014"/>
        </w:numPr>
        <w:pStyle w:val="Compact"/>
      </w:pPr>
      <w:r>
        <w:rPr>
          <w:bCs/>
          <w:b/>
        </w:rPr>
        <w:t xml:space="preserve">Open Source:</w:t>
      </w:r>
      <w:r>
        <w:t xml:space="preserve"> </w:t>
      </w:r>
      <w:r>
        <w:t xml:space="preserve">China Mobile baut Public Cloud auf OpenStack-Basis, gemeinsam mit Huawei und Ministry of Industry standardisiert</w:t>
      </w:r>
    </w:p>
    <w:p>
      <w:pPr>
        <w:numPr>
          <w:ilvl w:val="0"/>
          <w:numId w:val="1014"/>
        </w:numPr>
        <w:pStyle w:val="Compact"/>
      </w:pPr>
      <w:r>
        <w:rPr>
          <w:bCs/>
          <w:b/>
        </w:rPr>
        <w:t xml:space="preserve">Staatliche Koordination:</w:t>
      </w:r>
      <w:r>
        <w:t xml:space="preserve"> </w:t>
      </w:r>
      <w:r>
        <w:t xml:space="preserve">SOEs als Pflicht-Anbieter für Behördendaten;</w:t>
      </w:r>
      <w:r>
        <w:t xml:space="preserve"> </w:t>
      </w:r>
      <w:r>
        <w:t xml:space="preserve">“</w:t>
      </w:r>
      <w:r>
        <w:t xml:space="preserve">Made in China 2025</w:t>
      </w:r>
      <w:r>
        <w:t xml:space="preserve">”</w:t>
      </w:r>
      <w:r>
        <w:t xml:space="preserve"> </w:t>
      </w:r>
      <w:r>
        <w:t xml:space="preserve">als industriepolitisches Programm</w:t>
      </w:r>
    </w:p>
    <w:p>
      <w:pPr>
        <w:pStyle w:val="FirstParagraph"/>
      </w:pPr>
      <w:r>
        <w:rPr>
          <w:bCs/>
          <w:b/>
        </w:rPr>
        <w:t xml:space="preserve">Caveat:</w:t>
      </w:r>
      <w:r>
        <w:t xml:space="preserve"> </w:t>
      </w:r>
      <w:r>
        <w:t xml:space="preserve">China entkommt dem US CLOUD Act — aber unterliegt vollständig dem chinesischen Geheimdienstzugriff. Es ist kein Datenschutz, sondern ein Kontrollwechsel.</w:t>
      </w:r>
    </w:p>
    <w:bookmarkEnd w:id="134"/>
    <w:bookmarkStart w:id="135" w:name="X686a0d49d7392aa81e7d3bb15b5b684cce5145e"/>
    <w:p>
      <w:pPr>
        <w:pStyle w:val="Heading3"/>
      </w:pPr>
      <w:r>
        <w:t xml:space="preserve">15.3 Russland — sanktionsgetriebene Vollabschottung</w:t>
      </w:r>
    </w:p>
    <w:p>
      <w:pPr>
        <w:pStyle w:val="FirstParagraph"/>
      </w:pPr>
      <w:r>
        <w:rPr>
          <w:bCs/>
          <w:b/>
        </w:rPr>
        <w:t xml:space="preserve">Strategie:</w:t>
      </w:r>
      <w:r>
        <w:t xml:space="preserve"> </w:t>
      </w:r>
      <w:r>
        <w:t xml:space="preserve">Erzwungene Lokalisierung durch Sanktionen, eigene proprietäre Cloud-Stacks.</w:t>
      </w:r>
    </w:p>
    <w:p>
      <w:pPr>
        <w:numPr>
          <w:ilvl w:val="0"/>
          <w:numId w:val="1015"/>
        </w:numPr>
        <w:pStyle w:val="Compact"/>
      </w:pPr>
      <w:r>
        <w:rPr>
          <w:bCs/>
          <w:b/>
        </w:rPr>
        <w:t xml:space="preserve">Gesetz:</w:t>
      </w:r>
      <w:r>
        <w:t xml:space="preserve"> </w:t>
      </w:r>
      <w:r>
        <w:t xml:space="preserve">Datenlokalisierungsgesetz 2015 + extraterritoriale Anwendung seit 2022 auf alle Unternehmen mit russischen Nutzern, unabhängig vom Firmensitz</w:t>
      </w:r>
    </w:p>
    <w:p>
      <w:pPr>
        <w:numPr>
          <w:ilvl w:val="0"/>
          <w:numId w:val="1015"/>
        </w:numPr>
        <w:pStyle w:val="Compact"/>
      </w:pPr>
      <w:r>
        <w:rPr>
          <w:bCs/>
          <w:b/>
        </w:rPr>
        <w:t xml:space="preserve">Pflichtregister:</w:t>
      </w:r>
      <w:r>
        <w:t xml:space="preserve"> </w:t>
      </w:r>
      <w:r>
        <w:t xml:space="preserve">Seit Februar 2025 kein ausländischer Hosting-Anbieter ohne Roskomnadzor-Eintragung — bis März 2025 kein einziger ausländischer Antrag</w:t>
      </w:r>
    </w:p>
    <w:p>
      <w:pPr>
        <w:numPr>
          <w:ilvl w:val="0"/>
          <w:numId w:val="1015"/>
        </w:numPr>
        <w:pStyle w:val="Compact"/>
      </w:pPr>
      <w:r>
        <w:rPr>
          <w:bCs/>
          <w:b/>
        </w:rPr>
        <w:t xml:space="preserve">Anbieter:</w:t>
      </w:r>
      <w:r>
        <w:t xml:space="preserve"> </w:t>
      </w:r>
      <w:r>
        <w:t xml:space="preserve">Yandex Cloud (30%+ Marktanteil), SberCloud, Rostelecom — 85%+ nationaler Markt</w:t>
      </w:r>
    </w:p>
    <w:p>
      <w:pPr>
        <w:numPr>
          <w:ilvl w:val="0"/>
          <w:numId w:val="1015"/>
        </w:numPr>
        <w:pStyle w:val="Compact"/>
      </w:pPr>
      <w:r>
        <w:rPr>
          <w:bCs/>
          <w:b/>
        </w:rPr>
        <w:t xml:space="preserve">Technik:</w:t>
      </w:r>
      <w:r>
        <w:t xml:space="preserve"> </w:t>
      </w:r>
      <w:r>
        <w:t xml:space="preserve">Sber migriert 2025 von Kubernetes auf eigenen Container-Orchestrator. Sovereign Internet Law: eigenes DNS als Alternative zum globalen System</w:t>
      </w:r>
    </w:p>
    <w:p>
      <w:pPr>
        <w:numPr>
          <w:ilvl w:val="0"/>
          <w:numId w:val="1015"/>
        </w:numPr>
        <w:pStyle w:val="Compact"/>
      </w:pPr>
      <w:r>
        <w:rPr>
          <w:bCs/>
          <w:b/>
        </w:rPr>
        <w:t xml:space="preserve">Marktgröße:</w:t>
      </w:r>
      <w:r>
        <w:t xml:space="preserve"> </w:t>
      </w:r>
      <w:r>
        <w:t xml:space="preserve">3,1 Mrd. USD 2025, projiziert 7,4 Mrd. USD 2033</w:t>
      </w:r>
    </w:p>
    <w:p>
      <w:pPr>
        <w:pStyle w:val="FirstParagraph"/>
      </w:pPr>
      <w:r>
        <w:rPr>
          <w:bCs/>
          <w:b/>
        </w:rPr>
        <w:t xml:space="preserve">Caveat:</w:t>
      </w:r>
      <w:r>
        <w:t xml:space="preserve"> </w:t>
      </w:r>
      <w:r>
        <w:t xml:space="preserve">Russland entkommt dem CLOUD Act — ist aber dem FSB-Geheimdienstzugriff vollständig ausgesetzt. Kein Gewinn für Datenschutz.</w:t>
      </w:r>
    </w:p>
    <w:bookmarkEnd w:id="135"/>
    <w:bookmarkStart w:id="136" w:name="X3ad13b6fd5f56cb997f952c8bcd515919c9bb53"/>
    <w:p>
      <w:pPr>
        <w:pStyle w:val="Heading3"/>
      </w:pPr>
      <w:r>
        <w:t xml:space="preserve">15.4 Arabische Staaten — Petrodollar-finanzierte Souveränität</w:t>
      </w:r>
    </w:p>
    <w:p>
      <w:pPr>
        <w:pStyle w:val="FirstParagraph"/>
      </w:pPr>
      <w:r>
        <w:rPr>
          <w:bCs/>
          <w:b/>
        </w:rPr>
        <w:t xml:space="preserve">Strategie:</w:t>
      </w:r>
      <w:r>
        <w:t xml:space="preserve"> </w:t>
      </w:r>
      <w:r>
        <w:t xml:space="preserve">US-Anbieter lokal erzwingen, eigene Regeln setzen, mit Finanzmacht durchsetzen.</w:t>
      </w:r>
    </w:p>
    <w:p>
      <w:pPr>
        <w:numPr>
          <w:ilvl w:val="0"/>
          <w:numId w:val="1016"/>
        </w:numPr>
        <w:pStyle w:val="Compact"/>
      </w:pPr>
      <w:r>
        <w:rPr>
          <w:bCs/>
          <w:b/>
        </w:rPr>
        <w:t xml:space="preserve">Saudi-Arabien:</w:t>
      </w:r>
      <w:r>
        <w:t xml:space="preserve"> </w:t>
      </w:r>
      <w:r>
        <w:t xml:space="preserve">18-Milliarden-Dollar-Rechenzentrum-Strategie. Alle drei großen US-Hyperscaler haben lokale Zonen gebaut. PDPL mit Datenlokalisierungspflicht.</w:t>
      </w:r>
    </w:p>
    <w:p>
      <w:pPr>
        <w:numPr>
          <w:ilvl w:val="0"/>
          <w:numId w:val="1016"/>
        </w:numPr>
        <w:pStyle w:val="Compact"/>
      </w:pPr>
      <w:r>
        <w:rPr>
          <w:bCs/>
          <w:b/>
        </w:rPr>
        <w:t xml:space="preserve">UAE:</w:t>
      </w:r>
      <w:r>
        <w:t xml:space="preserve"> </w:t>
      </w:r>
      <w:r>
        <w:t xml:space="preserve">OneCloud — vollständig innerhalb der Landesgrenzen betriebene souveräne Hyperscale-Plattform auf Oracle Alloy. UAE Digital Government Strategy 2025.</w:t>
      </w:r>
    </w:p>
    <w:p>
      <w:pPr>
        <w:numPr>
          <w:ilvl w:val="0"/>
          <w:numId w:val="1016"/>
        </w:numPr>
        <w:pStyle w:val="Compact"/>
      </w:pPr>
      <w:r>
        <w:rPr>
          <w:bCs/>
          <w:b/>
        </w:rPr>
        <w:t xml:space="preserve">Sonderkonditionen:</w:t>
      </w:r>
      <w:r>
        <w:t xml:space="preserve"> </w:t>
      </w:r>
      <w:r>
        <w:t xml:space="preserve">Arabische Staaten zwingen US-Anbieter zu lokalen Servern, lokalem Personal, lokaler Schlüsselverwaltung und Sonderklauseln, die eigene Gesetze über US-Nutzungsbedingungen stellen.</w:t>
      </w:r>
    </w:p>
    <w:p>
      <w:pPr>
        <w:numPr>
          <w:ilvl w:val="0"/>
          <w:numId w:val="1016"/>
        </w:numPr>
        <w:pStyle w:val="Compact"/>
      </w:pPr>
      <w:r>
        <w:rPr>
          <w:bCs/>
          <w:b/>
        </w:rPr>
        <w:t xml:space="preserve">Restrisiko:</w:t>
      </w:r>
      <w:r>
        <w:t xml:space="preserve"> </w:t>
      </w:r>
      <w:r>
        <w:t xml:space="preserve">Für Verteidigung und kritische Infrastruktur bleibt CLOUD-Act-Risiko strukturell bestehen.</w:t>
      </w:r>
    </w:p>
    <w:p>
      <w:pPr>
        <w:pStyle w:val="FirstParagraph"/>
      </w:pPr>
      <w:r>
        <w:rPr>
          <w:bCs/>
          <w:b/>
        </w:rPr>
        <w:t xml:space="preserve">Caveat:</w:t>
      </w:r>
      <w:r>
        <w:t xml:space="preserve"> </w:t>
      </w:r>
      <w:r>
        <w:t xml:space="preserve">Sovereignty-Washing auf Hochglanz — aber mit echter Finanzkraft dahinter.</w:t>
      </w:r>
    </w:p>
    <w:bookmarkEnd w:id="136"/>
    <w:bookmarkStart w:id="137" w:name="israel-das-lehrreichste-negativbeispiel"/>
    <w:p>
      <w:pPr>
        <w:pStyle w:val="Heading3"/>
      </w:pPr>
      <w:r>
        <w:t xml:space="preserve">15.5 Israel — das lehrreichste Negativbeispiel</w:t>
      </w:r>
    </w:p>
    <w:p>
      <w:pPr>
        <w:pStyle w:val="FirstParagraph"/>
      </w:pPr>
      <w:r>
        <w:rPr>
          <w:bCs/>
          <w:b/>
        </w:rPr>
        <w:t xml:space="preserve">Strategie:</w:t>
      </w:r>
      <w:r>
        <w:t xml:space="preserve"> </w:t>
      </w:r>
      <w:r>
        <w:t xml:space="preserve">Volle Abhängigkeit von Google und Amazon — mit vertraglich erkauften Sonderklauseln.</w:t>
      </w:r>
    </w:p>
    <w:p>
      <w:pPr>
        <w:numPr>
          <w:ilvl w:val="0"/>
          <w:numId w:val="1017"/>
        </w:numPr>
        <w:pStyle w:val="Compact"/>
      </w:pPr>
      <w:r>
        <w:rPr>
          <w:bCs/>
          <w:b/>
        </w:rPr>
        <w:t xml:space="preserve">Project Nimbus:</w:t>
      </w:r>
      <w:r>
        <w:t xml:space="preserve"> </w:t>
      </w:r>
      <w:r>
        <w:t xml:space="preserve">1,2-Milliarden-Dollar-Vertrag mit Google und Amazon für Cloud-Services für Regierung, Verteidigungsapparat und IDF. Lokale Rechenzentren in Israel.</w:t>
      </w:r>
    </w:p>
    <w:p>
      <w:pPr>
        <w:numPr>
          <w:ilvl w:val="0"/>
          <w:numId w:val="1017"/>
        </w:numPr>
        <w:pStyle w:val="Compact"/>
      </w:pPr>
      <w:r>
        <w:rPr>
          <w:bCs/>
          <w:b/>
        </w:rPr>
        <w:t xml:space="preserve">Sonderklausel 1:</w:t>
      </w:r>
      <w:r>
        <w:t xml:space="preserve"> </w:t>
      </w:r>
      <w:r>
        <w:t xml:space="preserve">Vertrag verbietet Google und Amazon explizit, Israel den Dienst zu verweigern — auch wenn israelische Nutzung gegen Nutzungsbedingungen verstößt.</w:t>
      </w:r>
    </w:p>
    <w:p>
      <w:pPr>
        <w:numPr>
          <w:ilvl w:val="0"/>
          <w:numId w:val="1017"/>
        </w:numPr>
        <w:pStyle w:val="Compact"/>
      </w:pPr>
      <w:r>
        <w:rPr>
          <w:bCs/>
          <w:b/>
        </w:rPr>
        <w:t xml:space="preserve">Wink-Mechanismus:</w:t>
      </w:r>
      <w:r>
        <w:t xml:space="preserve"> </w:t>
      </w:r>
      <w:r>
        <w:t xml:space="preserve">Israel bestand auf versteckten Signalen in Zahlungstransaktionen, die geheim anzeigen, wenn ausländische Gerichte Datenzugriff verlangen. Google und Amazon stimmten zu. Microsoft weigerte sich und verlor den Auftrag.</w:t>
      </w:r>
    </w:p>
    <w:p>
      <w:pPr>
        <w:numPr>
          <w:ilvl w:val="0"/>
          <w:numId w:val="1017"/>
        </w:numPr>
        <w:pStyle w:val="Compact"/>
      </w:pPr>
      <w:r>
        <w:rPr>
          <w:bCs/>
          <w:b/>
        </w:rPr>
        <w:t xml:space="preserve">Was schiefging:</w:t>
      </w:r>
      <w:r>
        <w:t xml:space="preserve"> </w:t>
      </w:r>
      <w:r>
        <w:t xml:space="preserve">Microsoft sperrte Azure-Zugang für Geheimdiensteinheit 8200 — ein Knopfdruck in Redmond, der buchstäblich eine Datenkammer in Tel Aviv abdunkelte. Lokale Server bedeuten keine lokale Kontrolle.</w:t>
      </w:r>
    </w:p>
    <w:p>
      <w:pPr>
        <w:pStyle w:val="FirstParagraph"/>
      </w:pPr>
      <w:r>
        <w:rPr>
          <w:bCs/>
          <w:b/>
        </w:rPr>
        <w:t xml:space="preserve">Zitat Israel Democracy Institute:</w:t>
      </w:r>
      <w:r>
        <w:t xml:space="preserve"> </w:t>
      </w:r>
      <w:r>
        <w:rPr>
          <w:iCs/>
          <w:i/>
        </w:rPr>
        <w:t xml:space="preserve">“</w:t>
      </w:r>
      <w:r>
        <w:rPr>
          <w:iCs/>
          <w:i/>
        </w:rPr>
        <w:t xml:space="preserve">Israel kann von Datensouveränität sprechen, aber sobald Daten auf Microsoft Azure, AWS oder Google Cloud liegen, liegt das Schicksal dieser Daten in den Händen der Unternehmen, nicht des Staates.</w:t>
      </w:r>
      <w:r>
        <w:rPr>
          <w:iCs/>
          <w:i/>
        </w:rPr>
        <w:t xml:space="preserve">”</w:t>
      </w:r>
    </w:p>
    <w:p>
      <w:pPr>
        <w:pStyle w:val="BodyText"/>
      </w:pPr>
      <w:r>
        <w:rPr>
          <w:bCs/>
          <w:b/>
        </w:rPr>
        <w:t xml:space="preserve">Caveat:</w:t>
      </w:r>
      <w:r>
        <w:t xml:space="preserve"> </w:t>
      </w:r>
      <w:r>
        <w:t xml:space="preserve">Israel hat eine der stärksten Cyber-Tech-Industrien der Welt — und hat seine Staatssouveränität dennoch bewusst an zwei US-Konzerne ausgelagert.</w:t>
      </w:r>
    </w:p>
    <w:bookmarkEnd w:id="137"/>
    <w:bookmarkStart w:id="138" w:name="indien-regulierung-mit-echtem-biss"/>
    <w:p>
      <w:pPr>
        <w:pStyle w:val="Heading3"/>
      </w:pPr>
      <w:r>
        <w:t xml:space="preserve">15.6 Indien — Regulierung mit echtem Biss</w:t>
      </w:r>
    </w:p>
    <w:p>
      <w:pPr>
        <w:pStyle w:val="FirstParagraph"/>
      </w:pPr>
      <w:r>
        <w:rPr>
          <w:bCs/>
          <w:b/>
        </w:rPr>
        <w:t xml:space="preserve">Strategie:</w:t>
      </w:r>
      <w:r>
        <w:t xml:space="preserve"> </w:t>
      </w:r>
      <w:r>
        <w:t xml:space="preserve">Datenlokalisierung durch Gesetz mit echter Sanktionierung.</w:t>
      </w:r>
    </w:p>
    <w:p>
      <w:pPr>
        <w:numPr>
          <w:ilvl w:val="0"/>
          <w:numId w:val="1018"/>
        </w:numPr>
        <w:pStyle w:val="Compact"/>
      </w:pPr>
      <w:r>
        <w:rPr>
          <w:bCs/>
          <w:b/>
        </w:rPr>
        <w:t xml:space="preserve">DPDP Act 2023:</w:t>
      </w:r>
      <w:r>
        <w:t xml:space="preserve"> </w:t>
      </w:r>
      <w:r>
        <w:t xml:space="preserve">Pflicht zur Datenspeicherung in Indien für sensible Kategorien</w:t>
      </w:r>
    </w:p>
    <w:p>
      <w:pPr>
        <w:numPr>
          <w:ilvl w:val="0"/>
          <w:numId w:val="1018"/>
        </w:numPr>
        <w:pStyle w:val="Compact"/>
      </w:pPr>
      <w:r>
        <w:rPr>
          <w:bCs/>
          <w:b/>
        </w:rPr>
        <w:t xml:space="preserve">RBI-Sanktionen:</w:t>
      </w:r>
      <w:r>
        <w:t xml:space="preserve"> </w:t>
      </w:r>
      <w:r>
        <w:t xml:space="preserve">American Express gesperrt (2021), Mastercard blockiert (2021) — wegen Datenspeicherung außerhalb Indiens. Das ist echter Biss.</w:t>
      </w:r>
    </w:p>
    <w:p>
      <w:pPr>
        <w:numPr>
          <w:ilvl w:val="0"/>
          <w:numId w:val="1018"/>
        </w:numPr>
        <w:pStyle w:val="Compact"/>
      </w:pPr>
      <w:r>
        <w:rPr>
          <w:bCs/>
          <w:b/>
        </w:rPr>
        <w:t xml:space="preserve">Staatliche Cloud:</w:t>
      </w:r>
      <w:r>
        <w:t xml:space="preserve"> </w:t>
      </w:r>
      <w:r>
        <w:t xml:space="preserve">NIC Cloud für Behörden. RBI baut 2025/26 eigene Financial Services Cloud für alle Banken.</w:t>
      </w:r>
    </w:p>
    <w:p>
      <w:pPr>
        <w:numPr>
          <w:ilvl w:val="0"/>
          <w:numId w:val="1018"/>
        </w:numPr>
        <w:pStyle w:val="Compact"/>
      </w:pPr>
      <w:r>
        <w:rPr>
          <w:bCs/>
          <w:b/>
        </w:rPr>
        <w:t xml:space="preserve">Problem:</w:t>
      </w:r>
      <w:r>
        <w:t xml:space="preserve"> </w:t>
      </w:r>
      <w:r>
        <w:t xml:space="preserve">Indien erzeugt 20% der weltweiten Daten — hat aber weniger als 2% der globalen RZ-Kapazität.</w:t>
      </w:r>
    </w:p>
    <w:bookmarkEnd w:id="138"/>
    <w:bookmarkStart w:id="139" w:name="X9adca80a68f2b8978b5fe1098723f22693c7a4c"/>
    <w:p>
      <w:pPr>
        <w:pStyle w:val="Heading3"/>
      </w:pPr>
      <w:r>
        <w:t xml:space="preserve">15.7 Japan — staatlich finanziertes Drei-Souveränitäten-Modell</w:t>
      </w:r>
    </w:p>
    <w:p>
      <w:pPr>
        <w:pStyle w:val="FirstParagraph"/>
      </w:pPr>
      <w:r>
        <w:rPr>
          <w:bCs/>
          <w:b/>
        </w:rPr>
        <w:t xml:space="preserve">Strategie:</w:t>
      </w:r>
      <w:r>
        <w:t xml:space="preserve"> </w:t>
      </w:r>
      <w:r>
        <w:t xml:space="preserve">Klare Architektur-Vorgabe + 500 Mio. USD Staatsförderung.</w:t>
      </w:r>
    </w:p>
    <w:p>
      <w:pPr>
        <w:numPr>
          <w:ilvl w:val="0"/>
          <w:numId w:val="1019"/>
        </w:numPr>
        <w:pStyle w:val="Compact"/>
      </w:pPr>
      <w:r>
        <w:rPr>
          <w:bCs/>
          <w:b/>
        </w:rPr>
        <w:t xml:space="preserve">Drei Souveränitäten (NTT DATA):</w:t>
      </w:r>
      <w:r>
        <w:t xml:space="preserve"> </w:t>
      </w:r>
      <w:r>
        <w:t xml:space="preserve">Data Sovereignty (Verschlüsselung), System Sovereignty (Software-Spezifikationen, Quellcode), Operational Sovereignty (japanisches Personal, lokale Schlüssel)</w:t>
      </w:r>
    </w:p>
    <w:p>
      <w:pPr>
        <w:numPr>
          <w:ilvl w:val="0"/>
          <w:numId w:val="1019"/>
        </w:numPr>
        <w:pStyle w:val="Compact"/>
      </w:pPr>
      <w:r>
        <w:rPr>
          <w:bCs/>
          <w:b/>
        </w:rPr>
        <w:t xml:space="preserve">ESPA:</w:t>
      </w:r>
      <w:r>
        <w:t xml:space="preserve"> </w:t>
      </w:r>
      <w:r>
        <w:t xml:space="preserve">ca. 500 Mio. USD für souveräne Cloud- und KI-Rechenkapazitäten</w:t>
      </w:r>
    </w:p>
    <w:p>
      <w:pPr>
        <w:numPr>
          <w:ilvl w:val="0"/>
          <w:numId w:val="1019"/>
        </w:numPr>
        <w:pStyle w:val="Compact"/>
      </w:pPr>
      <w:r>
        <w:rPr>
          <w:bCs/>
          <w:b/>
        </w:rPr>
        <w:t xml:space="preserve">Government Cloud:</w:t>
      </w:r>
      <w:r>
        <w:t xml:space="preserve"> </w:t>
      </w:r>
      <w:r>
        <w:t xml:space="preserve">Sakura Internet baut den Government Cloud — japanisches Unternehmen, japanische RZ, japanisches Personal</w:t>
      </w:r>
    </w:p>
    <w:p>
      <w:pPr>
        <w:numPr>
          <w:ilvl w:val="0"/>
          <w:numId w:val="1019"/>
        </w:numPr>
        <w:pStyle w:val="Compact"/>
      </w:pPr>
      <w:r>
        <w:rPr>
          <w:bCs/>
          <w:b/>
        </w:rPr>
        <w:t xml:space="preserve">Industriekonzerne:</w:t>
      </w:r>
      <w:r>
        <w:t xml:space="preserve"> </w:t>
      </w:r>
      <w:r>
        <w:t xml:space="preserve">NTT und Fujitsu bauen souveräne Plattformen für regulierte Industrien</w:t>
      </w:r>
    </w:p>
    <w:bookmarkEnd w:id="139"/>
    <w:bookmarkStart w:id="140" w:name="X0d2c2900a9d2102acc2ea5a78c66947c396c8e2"/>
    <w:p>
      <w:pPr>
        <w:pStyle w:val="Heading3"/>
      </w:pPr>
      <w:r>
        <w:t xml:space="preserve">15.8 Brasilien &amp; Südamerika — Ansätze ohne Eigenaufbau</w:t>
      </w:r>
    </w:p>
    <w:p>
      <w:pPr>
        <w:numPr>
          <w:ilvl w:val="0"/>
          <w:numId w:val="1020"/>
        </w:numPr>
        <w:pStyle w:val="Compact"/>
      </w:pPr>
      <w:r>
        <w:t xml:space="preserve">LGPD (Brasiliens DSGVO) seit 2020 — Regulierung vorhanden, Durchsetzung schwächer als Indien</w:t>
      </w:r>
    </w:p>
    <w:p>
      <w:pPr>
        <w:numPr>
          <w:ilvl w:val="0"/>
          <w:numId w:val="1020"/>
        </w:numPr>
        <w:pStyle w:val="Compact"/>
      </w:pPr>
      <w:r>
        <w:t xml:space="preserve">AWS São Paulo: lokale Region, aber US-Anbieter</w:t>
      </w:r>
    </w:p>
    <w:p>
      <w:pPr>
        <w:numPr>
          <w:ilvl w:val="0"/>
          <w:numId w:val="1020"/>
        </w:numPr>
        <w:pStyle w:val="Compact"/>
      </w:pPr>
      <w:r>
        <w:t xml:space="preserve">Heimische Anbieter: kaum skalierbar; Rest Südamerikas weitgehend auf US-Hyperscaler angewiesen</w:t>
      </w:r>
    </w:p>
    <w:bookmarkEnd w:id="140"/>
    <w:bookmarkStart w:id="141" w:name="afrika-wille-ohne-infrastruktur"/>
    <w:p>
      <w:pPr>
        <w:pStyle w:val="Heading3"/>
      </w:pPr>
      <w:r>
        <w:t xml:space="preserve">15.9 Afrika — Wille ohne Infrastruktur</w:t>
      </w:r>
    </w:p>
    <w:p>
      <w:pPr>
        <w:numPr>
          <w:ilvl w:val="0"/>
          <w:numId w:val="1021"/>
        </w:numPr>
        <w:pStyle w:val="Compact"/>
      </w:pPr>
      <w:r>
        <w:t xml:space="preserve">223 Rechenzentren auf 54 Länder verteilt (Mitte 2025). Südafrika 56, Kenia 19, Nigeria 17</w:t>
      </w:r>
    </w:p>
    <w:p>
      <w:pPr>
        <w:numPr>
          <w:ilvl w:val="0"/>
          <w:numId w:val="1021"/>
        </w:numPr>
        <w:pStyle w:val="Compact"/>
      </w:pPr>
      <w:r>
        <w:t xml:space="preserve">Nigeria: 17 RZ in Lagos, Stromnetz liefert im Schnitt 4 Stunden täglich — Dieselgeneratoren erforderlich</w:t>
      </w:r>
    </w:p>
    <w:p>
      <w:pPr>
        <w:numPr>
          <w:ilvl w:val="0"/>
          <w:numId w:val="1021"/>
        </w:numPr>
        <w:pStyle w:val="Compact"/>
      </w:pPr>
      <w:r>
        <w:t xml:space="preserve">Afrika erzeugt 18% der Weltbevölkerung, aber weniger als 4% der globalen KI-Trainingsdaten</w:t>
      </w:r>
    </w:p>
    <w:p>
      <w:pPr>
        <w:numPr>
          <w:ilvl w:val="0"/>
          <w:numId w:val="1021"/>
        </w:numPr>
        <w:pStyle w:val="Compact"/>
      </w:pPr>
      <w:r>
        <w:t xml:space="preserve">Strategischer Ausweg: Shared Digital Infrastructure — regionale RZ-Pools statt Einzelkämpfer je Land</w:t>
      </w:r>
    </w:p>
    <w:bookmarkEnd w:id="141"/>
    <w:bookmarkStart w:id="142" w:name="das-globale-muster-ein-satz-je-region"/>
    <w:p>
      <w:pPr>
        <w:pStyle w:val="Heading3"/>
      </w:pPr>
      <w:r>
        <w:t xml:space="preserve">15.10 Das globale Muster — ein Satz je Region</w:t>
      </w:r>
    </w:p>
    <w:p>
      <w:pPr>
        <w:numPr>
          <w:ilvl w:val="0"/>
          <w:numId w:val="1022"/>
        </w:numPr>
        <w:pStyle w:val="Compact"/>
      </w:pPr>
      <w:r>
        <w:rPr>
          <w:bCs/>
          <w:b/>
        </w:rPr>
        <w:t xml:space="preserve">China &amp; Russland:</w:t>
      </w:r>
      <w:r>
        <w:t xml:space="preserve"> </w:t>
      </w:r>
      <w:r>
        <w:t xml:space="preserve">Souverän — aber wegen staatlicher Kontrolle, nicht Datenschutz. Kein Modell für Europa.</w:t>
      </w:r>
    </w:p>
    <w:p>
      <w:pPr>
        <w:numPr>
          <w:ilvl w:val="0"/>
          <w:numId w:val="1022"/>
        </w:numPr>
        <w:pStyle w:val="Compact"/>
      </w:pPr>
      <w:r>
        <w:rPr>
          <w:bCs/>
          <w:b/>
        </w:rPr>
        <w:t xml:space="preserve">Arabische Staaten:</w:t>
      </w:r>
      <w:r>
        <w:t xml:space="preserve"> </w:t>
      </w:r>
      <w:r>
        <w:t xml:space="preserve">Kaufen Souveränität mit Petrodollar — zwingen US-Anbieter zu lokalen Servern, Schlüsseln, Regeln.</w:t>
      </w:r>
    </w:p>
    <w:p>
      <w:pPr>
        <w:numPr>
          <w:ilvl w:val="0"/>
          <w:numId w:val="1022"/>
        </w:numPr>
        <w:pStyle w:val="Compact"/>
      </w:pPr>
      <w:r>
        <w:rPr>
          <w:bCs/>
          <w:b/>
        </w:rPr>
        <w:t xml:space="preserve">Indien &amp; Japan:</w:t>
      </w:r>
      <w:r>
        <w:t xml:space="preserve"> </w:t>
      </w:r>
      <w:r>
        <w:t xml:space="preserve">Machen es richtig — Regulierung mit Biss plus staatliche Finanzierung eigener Infrastruktur.</w:t>
      </w:r>
    </w:p>
    <w:p>
      <w:pPr>
        <w:numPr>
          <w:ilvl w:val="0"/>
          <w:numId w:val="1022"/>
        </w:numPr>
        <w:pStyle w:val="Compact"/>
      </w:pPr>
      <w:r>
        <w:rPr>
          <w:bCs/>
          <w:b/>
        </w:rPr>
        <w:t xml:space="preserve">Europa:</w:t>
      </w:r>
      <w:r>
        <w:t xml:space="preserve"> </w:t>
      </w:r>
      <w:r>
        <w:t xml:space="preserve">Hat die besten Regeln der Welt — und kauft trotzdem bei US-Hyperscalern ein. Das ist der europäische Widerspruch.</w:t>
      </w:r>
    </w:p>
    <w:p>
      <w:pPr>
        <w:numPr>
          <w:ilvl w:val="0"/>
          <w:numId w:val="1022"/>
        </w:numPr>
        <w:pStyle w:val="Compact"/>
      </w:pPr>
      <w:r>
        <w:rPr>
          <w:bCs/>
          <w:b/>
        </w:rPr>
        <w:t xml:space="preserve">Israel:</w:t>
      </w:r>
      <w:r>
        <w:t xml:space="preserve"> </w:t>
      </w:r>
      <w:r>
        <w:t xml:space="preserve">Das lehrreichste Negativbeispiel — stärkste Cyber-Nation, schwächste Cloud-Souveränität. Microsoft konnte buchstäblich das Licht ausknipsen.</w:t>
      </w:r>
    </w:p>
    <w:p>
      <w:pPr>
        <w:numPr>
          <w:ilvl w:val="0"/>
          <w:numId w:val="1022"/>
        </w:numPr>
        <w:pStyle w:val="Compact"/>
      </w:pPr>
      <w:r>
        <w:rPr>
          <w:bCs/>
          <w:b/>
        </w:rPr>
        <w:t xml:space="preserve">Brasilien &amp; Afrika:</w:t>
      </w:r>
      <w:r>
        <w:t xml:space="preserve"> </w:t>
      </w:r>
      <w:r>
        <w:t xml:space="preserve">Wollen — können noch nicht. Infrastruktur fehlt.</w:t>
      </w:r>
    </w:p>
    <w:p>
      <w:r>
        <w:pict>
          <v:rect style="width:0;height:1.5pt" o:hralign="center" o:hrstd="t" o:hr="t"/>
        </w:pict>
      </w:r>
    </w:p>
    <w:bookmarkEnd w:id="142"/>
    <w:bookmarkEnd w:id="143"/>
    <w:bookmarkStart w:id="149" w:name="X4abf57310d264e9ae496e4a059cc8fdfdf8a472"/>
    <w:p>
      <w:pPr>
        <w:pStyle w:val="Heading2"/>
      </w:pPr>
      <w:r>
        <w:t xml:space="preserve">16. Aufsichts- und Regulierungslandschaft: Wer den Rahmen setzt — und wer nicht durchsetzt</w:t>
      </w:r>
    </w:p>
    <w:p>
      <w:pPr>
        <w:pStyle w:val="FirstParagraph"/>
      </w:pPr>
      <w:r>
        <w:t xml:space="preserve">§1.2.2 dokumentiert das Vollzugsdefizit: Kein einziges Bußgeld gegen eine Gesundheitsinstitution wegen US-Cloud-Nutzung ist öffentlich bekannt. Dieses Kapitel zeigt, warum. Die regulatorische Zuständigkeit für Cloud und KI im Gesundheitswesen ist auf mehr als ein Dutzend Institutionen verteilt — keine davon deckt das Gesamtbild ab. Das CLOUD-Act-Problem fällt systematisch zwischen die Zuständigkeiten.</w:t>
      </w:r>
    </w:p>
    <w:bookmarkStart w:id="144" w:name="wer-ist-zuständig-und-wofür-nicht"/>
    <w:p>
      <w:pPr>
        <w:pStyle w:val="Heading3"/>
      </w:pPr>
      <w:r>
        <w:t xml:space="preserve">16.1 Wer ist zuständig — und wofür nicht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Zuständigkeit im Kontext Cloud/KI</w:t>
            </w:r>
          </w:p>
        </w:tc>
        <w:tc>
          <w:tcPr/>
          <w:p>
            <w:pPr>
              <w:pStyle w:val="Compact"/>
              <w:jc w:val="left"/>
            </w:pPr>
            <w:r>
              <w:t xml:space="preserve">Was sie</w:t>
            </w:r>
            <w:r>
              <w:t xml:space="preserve"> </w:t>
            </w:r>
            <w:r>
              <w:rPr>
                <w:bCs/>
                <w:b/>
              </w:rPr>
              <w:t xml:space="preserve">nicht</w:t>
            </w:r>
            <w:r>
              <w:t xml:space="preserve"> </w:t>
            </w:r>
            <w:r>
              <w:t xml:space="preserve">prüft</w:t>
            </w:r>
          </w:p>
        </w:tc>
      </w:tr>
      <w:tr>
        <w:tc>
          <w:tcPr/>
          <w:p>
            <w:pPr>
              <w:pStyle w:val="Compact"/>
              <w:jc w:val="left"/>
            </w:pPr>
            <w:r>
              <w:rPr>
                <w:bCs/>
                <w:b/>
              </w:rPr>
              <w:t xml:space="preserve">BfDI</w:t>
            </w:r>
            <w:r>
              <w:t xml:space="preserve"> </w:t>
            </w:r>
            <w:r>
              <w:t xml:space="preserve">(Bundesbeauftragter für den Datenschutz)</w:t>
            </w:r>
          </w:p>
        </w:tc>
        <w:tc>
          <w:tcPr/>
          <w:p>
            <w:pPr>
              <w:pStyle w:val="Compact"/>
              <w:jc w:val="left"/>
            </w:pPr>
            <w:r>
              <w:t xml:space="preserve">DSGVO-Aufsicht über Bundesbehörden; KI-Handreichung Dezember 2025</w:t>
            </w:r>
          </w:p>
        </w:tc>
        <w:tc>
          <w:tcPr/>
          <w:p>
            <w:pPr>
              <w:pStyle w:val="Compact"/>
              <w:jc w:val="left"/>
            </w:pPr>
            <w:r>
              <w:t xml:space="preserve">Keine Fachaufsicht über GKVen oder Kliniken; keine Sanktionskompetenz gegen US-Anbieter</w:t>
            </w:r>
          </w:p>
        </w:tc>
      </w:tr>
      <w:tr>
        <w:tc>
          <w:tcPr/>
          <w:p>
            <w:pPr>
              <w:pStyle w:val="Compact"/>
              <w:jc w:val="left"/>
            </w:pPr>
            <w:r>
              <w:rPr>
                <w:bCs/>
                <w:b/>
              </w:rPr>
              <w:t xml:space="preserve">16 Landesaufsichtsbehörden</w:t>
            </w:r>
          </w:p>
        </w:tc>
        <w:tc>
          <w:tcPr/>
          <w:p>
            <w:pPr>
              <w:pStyle w:val="Compact"/>
              <w:jc w:val="left"/>
            </w:pPr>
            <w:r>
              <w:t xml:space="preserve">DSGVO-Aufsicht über Landesbehörden, Unikliniken, landesunmittelbare GKVen</w:t>
            </w:r>
          </w:p>
        </w:tc>
        <w:tc>
          <w:tcPr/>
          <w:p>
            <w:pPr>
              <w:pStyle w:val="Compact"/>
              <w:jc w:val="left"/>
            </w:pPr>
            <w:r>
              <w:t xml:space="preserve">Kein koordiniertes Enforcement; DSK-Beschlüsse nicht rechtsverbindlich; keine Jurisdiktionsprüfung</w:t>
            </w:r>
          </w:p>
        </w:tc>
      </w:tr>
      <w:tr>
        <w:tc>
          <w:tcPr/>
          <w:p>
            <w:pPr>
              <w:pStyle w:val="Compact"/>
              <w:jc w:val="left"/>
            </w:pPr>
            <w:r>
              <w:rPr>
                <w:bCs/>
                <w:b/>
              </w:rPr>
              <w:t xml:space="preserve">BAS</w:t>
            </w:r>
            <w:r>
              <w:t xml:space="preserve"> </w:t>
            </w:r>
            <w:r>
              <w:t xml:space="preserve">(Bundesamt für Soziale Sicherung)</w:t>
            </w:r>
          </w:p>
        </w:tc>
        <w:tc>
          <w:tcPr/>
          <w:p>
            <w:pPr>
              <w:pStyle w:val="Compact"/>
              <w:jc w:val="left"/>
            </w:pPr>
            <w:r>
              <w:t xml:space="preserve">Rechts- und Fachaufsicht über bundesunmittelbare GKVen (TK, Barmer, DAK, AOK BV u.a.); Digitalausschuss seit 2020; Rundschreiben</w:t>
            </w:r>
            <w:r>
              <w:t xml:space="preserve"> </w:t>
            </w:r>
            <w:r>
              <w:t xml:space="preserve">“</w:t>
            </w:r>
            <w:r>
              <w:t xml:space="preserve">Cloud-basierte IT-Lösungen in der Sozialversicherung</w:t>
            </w:r>
            <w:r>
              <w:t xml:space="preserve">”</w:t>
            </w:r>
            <w:r>
              <w:t xml:space="preserve"> </w:t>
            </w:r>
            <w:r>
              <w:t xml:space="preserve">(2017/2018, aktualisiert); Selbstverpflichtende KI-Leitlinien im BMAS-Netzwerk; betreut Kassen-Sondervereinbarung mit Microsoft</w:t>
            </w:r>
          </w:p>
        </w:tc>
        <w:tc>
          <w:tcPr/>
          <w:p>
            <w:pPr>
              <w:pStyle w:val="Compact"/>
              <w:jc w:val="left"/>
            </w:pPr>
            <w:r>
              <w:t xml:space="preserve">Kein DSGVO-Enforcement — das bleibt beim BfDI; Cloud-Rundschreiben fokussiert Datenortung (EU/EWR) und AVV, nicht Jurisdiktionsprüfung; keine öffentliche CLOUD-Act-Bewertung</w:t>
            </w:r>
          </w:p>
        </w:tc>
      </w:tr>
      <w:tr>
        <w:tc>
          <w:tcPr/>
          <w:p>
            <w:pPr>
              <w:pStyle w:val="Compact"/>
              <w:jc w:val="left"/>
            </w:pPr>
            <w:r>
              <w:rPr>
                <w:bCs/>
                <w:b/>
              </w:rPr>
              <w:t xml:space="preserve">BMG</w:t>
            </w:r>
            <w:r>
              <w:t xml:space="preserve"> </w:t>
            </w:r>
            <w:r>
              <w:t xml:space="preserve">(Bundesgesundheitsministerium)</w:t>
            </w:r>
          </w:p>
        </w:tc>
        <w:tc>
          <w:tcPr/>
          <w:p>
            <w:pPr>
              <w:pStyle w:val="Compact"/>
              <w:jc w:val="left"/>
            </w:pPr>
            <w:r>
              <w:t xml:space="preserve">Gesetzgebung: DigiG/§ 393 SGB V (2024), GDNG (2024), GeDIG (Entwurf 2026); C5-Äquivalenzverordnung (RefE Januar 2025); Digitalisierungsstrategie</w:t>
            </w:r>
            <w:r>
              <w:t xml:space="preserve"> </w:t>
            </w:r>
            <w:r>
              <w:t xml:space="preserve">“</w:t>
            </w:r>
            <w:r>
              <w:t xml:space="preserve">Gemeinsam Digital</w:t>
            </w:r>
            <w:r>
              <w:t xml:space="preserve">”</w:t>
            </w:r>
            <w:r>
              <w:t xml:space="preserve"> </w:t>
            </w:r>
            <w:r>
              <w:t xml:space="preserve">(Update Februar 2026: KI-Dokumentation in 70% der Einrichtungen bis 2028); GDAG — gematik wird Gesundheits-Digitalagentur mit Durchsetzungsbefugnissen</w:t>
            </w:r>
          </w:p>
        </w:tc>
        <w:tc>
          <w:tcPr/>
          <w:p>
            <w:pPr>
              <w:pStyle w:val="Compact"/>
              <w:jc w:val="left"/>
            </w:pPr>
            <w:r>
              <w:t xml:space="preserve">Reguliert Rahmenbedingungen, nicht Einzelfälle; § 393 adressiert IT-Sicherheit (C5), nicht Jurisdiktion; US-Anbieter nicht ausgeschlossen wenn DPF-zertifiziert + C5 + DE-Niederlassung; AWS hat Lobbytätigkeit zu § 393 im Lobbyregister (RV0008560) eingetragen</w:t>
            </w:r>
          </w:p>
        </w:tc>
      </w:tr>
      <w:tr>
        <w:tc>
          <w:tcPr/>
          <w:p>
            <w:pPr>
              <w:pStyle w:val="Compact"/>
              <w:jc w:val="left"/>
            </w:pPr>
            <w:r>
              <w:rPr>
                <w:bCs/>
                <w:b/>
              </w:rPr>
              <w:t xml:space="preserve">gematik</w:t>
            </w:r>
          </w:p>
        </w:tc>
        <w:tc>
          <w:tcPr/>
          <w:p>
            <w:pPr>
              <w:pStyle w:val="Compact"/>
              <w:jc w:val="left"/>
            </w:pPr>
            <w:r>
              <w:t xml:space="preserve">TI-Betrieb; Zulassung von TI-Komponenten, TI-Gateways, ePA-Anbietern; C5-Testat-Liste (INA-Portal); TI 2.0 ZETA/Zero Trust (quelloffen seit Dezember 2025); Impulspapier</w:t>
            </w:r>
            <w:r>
              <w:t xml:space="preserve"> </w:t>
            </w:r>
            <w:r>
              <w:t xml:space="preserve">“</w:t>
            </w:r>
            <w:r>
              <w:t xml:space="preserve">KI im Gesundheitswesen</w:t>
            </w:r>
            <w:r>
              <w:t xml:space="preserve">”</w:t>
            </w:r>
            <w:r>
              <w:t xml:space="preserve"> </w:t>
            </w:r>
            <w:r>
              <w:t xml:space="preserve">(Juli 2025): FHIR-Starter-Projekt, KI für Datenstrukturierung; wird unter GDAG zur Digitalagentur mit Durchsetzungsbefugnissen</w:t>
            </w:r>
          </w:p>
        </w:tc>
        <w:tc>
          <w:tcPr/>
          <w:p>
            <w:pPr>
              <w:pStyle w:val="Compact"/>
              <w:jc w:val="left"/>
            </w:pPr>
            <w:r>
              <w:t xml:space="preserve">Keine DSGVO-Aufsicht; keine Jurisdiktionsprüfung bei Zulassungen; TI-Gateway-Zulassung prüft Sicherheit, nicht CLOUD-Act-Exposition; Datensouveränität als Designprinzip formuliert, aber kein Ausschluss US-basierter Gateway-Betreiber</w:t>
            </w:r>
          </w:p>
        </w:tc>
      </w:tr>
      <w:tr>
        <w:tc>
          <w:tcPr/>
          <w:p>
            <w:pPr>
              <w:pStyle w:val="Compact"/>
              <w:jc w:val="left"/>
            </w:pPr>
            <w:r>
              <w:rPr>
                <w:bCs/>
                <w:b/>
              </w:rPr>
              <w:t xml:space="preserve">G-BA</w:t>
            </w:r>
            <w:r>
              <w:t xml:space="preserve"> </w:t>
            </w:r>
            <w:r>
              <w:t xml:space="preserve">(Gemeinsamer Bundesausschuss)</w:t>
            </w:r>
          </w:p>
        </w:tc>
        <w:tc>
          <w:tcPr/>
          <w:p>
            <w:pPr>
              <w:pStyle w:val="Compact"/>
              <w:jc w:val="left"/>
            </w:pPr>
            <w:r>
              <w:t xml:space="preserve">Höchstes Beschlussgremium der gemeinsamen Selbstverwaltung; DiGA-Aufnahme (BfArM zuständig); Richtlinien für Versorgung</w:t>
            </w:r>
          </w:p>
        </w:tc>
        <w:tc>
          <w:tcPr/>
          <w:p>
            <w:pPr>
              <w:pStyle w:val="Compact"/>
              <w:jc w:val="left"/>
            </w:pPr>
            <w:r>
              <w:t xml:space="preserve">Keine Cloud- oder KI-spezifische Regulierung; keine Datenschutzaufsicht</w:t>
            </w:r>
          </w:p>
        </w:tc>
      </w:tr>
      <w:tr>
        <w:tc>
          <w:tcPr/>
          <w:p>
            <w:pPr>
              <w:pStyle w:val="Compact"/>
              <w:jc w:val="left"/>
            </w:pPr>
            <w:r>
              <w:rPr>
                <w:bCs/>
                <w:b/>
              </w:rPr>
              <w:t xml:space="preserve">BfArM</w:t>
            </w:r>
          </w:p>
        </w:tc>
        <w:tc>
          <w:tcPr/>
          <w:p>
            <w:pPr>
              <w:pStyle w:val="Compact"/>
              <w:jc w:val="left"/>
            </w:pPr>
            <w:r>
              <w:t xml:space="preserve">DiGA-Zulassung; Datensicherheitsanforderungen (mit BSI) für digitale Gesundheitsanwendungen ab 01.01.2025</w:t>
            </w:r>
          </w:p>
        </w:tc>
        <w:tc>
          <w:tcPr/>
          <w:p>
            <w:pPr>
              <w:pStyle w:val="Compact"/>
              <w:jc w:val="left"/>
            </w:pPr>
            <w:r>
              <w:t xml:space="preserve">Prüft Funktionstauglichkeit und Datensicherheit, nicht Cloud-Jurisdiktion des Herstellers</w:t>
            </w:r>
          </w:p>
        </w:tc>
      </w:tr>
      <w:tr>
        <w:tc>
          <w:tcPr/>
          <w:p>
            <w:pPr>
              <w:pStyle w:val="Compact"/>
              <w:jc w:val="left"/>
            </w:pPr>
            <w:r>
              <w:rPr>
                <w:bCs/>
                <w:b/>
              </w:rPr>
              <w:t xml:space="preserve">BSI</w:t>
            </w:r>
          </w:p>
        </w:tc>
        <w:tc>
          <w:tcPr/>
          <w:p>
            <w:pPr>
              <w:pStyle w:val="Compact"/>
              <w:jc w:val="left"/>
            </w:pPr>
            <w:r>
              <w:t xml:space="preserve">IT-Sicherheit: C5-Testat, C5:2026, BSI-TR Gesundheitsanwendungen; Souveränitätskriterien angekündigt (mit ANSSI, separates Dokument)</w:t>
            </w:r>
          </w:p>
        </w:tc>
        <w:tc>
          <w:tcPr/>
          <w:p>
            <w:pPr>
              <w:pStyle w:val="Compact"/>
              <w:jc w:val="left"/>
            </w:pPr>
            <w:r>
              <w:t xml:space="preserve">C5 prüft Informationssicherheit,</w:t>
            </w:r>
            <w:r>
              <w:t xml:space="preserve"> </w:t>
            </w:r>
            <w:r>
              <w:rPr>
                <w:bCs/>
                <w:b/>
              </w:rPr>
              <w:t xml:space="preserve">nicht</w:t>
            </w:r>
            <w:r>
              <w:t xml:space="preserve"> </w:t>
            </w:r>
            <w:r>
              <w:t xml:space="preserve">Jurisdiktion — das ist die dokumentierte Lücke aus §1.1</w:t>
            </w:r>
          </w:p>
        </w:tc>
      </w:tr>
      <w:tr>
        <w:tc>
          <w:tcPr/>
          <w:p>
            <w:pPr>
              <w:pStyle w:val="Compact"/>
              <w:jc w:val="left"/>
            </w:pPr>
            <w:r>
              <w:rPr>
                <w:bCs/>
                <w:b/>
              </w:rPr>
              <w:t xml:space="preserve">KBV</w:t>
            </w:r>
            <w:r>
              <w:t xml:space="preserve"> </w:t>
            </w:r>
            <w:r>
              <w:t xml:space="preserve">(Kassenärztliche Bundesvereinigung)</w:t>
            </w:r>
          </w:p>
        </w:tc>
        <w:tc>
          <w:tcPr/>
          <w:p>
            <w:pPr>
              <w:pStyle w:val="Compact"/>
              <w:jc w:val="left"/>
            </w:pPr>
            <w:r>
              <w:t xml:space="preserve">IT-Sicherheitsrichtlinie nach § 390 SGB V (verpflichtend ab Oktober 2025); Cloud-Apps nur mit C5-Testat nach § 393; Microsoft-Cloud-Sync muss deaktiviert werden; PraxisWissen</w:t>
            </w:r>
            <w:r>
              <w:t xml:space="preserve"> </w:t>
            </w:r>
            <w:r>
              <w:t xml:space="preserve">“</w:t>
            </w:r>
            <w:r>
              <w:t xml:space="preserve">KI in Praxen</w:t>
            </w:r>
            <w:r>
              <w:t xml:space="preserve">”</w:t>
            </w:r>
            <w:r>
              <w:t xml:space="preserve"> </w:t>
            </w:r>
            <w:r>
              <w:t xml:space="preserve">(Mai 2025): KI = Cloud-Anwendung mit C5-Pflicht, Arzt behält Entscheidungshoheit, Patienteneinwilligung bei KI-Transkription</w:t>
            </w:r>
          </w:p>
        </w:tc>
        <w:tc>
          <w:tcPr/>
          <w:p>
            <w:pPr>
              <w:pStyle w:val="Compact"/>
              <w:jc w:val="left"/>
            </w:pPr>
            <w:r>
              <w:t xml:space="preserve">Cloud-Anbieterjurisdiktion nicht adressiert; Deaktivierung Microsoft-Cloud-Sync ist stärkste praktische Einschränkung, aber begründet mit Datensicherheit, nicht CLOUD Act</w:t>
            </w:r>
          </w:p>
        </w:tc>
      </w:tr>
      <w:tr>
        <w:tc>
          <w:tcPr/>
          <w:p>
            <w:pPr>
              <w:pStyle w:val="Compact"/>
              <w:jc w:val="left"/>
            </w:pPr>
            <w:r>
              <w:rPr>
                <w:bCs/>
                <w:b/>
              </w:rPr>
              <w:t xml:space="preserve">DKG</w:t>
            </w:r>
            <w:r>
              <w:t xml:space="preserve"> </w:t>
            </w:r>
            <w:r>
              <w:t xml:space="preserve">(Deutsche Krankenhausgesellschaft)</w:t>
            </w:r>
          </w:p>
        </w:tc>
        <w:tc>
          <w:tcPr/>
          <w:p>
            <w:pPr>
              <w:pStyle w:val="Compact"/>
              <w:jc w:val="left"/>
            </w:pPr>
            <w:r>
              <w:t xml:space="preserve">Positionspapier</w:t>
            </w:r>
            <w:r>
              <w:t xml:space="preserve"> </w:t>
            </w:r>
            <w:r>
              <w:t xml:space="preserve">“</w:t>
            </w:r>
            <w:r>
              <w:t xml:space="preserve">KI im Krankenhaus</w:t>
            </w:r>
            <w:r>
              <w:t xml:space="preserve">”</w:t>
            </w:r>
            <w:r>
              <w:t xml:space="preserve"> </w:t>
            </w:r>
            <w:r>
              <w:t xml:space="preserve">(Oktober 2025): fordert Cloud-Betrieb für KI als Notwendigkeit; KHZG-2.0-Finanzierung</w:t>
            </w:r>
          </w:p>
        </w:tc>
        <w:tc>
          <w:tcPr/>
          <w:p>
            <w:pPr>
              <w:pStyle w:val="Compact"/>
              <w:jc w:val="left"/>
            </w:pPr>
            <w:r>
              <w:t xml:space="preserve">Interessenvertretung, keine Aufsicht; fordert regulatorische Klarstellung, setzt sie nicht selbst</w:t>
            </w:r>
          </w:p>
        </w:tc>
      </w:tr>
      <w:tr>
        <w:tc>
          <w:tcPr/>
          <w:p>
            <w:pPr>
              <w:pStyle w:val="Compact"/>
              <w:jc w:val="left"/>
            </w:pPr>
            <w:r>
              <w:rPr>
                <w:bCs/>
                <w:b/>
              </w:rPr>
              <w:t xml:space="preserve">GKV-Spitzenverband</w:t>
            </w:r>
          </w:p>
        </w:tc>
        <w:tc>
          <w:tcPr/>
          <w:p>
            <w:pPr>
              <w:pStyle w:val="Compact"/>
              <w:jc w:val="left"/>
            </w:pPr>
            <w:r>
              <w:t xml:space="preserve">Digitalstrategie (Dezember 2025): KI-gestützte ePA-Analyse, FDZ-Datennutzung; digitales Primärversorgungssystem</w:t>
            </w:r>
          </w:p>
        </w:tc>
        <w:tc>
          <w:tcPr/>
          <w:p>
            <w:pPr>
              <w:pStyle w:val="Compact"/>
              <w:jc w:val="left"/>
            </w:pPr>
            <w:r>
              <w:t xml:space="preserve">Interessenvertretung der Kassen; keine Aufsichtsfunktion; Cloud-Souveränität kein dokumentierter Schwerpunkt</w:t>
            </w:r>
          </w:p>
        </w:tc>
      </w:tr>
      <w:tr>
        <w:tc>
          <w:tcPr/>
          <w:p>
            <w:pPr>
              <w:pStyle w:val="Compact"/>
              <w:jc w:val="left"/>
            </w:pPr>
            <w:r>
              <w:rPr>
                <w:bCs/>
                <w:b/>
              </w:rPr>
              <w:t xml:space="preserve">PKV-Verband</w:t>
            </w:r>
          </w:p>
        </w:tc>
        <w:tc>
          <w:tcPr/>
          <w:p>
            <w:pPr>
              <w:pStyle w:val="Compact"/>
              <w:jc w:val="left"/>
            </w:pPr>
            <w:r>
              <w:t xml:space="preserve">Digitalisierungsstrategie für private Krankenversicherungen</w:t>
            </w:r>
          </w:p>
        </w:tc>
        <w:tc>
          <w:tcPr/>
          <w:p>
            <w:pPr>
              <w:pStyle w:val="Compact"/>
              <w:jc w:val="left"/>
            </w:pPr>
            <w:r>
              <w:t xml:space="preserve">Keine öffentliche Cloud- oder KI-Positionierung bekannt; PKV unterliegt nicht § 393 SGB V</w:t>
            </w:r>
          </w:p>
        </w:tc>
      </w:tr>
      <w:tr>
        <w:tc>
          <w:tcPr/>
          <w:p>
            <w:pPr>
              <w:pStyle w:val="Compact"/>
              <w:jc w:val="left"/>
            </w:pPr>
            <w:r>
              <w:rPr>
                <w:bCs/>
                <w:b/>
              </w:rPr>
              <w:t xml:space="preserve">MD Bund</w:t>
            </w:r>
            <w:r>
              <w:t xml:space="preserve"> </w:t>
            </w:r>
            <w:r>
              <w:t xml:space="preserve">(Medizinischer Dienst)</w:t>
            </w:r>
          </w:p>
        </w:tc>
        <w:tc>
          <w:tcPr/>
          <w:p>
            <w:pPr>
              <w:pStyle w:val="Compact"/>
              <w:jc w:val="left"/>
            </w:pPr>
            <w:r>
              <w:t xml:space="preserve">Qualitätsprüfungen; KI-Grundregeln (MD Sachsen-Anhalt, 2025): nur geschlossene Systeme, keine kommerziellen KI-Modelle, abschließende Entscheidung beim Menschen</w:t>
            </w:r>
          </w:p>
        </w:tc>
        <w:tc>
          <w:tcPr/>
          <w:p>
            <w:pPr>
              <w:pStyle w:val="Compact"/>
              <w:jc w:val="left"/>
            </w:pPr>
            <w:r>
              <w:t xml:space="preserve">Keine Cloud-Regulierung; KI-Grundregeln nur intern; keine Aufsicht über andere Institutionen</w:t>
            </w:r>
          </w:p>
        </w:tc>
      </w:tr>
    </w:tbl>
    <w:bookmarkEnd w:id="144"/>
    <w:bookmarkStart w:id="145" w:name="X555bdce846c04b25cad9f7f41d32b3854e94572"/>
    <w:p>
      <w:pPr>
        <w:pStyle w:val="Heading3"/>
      </w:pPr>
      <w:r>
        <w:t xml:space="preserve">16.2 Datenschutzaufsicht — Flickenteppich bei Microsoft 365 / Azure</w:t>
      </w:r>
    </w:p>
    <w:p>
      <w:pPr>
        <w:pStyle w:val="FirstParagraph"/>
      </w:pPr>
      <w:r>
        <w:t xml:space="preserve">Die Positionierung aller deutschen Datenschutzaufsichtsbehörden zu Microsoft 365 / Azure (Stand April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Behörde</w:t>
            </w:r>
          </w:p>
        </w:tc>
        <w:tc>
          <w:tcPr/>
          <w:p>
            <w:pPr>
              <w:pStyle w:val="Compact"/>
              <w:jc w:val="left"/>
            </w:pPr>
            <w:r>
              <w:t xml:space="preserve">Zuständigkeit</w:t>
            </w:r>
          </w:p>
        </w:tc>
        <w:tc>
          <w:tcPr/>
          <w:p>
            <w:pPr>
              <w:pStyle w:val="Compact"/>
              <w:jc w:val="left"/>
            </w:pPr>
            <w:r>
              <w:t xml:space="preserve">Position Microsoft 365 / Azure</w:t>
            </w:r>
          </w:p>
        </w:tc>
        <w:tc>
          <w:tcPr/>
          <w:p>
            <w:pPr>
              <w:pStyle w:val="Compact"/>
              <w:jc w:val="left"/>
            </w:pPr>
            <w:r>
              <w:t xml:space="preserve">Tendenz</w:t>
            </w:r>
          </w:p>
        </w:tc>
      </w:tr>
      <w:tr>
        <w:tc>
          <w:tcPr/>
          <w:p>
            <w:pPr>
              <w:pStyle w:val="Compact"/>
              <w:jc w:val="left"/>
            </w:pPr>
            <w:r>
              <w:rPr>
                <w:bCs/>
                <w:b/>
              </w:rPr>
              <w:t xml:space="preserve">BfDI</w:t>
            </w:r>
            <w:r>
              <w:t xml:space="preserve"> </w:t>
            </w:r>
            <w:r>
              <w:t xml:space="preserve">(Bund)</w:t>
            </w:r>
          </w:p>
        </w:tc>
        <w:tc>
          <w:tcPr/>
          <w:p>
            <w:pPr>
              <w:pStyle w:val="Compact"/>
              <w:jc w:val="left"/>
            </w:pPr>
            <w:r>
              <w:t xml:space="preserve">Bundesbehörden, bundesweite GKVen (BAS)</w:t>
            </w:r>
          </w:p>
        </w:tc>
        <w:tc>
          <w:tcPr/>
          <w:p>
            <w:pPr>
              <w:pStyle w:val="Compact"/>
              <w:jc w:val="left"/>
            </w:pPr>
            <w:r>
              <w:t xml:space="preserve">2022: Rundschreiben an alle Bundesministerien mit Bedenken; kein förmliches Verbot</w:t>
            </w:r>
          </w:p>
        </w:tc>
        <w:tc>
          <w:tcPr/>
          <w:p>
            <w:pPr>
              <w:pStyle w:val="Compact"/>
              <w:jc w:val="left"/>
            </w:pPr>
            <w:r>
              <w:t xml:space="preserve">⚠️ Kritisch, keine Sanktionen</w:t>
            </w:r>
          </w:p>
        </w:tc>
      </w:tr>
      <w:tr>
        <w:tc>
          <w:tcPr/>
          <w:p>
            <w:pPr>
              <w:pStyle w:val="Compact"/>
              <w:jc w:val="left"/>
            </w:pPr>
            <w:r>
              <w:rPr>
                <w:bCs/>
                <w:b/>
              </w:rPr>
              <w:t xml:space="preserve">BAS</w:t>
            </w:r>
          </w:p>
        </w:tc>
        <w:tc>
          <w:tcPr/>
          <w:p>
            <w:pPr>
              <w:pStyle w:val="Compact"/>
              <w:jc w:val="left"/>
            </w:pPr>
            <w:r>
              <w:t xml:space="preserve">Bundesunmittelbare GKVen (AOK Bund, Barmer, TK, DAK u.a.)</w:t>
            </w:r>
          </w:p>
        </w:tc>
        <w:tc>
          <w:tcPr/>
          <w:p>
            <w:pPr>
              <w:pStyle w:val="Compact"/>
              <w:jc w:val="left"/>
            </w:pPr>
            <w:r>
              <w:t xml:space="preserve">Keine eigene Microsoft-Positionierung öffentlich bekannt; orientiert sich an BfDI</w:t>
            </w:r>
          </w:p>
        </w:tc>
        <w:tc>
          <w:tcPr/>
          <w:p>
            <w:pPr>
              <w:pStyle w:val="Compact"/>
              <w:jc w:val="left"/>
            </w:pPr>
            <w:r>
              <w:t xml:space="preserve">⚠️ Unklar</w:t>
            </w:r>
          </w:p>
        </w:tc>
      </w:tr>
      <w:tr>
        <w:tc>
          <w:tcPr/>
          <w:p>
            <w:pPr>
              <w:pStyle w:val="Compact"/>
              <w:jc w:val="left"/>
            </w:pPr>
            <w:r>
              <w:rPr>
                <w:bCs/>
                <w:b/>
              </w:rPr>
              <w:t xml:space="preserve">Bayern BayLDA</w:t>
            </w:r>
            <w:r>
              <w:t xml:space="preserve"> </w:t>
            </w:r>
            <w:r>
              <w:t xml:space="preserve">(privat)</w:t>
            </w:r>
          </w:p>
        </w:tc>
        <w:tc>
          <w:tcPr/>
          <w:p>
            <w:pPr>
              <w:pStyle w:val="Compact"/>
              <w:jc w:val="left"/>
            </w:pPr>
            <w:r>
              <w:t xml:space="preserve">Private Unternehmen, GKVen mit Landesaufsicht</w:t>
            </w:r>
          </w:p>
        </w:tc>
        <w:tc>
          <w:tcPr/>
          <w:p>
            <w:pPr>
              <w:pStyle w:val="Compact"/>
              <w:jc w:val="left"/>
            </w:pPr>
            <w:r>
              <w:t xml:space="preserve">DSK-Gesamtbewertung 2022</w:t>
            </w:r>
            <w:r>
              <w:t xml:space="preserve"> </w:t>
            </w:r>
            <w:r>
              <w:t xml:space="preserve">“</w:t>
            </w:r>
            <w:r>
              <w:t xml:space="preserve">zu undifferenziert</w:t>
            </w:r>
            <w:r>
              <w:t xml:space="preserve">”</w:t>
            </w:r>
            <w:r>
              <w:t xml:space="preserve"> </w:t>
            </w:r>
            <w:r>
              <w:t xml:space="preserve">— kein Verbot; Freistaat verhandelt Rahmenvertrag M365 für gesamte Verwaltung (Stand 2025)</w:t>
            </w:r>
          </w:p>
        </w:tc>
        <w:tc>
          <w:tcPr/>
          <w:p>
            <w:pPr>
              <w:pStyle w:val="Compact"/>
              <w:jc w:val="left"/>
            </w:pPr>
            <w:r>
              <w:t xml:space="preserve">🟡 Pragmatisch, Einzelfallprüfung</w:t>
            </w:r>
          </w:p>
        </w:tc>
      </w:tr>
      <w:tr>
        <w:tc>
          <w:tcPr/>
          <w:p>
            <w:pPr>
              <w:pStyle w:val="Compact"/>
              <w:jc w:val="left"/>
            </w:pPr>
            <w:r>
              <w:rPr>
                <w:bCs/>
                <w:b/>
              </w:rPr>
              <w:t xml:space="preserve">Bayern BayLfD</w:t>
            </w:r>
            <w:r>
              <w:t xml:space="preserve"> </w:t>
            </w:r>
            <w:r>
              <w:t xml:space="preserve">(öffentlich)</w:t>
            </w:r>
          </w:p>
        </w:tc>
        <w:tc>
          <w:tcPr/>
          <w:p>
            <w:pPr>
              <w:pStyle w:val="Compact"/>
              <w:jc w:val="left"/>
            </w:pPr>
            <w:r>
              <w:t xml:space="preserve">Landesbehörden, Unikliniken BY</w:t>
            </w:r>
          </w:p>
        </w:tc>
        <w:tc>
          <w:tcPr/>
          <w:p>
            <w:pPr>
              <w:pStyle w:val="Compact"/>
              <w:jc w:val="left"/>
            </w:pPr>
            <w:r>
              <w:t xml:space="preserve">Lehnte M365 an Schulen ab (2021); Einzelfallverbot auf Beschwerde; kein generelles Verbot</w:t>
            </w:r>
          </w:p>
        </w:tc>
        <w:tc>
          <w:tcPr/>
          <w:p>
            <w:pPr>
              <w:pStyle w:val="Compact"/>
              <w:jc w:val="left"/>
            </w:pPr>
            <w:r>
              <w:t xml:space="preserve">⚠️ Kritisch, aber kein Generalverbot</w:t>
            </w:r>
          </w:p>
        </w:tc>
      </w:tr>
      <w:tr>
        <w:tc>
          <w:tcPr/>
          <w:p>
            <w:pPr>
              <w:pStyle w:val="Compact"/>
              <w:jc w:val="left"/>
            </w:pPr>
            <w:r>
              <w:rPr>
                <w:bCs/>
                <w:b/>
              </w:rPr>
              <w:t xml:space="preserve">Baden-Württemberg LfDI</w:t>
            </w:r>
          </w:p>
        </w:tc>
        <w:tc>
          <w:tcPr/>
          <w:p>
            <w:pPr>
              <w:pStyle w:val="Compact"/>
              <w:jc w:val="left"/>
            </w:pPr>
            <w:r>
              <w:t xml:space="preserve">Landesbehörden, Unikliniken BW</w:t>
            </w:r>
          </w:p>
        </w:tc>
        <w:tc>
          <w:tcPr/>
          <w:p>
            <w:pPr>
              <w:pStyle w:val="Compact"/>
              <w:jc w:val="left"/>
            </w:pPr>
            <w:r>
              <w:t xml:space="preserve">M365 2021 abgelehnt für Schulen; 2022 Ausstiegsgebot; digitaler Arbeitsplatz Lehrkräfte mit M365 gestartet April 2024 — faktische Kehrtwende</w:t>
            </w:r>
          </w:p>
        </w:tc>
        <w:tc>
          <w:tcPr/>
          <w:p>
            <w:pPr>
              <w:pStyle w:val="Compact"/>
              <w:jc w:val="left"/>
            </w:pPr>
            <w:r>
              <w:t xml:space="preserve">🟡 Kritisch→pragmatisch</w:t>
            </w:r>
          </w:p>
        </w:tc>
      </w:tr>
      <w:tr>
        <w:tc>
          <w:tcPr/>
          <w:p>
            <w:pPr>
              <w:pStyle w:val="Compact"/>
              <w:jc w:val="left"/>
            </w:pPr>
            <w:r>
              <w:rPr>
                <w:bCs/>
                <w:b/>
              </w:rPr>
              <w:t xml:space="preserve">Berlin BlnBDI</w:t>
            </w:r>
          </w:p>
        </w:tc>
        <w:tc>
          <w:tcPr/>
          <w:p>
            <w:pPr>
              <w:pStyle w:val="Compact"/>
              <w:jc w:val="left"/>
            </w:pPr>
            <w:r>
              <w:t xml:space="preserve">Landesbehörden, Unikliniken BE</w:t>
            </w:r>
          </w:p>
        </w:tc>
        <w:tc>
          <w:tcPr/>
          <w:p>
            <w:pPr>
              <w:pStyle w:val="Compact"/>
              <w:jc w:val="left"/>
            </w:pPr>
            <w:r>
              <w:t xml:space="preserve">2020:</w:t>
            </w:r>
            <w:r>
              <w:t xml:space="preserve"> </w:t>
            </w:r>
            <w:r>
              <w:t xml:space="preserve">“</w:t>
            </w:r>
            <w:r>
              <w:t xml:space="preserve">nicht möglich</w:t>
            </w:r>
            <w:r>
              <w:t xml:space="preserve">”</w:t>
            </w:r>
            <w:r>
              <w:t xml:space="preserve">; Copilot an Berliner Schulen 2024 eingeführt ohne DSB-Einbindung (Tagesspiegel) — faktischer Widerspruch zur eigenen Position</w:t>
            </w:r>
          </w:p>
        </w:tc>
        <w:tc>
          <w:tcPr/>
          <w:p>
            <w:pPr>
              <w:pStyle w:val="Compact"/>
              <w:jc w:val="left"/>
            </w:pPr>
            <w:r>
              <w:t xml:space="preserve">⚠️ Kritisch, Umsetzung widersprüchlich</w:t>
            </w:r>
          </w:p>
        </w:tc>
      </w:tr>
      <w:tr>
        <w:tc>
          <w:tcPr/>
          <w:p>
            <w:pPr>
              <w:pStyle w:val="Compact"/>
              <w:jc w:val="left"/>
            </w:pPr>
            <w:r>
              <w:rPr>
                <w:bCs/>
                <w:b/>
              </w:rPr>
              <w:t xml:space="preserve">Brandenburg LDA</w:t>
            </w:r>
          </w:p>
        </w:tc>
        <w:tc>
          <w:tcPr/>
          <w:p>
            <w:pPr>
              <w:pStyle w:val="Compact"/>
              <w:jc w:val="left"/>
            </w:pPr>
            <w:r>
              <w:t xml:space="preserve">Landesbehörden, Unikliniken BB</w:t>
            </w:r>
          </w:p>
        </w:tc>
        <w:tc>
          <w:tcPr/>
          <w:p>
            <w:pPr>
              <w:pStyle w:val="Compact"/>
              <w:jc w:val="left"/>
            </w:pPr>
            <w:r>
              <w:t xml:space="preserve">Beteiligt an EDSA-Kontrollaktion 2024; keine spezifische M365-Positionierung öffentlich bekannt</w:t>
            </w:r>
          </w:p>
        </w:tc>
        <w:tc>
          <w:tcPr/>
          <w:p>
            <w:pPr>
              <w:pStyle w:val="Compact"/>
              <w:jc w:val="left"/>
            </w:pPr>
            <w:r>
              <w:t xml:space="preserve">⚠️ Unklar</w:t>
            </w:r>
          </w:p>
        </w:tc>
      </w:tr>
      <w:tr>
        <w:tc>
          <w:tcPr/>
          <w:p>
            <w:pPr>
              <w:pStyle w:val="Compact"/>
              <w:jc w:val="left"/>
            </w:pPr>
            <w:r>
              <w:rPr>
                <w:bCs/>
                <w:b/>
              </w:rPr>
              <w:t xml:space="preserve">Bremen LfDI</w:t>
            </w:r>
          </w:p>
        </w:tc>
        <w:tc>
          <w:tcPr/>
          <w:p>
            <w:pPr>
              <w:pStyle w:val="Compact"/>
              <w:jc w:val="left"/>
            </w:pPr>
            <w:r>
              <w:t xml:space="preserve">Landesbehörden</w:t>
            </w:r>
          </w:p>
        </w:tc>
        <w:tc>
          <w:tcPr/>
          <w:p>
            <w:pPr>
              <w:pStyle w:val="Compact"/>
              <w:jc w:val="left"/>
            </w:pPr>
            <w:r>
              <w:t xml:space="preserve">2023/24 Tätigkeitsbericht: iCloud-Nutzung als rechtswidrig eingestuft; M365 mit Bedenken</w:t>
            </w:r>
          </w:p>
        </w:tc>
        <w:tc>
          <w:tcPr/>
          <w:p>
            <w:pPr>
              <w:pStyle w:val="Compact"/>
              <w:jc w:val="left"/>
            </w:pPr>
            <w:r>
              <w:t xml:space="preserve">⚠️ Kritisch</w:t>
            </w:r>
          </w:p>
        </w:tc>
      </w:tr>
      <w:tr>
        <w:tc>
          <w:tcPr/>
          <w:p>
            <w:pPr>
              <w:pStyle w:val="Compact"/>
              <w:jc w:val="left"/>
            </w:pPr>
            <w:r>
              <w:rPr>
                <w:bCs/>
                <w:b/>
              </w:rPr>
              <w:t xml:space="preserve">Hamburg HmbBfDI</w:t>
            </w:r>
          </w:p>
        </w:tc>
        <w:tc>
          <w:tcPr/>
          <w:p>
            <w:pPr>
              <w:pStyle w:val="Compact"/>
              <w:jc w:val="left"/>
            </w:pPr>
            <w:r>
              <w:t xml:space="preserve">Landesbehörden, Polizei</w:t>
            </w:r>
          </w:p>
        </w:tc>
        <w:tc>
          <w:tcPr/>
          <w:p>
            <w:pPr>
              <w:pStyle w:val="Compact"/>
              <w:jc w:val="left"/>
            </w:pPr>
            <w:r>
              <w:t xml:space="preserve">Signalisierte 2024 Abweichung von Niedersachsen-Modell; Microsoft Teams für Polizei Hamburg trotzdem im Einsatz</w:t>
            </w:r>
          </w:p>
        </w:tc>
        <w:tc>
          <w:tcPr/>
          <w:p>
            <w:pPr>
              <w:pStyle w:val="Compact"/>
              <w:jc w:val="left"/>
            </w:pPr>
            <w:r>
              <w:t xml:space="preserve">🔴 Kritisch, aber kein Verbot durchgesetzt</w:t>
            </w:r>
          </w:p>
        </w:tc>
      </w:tr>
      <w:tr>
        <w:tc>
          <w:tcPr/>
          <w:p>
            <w:pPr>
              <w:pStyle w:val="Compact"/>
              <w:jc w:val="left"/>
            </w:pPr>
            <w:r>
              <w:rPr>
                <w:bCs/>
                <w:b/>
              </w:rPr>
              <w:t xml:space="preserve">Hessen HBDI</w:t>
            </w:r>
          </w:p>
        </w:tc>
        <w:tc>
          <w:tcPr/>
          <w:p>
            <w:pPr>
              <w:pStyle w:val="Compact"/>
              <w:jc w:val="left"/>
            </w:pPr>
            <w:r>
              <w:t xml:space="preserve">Landesbehörden, Unikliniken HE</w:t>
            </w:r>
          </w:p>
        </w:tc>
        <w:tc>
          <w:tcPr/>
          <w:p>
            <w:pPr>
              <w:pStyle w:val="Compact"/>
              <w:jc w:val="left"/>
            </w:pPr>
            <w:r>
              <w:t xml:space="preserve">Nov. 2025: 137-seitiger Bericht —</w:t>
            </w:r>
            <w:r>
              <w:t xml:space="preserve"> </w:t>
            </w:r>
            <w:r>
              <w:t xml:space="preserve">“</w:t>
            </w:r>
            <w:r>
              <w:t xml:space="preserve">Microsoft 365 kann datenschutzkonform genutzt werden</w:t>
            </w:r>
            <w:r>
              <w:t xml:space="preserve">”</w:t>
            </w:r>
            <w:r>
              <w:t xml:space="preserve"> </w:t>
            </w:r>
            <w:r>
              <w:t xml:space="preserve">unter Bedingungen; Verhandlungen mit Microsoft direkt</w:t>
            </w:r>
          </w:p>
        </w:tc>
        <w:tc>
          <w:tcPr/>
          <w:p>
            <w:pPr>
              <w:pStyle w:val="Compact"/>
              <w:jc w:val="left"/>
            </w:pPr>
            <w:r>
              <w:t xml:space="preserve">🟢 Positiv (mit Auflagen)</w:t>
            </w:r>
          </w:p>
        </w:tc>
      </w:tr>
      <w:tr>
        <w:tc>
          <w:tcPr/>
          <w:p>
            <w:pPr>
              <w:pStyle w:val="Compact"/>
              <w:jc w:val="left"/>
            </w:pPr>
            <w:r>
              <w:rPr>
                <w:bCs/>
                <w:b/>
              </w:rPr>
              <w:t xml:space="preserve">Mecklenburg-Vorpommern LfDI</w:t>
            </w:r>
          </w:p>
        </w:tc>
        <w:tc>
          <w:tcPr/>
          <w:p>
            <w:pPr>
              <w:pStyle w:val="Compact"/>
              <w:jc w:val="left"/>
            </w:pPr>
            <w:r>
              <w:t xml:space="preserve">Landesbehörden</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Niedersachsen LfD</w:t>
            </w:r>
          </w:p>
        </w:tc>
        <w:tc>
          <w:tcPr/>
          <w:p>
            <w:pPr>
              <w:pStyle w:val="Compact"/>
              <w:jc w:val="left"/>
            </w:pPr>
            <w:r>
              <w:t xml:space="preserve">Landesbehörden, Unikliniken NI</w:t>
            </w:r>
          </w:p>
        </w:tc>
        <w:tc>
          <w:tcPr/>
          <w:p>
            <w:pPr>
              <w:pStyle w:val="Compact"/>
              <w:jc w:val="left"/>
            </w:pPr>
            <w:r>
              <w:t xml:space="preserve">April/Mai 2024: Microsoft Teams Vereinbarung als</w:t>
            </w:r>
            <w:r>
              <w:t xml:space="preserve"> </w:t>
            </w:r>
            <w:r>
              <w:t xml:space="preserve">“</w:t>
            </w:r>
            <w:r>
              <w:t xml:space="preserve">akzeptabel</w:t>
            </w:r>
            <w:r>
              <w:t xml:space="preserve">”</w:t>
            </w:r>
            <w:r>
              <w:t xml:space="preserve"> </w:t>
            </w:r>
            <w:r>
              <w:t xml:space="preserve">bewertet; Rollout 13.500 Arbeitsplätze</w:t>
            </w:r>
          </w:p>
        </w:tc>
        <w:tc>
          <w:tcPr/>
          <w:p>
            <w:pPr>
              <w:pStyle w:val="Compact"/>
              <w:jc w:val="left"/>
            </w:pPr>
            <w:r>
              <w:t xml:space="preserve">🟢 Positiv (Vorreiter)</w:t>
            </w:r>
          </w:p>
        </w:tc>
      </w:tr>
      <w:tr>
        <w:tc>
          <w:tcPr/>
          <w:p>
            <w:pPr>
              <w:pStyle w:val="Compact"/>
              <w:jc w:val="left"/>
            </w:pPr>
            <w:r>
              <w:rPr>
                <w:bCs/>
                <w:b/>
              </w:rPr>
              <w:t xml:space="preserve">NRW LDI</w:t>
            </w:r>
          </w:p>
        </w:tc>
        <w:tc>
          <w:tcPr/>
          <w:p>
            <w:pPr>
              <w:pStyle w:val="Compact"/>
              <w:jc w:val="left"/>
            </w:pPr>
            <w:r>
              <w:t xml:space="preserve">Landesbehörden, Unikliniken NW, KVNO/KVWL</w:t>
            </w:r>
          </w:p>
        </w:tc>
        <w:tc>
          <w:tcPr/>
          <w:p>
            <w:pPr>
              <w:pStyle w:val="Compact"/>
              <w:jc w:val="left"/>
            </w:pPr>
            <w:r>
              <w:t xml:space="preserve">Mai 2024:</w:t>
            </w:r>
            <w:r>
              <w:t xml:space="preserve"> </w:t>
            </w:r>
            <w:r>
              <w:t xml:space="preserve">“</w:t>
            </w:r>
            <w:r>
              <w:t xml:space="preserve">Keine Informationen vor, die Überarbeitung bieten würden</w:t>
            </w:r>
            <w:r>
              <w:t xml:space="preserve">”</w:t>
            </w:r>
            <w:r>
              <w:t xml:space="preserve"> </w:t>
            </w:r>
            <w:r>
              <w:t xml:space="preserve">— kritisch zu neuem Outlook; kein Verbot</w:t>
            </w:r>
          </w:p>
        </w:tc>
        <w:tc>
          <w:tcPr/>
          <w:p>
            <w:pPr>
              <w:pStyle w:val="Compact"/>
              <w:jc w:val="left"/>
            </w:pPr>
            <w:r>
              <w:t xml:space="preserve">⚠️ Kritisch, kein Verbot</w:t>
            </w:r>
          </w:p>
        </w:tc>
      </w:tr>
      <w:tr>
        <w:tc>
          <w:tcPr/>
          <w:p>
            <w:pPr>
              <w:pStyle w:val="Compact"/>
              <w:jc w:val="left"/>
            </w:pPr>
            <w:r>
              <w:rPr>
                <w:bCs/>
                <w:b/>
              </w:rPr>
              <w:t xml:space="preserve">Rheinland-Pfalz LfDI</w:t>
            </w:r>
          </w:p>
        </w:tc>
        <w:tc>
          <w:tcPr/>
          <w:p>
            <w:pPr>
              <w:pStyle w:val="Compact"/>
              <w:jc w:val="left"/>
            </w:pPr>
            <w:r>
              <w:t xml:space="preserve">Landesbehörden, Unikliniken RP</w:t>
            </w:r>
          </w:p>
        </w:tc>
        <w:tc>
          <w:tcPr/>
          <w:p>
            <w:pPr>
              <w:pStyle w:val="Compact"/>
              <w:jc w:val="left"/>
            </w:pPr>
            <w:r>
              <w:t xml:space="preserve">Beteiligt an EDSA-Kontrollaktion 2024; keine eigene M365-Positionierung öffentlich bekannt</w:t>
            </w:r>
          </w:p>
        </w:tc>
        <w:tc>
          <w:tcPr/>
          <w:p>
            <w:pPr>
              <w:pStyle w:val="Compact"/>
              <w:jc w:val="left"/>
            </w:pPr>
            <w:r>
              <w:t xml:space="preserve">⚠️ Unklar</w:t>
            </w:r>
          </w:p>
        </w:tc>
      </w:tr>
      <w:tr>
        <w:tc>
          <w:tcPr/>
          <w:p>
            <w:pPr>
              <w:pStyle w:val="Compact"/>
              <w:jc w:val="left"/>
            </w:pPr>
            <w:r>
              <w:rPr>
                <w:bCs/>
                <w:b/>
              </w:rPr>
              <w:t xml:space="preserve">Saarland LfDI</w:t>
            </w:r>
          </w:p>
        </w:tc>
        <w:tc>
          <w:tcPr/>
          <w:p>
            <w:pPr>
              <w:pStyle w:val="Compact"/>
              <w:jc w:val="left"/>
            </w:pPr>
            <w:r>
              <w:t xml:space="preserve">Landesbehörden</w:t>
            </w:r>
          </w:p>
        </w:tc>
        <w:tc>
          <w:tcPr/>
          <w:p>
            <w:pPr>
              <w:pStyle w:val="Compact"/>
              <w:jc w:val="left"/>
            </w:pPr>
            <w:r>
              <w:t xml:space="preserve">DSK-Gesamtbewertung 2022 nicht geteilt; signalisierte 2024 Abweichung vom Niedersachsen-Modell</w:t>
            </w:r>
          </w:p>
        </w:tc>
        <w:tc>
          <w:tcPr/>
          <w:p>
            <w:pPr>
              <w:pStyle w:val="Compact"/>
              <w:jc w:val="left"/>
            </w:pPr>
            <w:r>
              <w:t xml:space="preserve">🟡 Pragmatisch</w:t>
            </w:r>
          </w:p>
        </w:tc>
      </w:tr>
      <w:tr>
        <w:tc>
          <w:tcPr/>
          <w:p>
            <w:pPr>
              <w:pStyle w:val="Compact"/>
              <w:jc w:val="left"/>
            </w:pPr>
            <w:r>
              <w:rPr>
                <w:bCs/>
                <w:b/>
              </w:rPr>
              <w:t xml:space="preserve">Sachsen DSB</w:t>
            </w:r>
          </w:p>
        </w:tc>
        <w:tc>
          <w:tcPr/>
          <w:p>
            <w:pPr>
              <w:pStyle w:val="Compact"/>
              <w:jc w:val="left"/>
            </w:pPr>
            <w:r>
              <w:t xml:space="preserve">Landesbehörden, Unikliniken SN (UKL Dresden!)</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Sachsen-Anhalt LfDI</w:t>
            </w:r>
          </w:p>
        </w:tc>
        <w:tc>
          <w:tcPr/>
          <w:p>
            <w:pPr>
              <w:pStyle w:val="Compact"/>
              <w:jc w:val="left"/>
            </w:pPr>
            <w:r>
              <w:t xml:space="preserve">Landesbehörden, Unikliniken SA</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Schleswig-Holstein ULD</w:t>
            </w:r>
          </w:p>
        </w:tc>
        <w:tc>
          <w:tcPr/>
          <w:p>
            <w:pPr>
              <w:pStyle w:val="Compact"/>
              <w:jc w:val="left"/>
            </w:pPr>
            <w:r>
              <w:t xml:space="preserve">Landesbehörden</w:t>
            </w:r>
          </w:p>
        </w:tc>
        <w:tc>
          <w:tcPr/>
          <w:p>
            <w:pPr>
              <w:pStyle w:val="Compact"/>
              <w:jc w:val="left"/>
            </w:pPr>
            <w:r>
              <w:t xml:space="preserve">Mai 2024:</w:t>
            </w:r>
            <w:r>
              <w:t xml:space="preserve"> </w:t>
            </w:r>
            <w:r>
              <w:t xml:space="preserve">“</w:t>
            </w:r>
            <w:r>
              <w:t xml:space="preserve">Teile die Ansicht des EDPS, dass Zwecke nicht transparent genug sind</w:t>
            </w:r>
            <w:r>
              <w:t xml:space="preserve">”</w:t>
            </w:r>
            <w:r>
              <w:t xml:space="preserve">; bisher keine geänderte Bewertung; SH setzt parallel auf Open-Source-Stack</w:t>
            </w:r>
          </w:p>
        </w:tc>
        <w:tc>
          <w:tcPr/>
          <w:p>
            <w:pPr>
              <w:pStyle w:val="Compact"/>
              <w:jc w:val="left"/>
            </w:pPr>
            <w:r>
              <w:t xml:space="preserve">🔴 Kritisch</w:t>
            </w:r>
          </w:p>
        </w:tc>
      </w:tr>
      <w:tr>
        <w:tc>
          <w:tcPr/>
          <w:p>
            <w:pPr>
              <w:pStyle w:val="Compact"/>
              <w:jc w:val="left"/>
            </w:pPr>
            <w:r>
              <w:rPr>
                <w:bCs/>
                <w:b/>
              </w:rPr>
              <w:t xml:space="preserve">Thüringen TLfDI</w:t>
            </w:r>
          </w:p>
        </w:tc>
        <w:tc>
          <w:tcPr/>
          <w:p>
            <w:pPr>
              <w:pStyle w:val="Compact"/>
              <w:jc w:val="left"/>
            </w:pPr>
            <w:r>
              <w:t xml:space="preserve">Landesbehörden, Unikliniken TH</w:t>
            </w:r>
          </w:p>
        </w:tc>
        <w:tc>
          <w:tcPr/>
          <w:p>
            <w:pPr>
              <w:pStyle w:val="Compact"/>
              <w:jc w:val="left"/>
            </w:pPr>
            <w:r>
              <w:t xml:space="preserve">Keine spezifische M365-Positionierung öffentlich bekannt</w:t>
            </w:r>
          </w:p>
        </w:tc>
        <w:tc>
          <w:tcPr/>
          <w:p>
            <w:pPr>
              <w:pStyle w:val="Compact"/>
              <w:jc w:val="left"/>
            </w:pPr>
            <w:r>
              <w:t xml:space="preserve">⚠️ Unklar</w:t>
            </w:r>
          </w:p>
        </w:tc>
      </w:tr>
      <w:tr>
        <w:tc>
          <w:tcPr/>
          <w:p>
            <w:pPr>
              <w:pStyle w:val="Compact"/>
              <w:jc w:val="left"/>
            </w:pPr>
            <w:r>
              <w:rPr>
                <w:bCs/>
                <w:b/>
              </w:rPr>
              <w:t xml:space="preserve">Vergabekammer München</w:t>
            </w:r>
          </w:p>
        </w:tc>
        <w:tc>
          <w:tcPr/>
          <w:p>
            <w:pPr>
              <w:pStyle w:val="Compact"/>
              <w:jc w:val="left"/>
            </w:pPr>
            <w:r>
              <w:t xml:space="preserve">Vergaberechtlich (nicht Datenschutz)</w:t>
            </w:r>
          </w:p>
        </w:tc>
        <w:tc>
          <w:tcPr/>
          <w:p>
            <w:pPr>
              <w:pStyle w:val="Compact"/>
              <w:jc w:val="left"/>
            </w:pPr>
            <w:r>
              <w:t xml:space="preserve">Feb. 2023: Pauschaler Azure-Ausschluss unzulässig — Einzelfallprüfung geboten</w:t>
            </w:r>
          </w:p>
        </w:tc>
        <w:tc>
          <w:tcPr/>
          <w:p>
            <w:pPr>
              <w:pStyle w:val="Compact"/>
              <w:jc w:val="left"/>
            </w:pPr>
            <w:r>
              <w:t xml:space="preserve">🟡 Pragmatisch (vergaberechtlich)</w:t>
            </w:r>
          </w:p>
        </w:tc>
      </w:tr>
    </w:tbl>
    <w:p>
      <w:pPr>
        <w:pStyle w:val="BodyText"/>
      </w:pPr>
      <w:r>
        <w:rPr>
          <w:bCs/>
          <w:b/>
        </w:rPr>
        <w:t xml:space="preserve">Bedeutung für das Gesundheitswesen:</w:t>
      </w:r>
      <w:r>
        <w:t xml:space="preserve"> </w:t>
      </w:r>
      <w:r>
        <w:t xml:space="preserve">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pStyle w:val="BodyText"/>
      </w:pPr>
      <w:r>
        <w:rPr>
          <w:bCs/>
          <w:b/>
        </w:rPr>
        <w:t xml:space="preserve">Das Fazit:</w:t>
      </w:r>
      <w:r>
        <w:t xml:space="preserve"> </w:t>
      </w:r>
      <w:r>
        <w:t xml:space="preserve">Wer bei der</w:t>
      </w:r>
      <w:r>
        <w:t xml:space="preserve"> </w:t>
      </w:r>
      <w:r>
        <w:t xml:space="preserve">“</w:t>
      </w:r>
      <w:r>
        <w:t xml:space="preserve">richtigen</w:t>
      </w:r>
      <w:r>
        <w:t xml:space="preserve">”</w:t>
      </w:r>
      <w:r>
        <w:t xml:space="preserve"> </w:t>
      </w:r>
      <w:r>
        <w:t xml:space="preserve">Aufsichtsbehörde sitzt, bekommt Azure genehmigt oder zumindest toleriert. Wer Pech hat, bekommt eine Mahnung ohne Konsequenz.</w:t>
      </w:r>
      <w:r>
        <w:t xml:space="preserve"> </w:t>
      </w:r>
      <w:r>
        <w:rPr>
          <w:bCs/>
          <w:b/>
        </w:rPr>
        <w:t xml:space="preserve">STACKIT und EU-souveräne Alternativen werden primär dort gewählt, wo die Aufsicht Druck macht (Hamburg, Schleswig-Holstein) oder die Ausschreibungsgestaltung es erzwingt.</w:t>
      </w:r>
      <w:r>
        <w:t xml:space="preserve"> </w:t>
      </w:r>
      <w:r>
        <w:t xml:space="preserve">Das Enforcement-Gap ist das eigentliche strukturelle Problem: Die Regelungslücke existiert — aber sie hat keinen einheitlichen Preis.</w:t>
      </w:r>
    </w:p>
    <w:bookmarkEnd w:id="145"/>
    <w:bookmarkStart w:id="146" w:name="X6b5774217f6d278bcc0aa7d3c2d3ed79db3c8f6"/>
    <w:p>
      <w:pPr>
        <w:pStyle w:val="Heading3"/>
      </w:pPr>
      <w:r>
        <w:t xml:space="preserve">16.3 DSK- und Landesaufsichts-Hinweise zu Cloud und KI im Gesundheitswesen</w:t>
      </w:r>
    </w:p>
    <w:p>
      <w:pPr>
        <w:pStyle w:val="FirstParagraph"/>
      </w:pPr>
      <w:r>
        <w:t xml:space="preserve">Die Microsoft-365-Tabelle bildet nur eine Dimension ab: die Haltung zu einem bestimmten Produkt. Parallel dazu haben DSK und einzelne Landesaufsichtsbehörden zwischen 2023 und 2026 konkrete Orientierungshilfen, Beschlüsse und Prüfaktionen veröffentlicht, die</w:t>
      </w:r>
      <w:r>
        <w:t xml:space="preserve"> </w:t>
      </w:r>
      <w:r>
        <w:rPr>
          <w:bCs/>
          <w:b/>
        </w:rPr>
        <w:t xml:space="preserve">Cloud-Nutzung für Gesundheitsdaten</w:t>
      </w:r>
      <w:r>
        <w:t xml:space="preserve"> </w:t>
      </w:r>
      <w:r>
        <w:t xml:space="preserve">und</w:t>
      </w:r>
      <w:r>
        <w:t xml:space="preserve"> </w:t>
      </w:r>
      <w:r>
        <w:rPr>
          <w:bCs/>
          <w:b/>
        </w:rPr>
        <w:t xml:space="preserve">KI-Anwendungen mit Cloud-Infrastruktur</w:t>
      </w:r>
      <w:r>
        <w:t xml:space="preserve"> </w:t>
      </w:r>
      <w:r>
        <w:t xml:space="preserve">direkt adressieren. Für Gesundheitsinstitutionen sind diese Dokumente handlungsrelevanter — sie definieren, was Aufsichtsbehörden bei einer Prüfung tatsächlich verlangen.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Dokument</w:t>
            </w:r>
          </w:p>
        </w:tc>
        <w:tc>
          <w:tcPr/>
          <w:p>
            <w:pPr>
              <w:pStyle w:val="Compact"/>
              <w:jc w:val="left"/>
            </w:pPr>
            <w:r>
              <w:t xml:space="preserve">Herausgeber</w:t>
            </w:r>
          </w:p>
        </w:tc>
        <w:tc>
          <w:tcPr/>
          <w:p>
            <w:pPr>
              <w:pStyle w:val="Compact"/>
              <w:jc w:val="left"/>
            </w:pPr>
            <w:r>
              <w:t xml:space="preserve">Datum</w:t>
            </w:r>
          </w:p>
        </w:tc>
        <w:tc>
          <w:tcPr/>
          <w:p>
            <w:pPr>
              <w:pStyle w:val="Compact"/>
              <w:jc w:val="left"/>
            </w:pPr>
            <w:r>
              <w:t xml:space="preserve">Kernaussage für Gesundheitsinstitutionen</w:t>
            </w:r>
          </w:p>
        </w:tc>
      </w:tr>
      <w:tr>
        <w:tc>
          <w:tcPr/>
          <w:p>
            <w:pPr>
              <w:pStyle w:val="Compact"/>
              <w:jc w:val="left"/>
            </w:pPr>
            <w:r>
              <w:rPr>
                <w:bCs/>
                <w:b/>
              </w:rPr>
              <w:t xml:space="preserve">Positionspapier cloudbasierte digitale Gesundheitsanwendungen</w:t>
            </w:r>
          </w:p>
        </w:tc>
        <w:tc>
          <w:tcPr/>
          <w:p>
            <w:pPr>
              <w:pStyle w:val="Compact"/>
              <w:jc w:val="left"/>
            </w:pPr>
            <w:r>
              <w:t xml:space="preserve">DSK</w:t>
            </w:r>
          </w:p>
        </w:tc>
        <w:tc>
          <w:tcPr/>
          <w:p>
            <w:pPr>
              <w:pStyle w:val="Compact"/>
              <w:jc w:val="left"/>
            </w:pPr>
            <w:r>
              <w:t xml:space="preserve">06.11.2023</w:t>
            </w:r>
          </w:p>
        </w:tc>
        <w:tc>
          <w:tcPr/>
          <w:p>
            <w:pPr>
              <w:pStyle w:val="Compact"/>
              <w:jc w:val="left"/>
            </w:pPr>
            <w:r>
              <w:t xml:space="preserve">Cloud-Funktionen standardmäßig deaktiviert (Privacy by Default); Nutzung ohne Benutzerkonto möglich, es sei denn Cloud ist therapeutisch zwingend; BSI-TR</w:t>
            </w:r>
            <w:r>
              <w:t xml:space="preserve"> </w:t>
            </w:r>
            <w:r>
              <w:t xml:space="preserve">“</w:t>
            </w:r>
            <w:r>
              <w:t xml:space="preserve">Anforderungen an Anwendungen im Gesundheitswesen</w:t>
            </w:r>
            <w:r>
              <w:t xml:space="preserve">”</w:t>
            </w:r>
            <w:r>
              <w:t xml:space="preserve"> </w:t>
            </w:r>
            <w:r>
              <w:t xml:space="preserve">als Maßstab</w:t>
            </w:r>
          </w:p>
        </w:tc>
      </w:tr>
      <w:tr>
        <w:tc>
          <w:tcPr/>
          <w:p>
            <w:pPr>
              <w:pStyle w:val="Compact"/>
              <w:jc w:val="left"/>
            </w:pPr>
            <w:r>
              <w:rPr>
                <w:bCs/>
                <w:b/>
              </w:rPr>
              <w:t xml:space="preserve">Orientierungshilfe KI-Systeme</w:t>
            </w:r>
            <w:r>
              <w:t xml:space="preserve"> </w:t>
            </w:r>
            <w:r>
              <w:t xml:space="preserve">(TOM für Entwicklung und Betrieb)</w:t>
            </w:r>
          </w:p>
        </w:tc>
        <w:tc>
          <w:tcPr/>
          <w:p>
            <w:pPr>
              <w:pStyle w:val="Compact"/>
              <w:jc w:val="left"/>
            </w:pPr>
            <w:r>
              <w:t xml:space="preserve">DSK (KI-Taskforce + AG KI)</w:t>
            </w:r>
          </w:p>
        </w:tc>
        <w:tc>
          <w:tcPr/>
          <w:p>
            <w:pPr>
              <w:pStyle w:val="Compact"/>
              <w:jc w:val="left"/>
            </w:pPr>
            <w:r>
              <w:t xml:space="preserve">Mai/Juni 2025</w:t>
            </w:r>
          </w:p>
        </w:tc>
        <w:tc>
          <w:tcPr/>
          <w:p>
            <w:pPr>
              <w:pStyle w:val="Compact"/>
              <w:jc w:val="left"/>
            </w:pPr>
            <w:r>
              <w:t xml:space="preserve">Erste koordinierte KI-Orientierungshilfe aller Aufsichtsbehörden; Risikoanalyse für LLMs als Kernstück; auch pseudonymisierte Eingaben = personenbezogene Daten; DSFA nach Art. 35 DSGVO erforderlich; 3 Phasen: Konzeption → Implementierung → Betrieb</w:t>
            </w:r>
          </w:p>
        </w:tc>
      </w:tr>
      <w:tr>
        <w:tc>
          <w:tcPr/>
          <w:p>
            <w:pPr>
              <w:pStyle w:val="Compact"/>
              <w:jc w:val="left"/>
            </w:pPr>
            <w:r>
              <w:rPr>
                <w:bCs/>
                <w:b/>
              </w:rPr>
              <w:t xml:space="preserve">Entschließung Confidential Cloud Computing</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Cloud-Betreiber behalten</w:t>
            </w:r>
            <w:r>
              <w:t xml:space="preserve"> </w:t>
            </w:r>
            <w:r>
              <w:t xml:space="preserve">“</w:t>
            </w:r>
            <w:r>
              <w:t xml:space="preserve">umfassenden physischen und technischen Zugriff</w:t>
            </w:r>
            <w:r>
              <w:t xml:space="preserve">”</w:t>
            </w:r>
            <w:r>
              <w:t xml:space="preserve"> </w:t>
            </w:r>
            <w:r>
              <w:t xml:space="preserve">— Marketingversprechen halten</w:t>
            </w:r>
            <w:r>
              <w:t xml:space="preserve"> </w:t>
            </w:r>
            <w:r>
              <w:t xml:space="preserve">“</w:t>
            </w:r>
            <w:r>
              <w:t xml:space="preserve">regelmäßig einer Prüfung nicht stand</w:t>
            </w:r>
            <w:r>
              <w:t xml:space="preserve">”</w:t>
            </w:r>
            <w:r>
              <w:t xml:space="preserve">; Vertraulichkeit nur gegeben wenn Betreiber</w:t>
            </w:r>
            <w:r>
              <w:t xml:space="preserve"> </w:t>
            </w:r>
            <w:r>
              <w:rPr>
                <w:bCs/>
                <w:b/>
              </w:rPr>
              <w:t xml:space="preserve">keinerlei</w:t>
            </w:r>
            <w:r>
              <w:t xml:space="preserve"> </w:t>
            </w:r>
            <w:r>
              <w:t xml:space="preserve">Zugriff auf Entschlüsselungsschlüssel hat; Confidential Computing = ein Baustein, kein Allheilmittel</w:t>
            </w:r>
          </w:p>
        </w:tc>
      </w:tr>
      <w:tr>
        <w:tc>
          <w:tcPr/>
          <w:p>
            <w:pPr>
              <w:pStyle w:val="Compact"/>
              <w:jc w:val="left"/>
            </w:pPr>
            <w:r>
              <w:rPr>
                <w:bCs/>
                <w:b/>
              </w:rPr>
              <w:t xml:space="preserve">Positionspapier Terminverwaltung Heilberufspraxen</w:t>
            </w:r>
          </w:p>
        </w:tc>
        <w:tc>
          <w:tcPr/>
          <w:p>
            <w:pPr>
              <w:pStyle w:val="Compact"/>
              <w:jc w:val="left"/>
            </w:pPr>
            <w:r>
              <w:t xml:space="preserve">DSK</w:t>
            </w:r>
          </w:p>
        </w:tc>
        <w:tc>
          <w:tcPr/>
          <w:p>
            <w:pPr>
              <w:pStyle w:val="Compact"/>
              <w:jc w:val="left"/>
            </w:pPr>
            <w:r>
              <w:t xml:space="preserve">16.06.2025</w:t>
            </w:r>
          </w:p>
        </w:tc>
        <w:tc>
          <w:tcPr/>
          <w:p>
            <w:pPr>
              <w:pStyle w:val="Compact"/>
              <w:jc w:val="left"/>
            </w:pPr>
            <w:r>
              <w:t xml:space="preserve">Patientenstammdaten dürfen nicht pauschal an Cloud-Termindienstleister übermittelt werden; nur Minimum für konkreten Termin; zeitnahe Löschung</w:t>
            </w:r>
          </w:p>
        </w:tc>
      </w:tr>
      <w:tr>
        <w:tc>
          <w:tcPr/>
          <w:p>
            <w:pPr>
              <w:pStyle w:val="Compact"/>
              <w:jc w:val="left"/>
            </w:pPr>
            <w:r>
              <w:rPr>
                <w:bCs/>
                <w:b/>
              </w:rPr>
              <w:t xml:space="preserve">KI-Handreichung Bundesverwaltung</w:t>
            </w:r>
            <w:r>
              <w:t xml:space="preserve"> </w:t>
            </w:r>
            <w:r>
              <w:t xml:space="preserve">(</w:t>
            </w:r>
            <w:r>
              <w:t xml:space="preserve">“</w:t>
            </w:r>
            <w:r>
              <w:t xml:space="preserve">KI in Behörden — Datenschutz von Anfang an mitdenken</w:t>
            </w:r>
            <w:r>
              <w:t xml:space="preserve">”</w:t>
            </w:r>
            <w:r>
              <w:t xml:space="preserve">)</w:t>
            </w:r>
          </w:p>
        </w:tc>
        <w:tc>
          <w:tcPr/>
          <w:p>
            <w:pPr>
              <w:pStyle w:val="Compact"/>
              <w:jc w:val="left"/>
            </w:pPr>
            <w:r>
              <w:t xml:space="preserve">BfDI</w:t>
            </w:r>
          </w:p>
        </w:tc>
        <w:tc>
          <w:tcPr/>
          <w:p>
            <w:pPr>
              <w:pStyle w:val="Compact"/>
              <w:jc w:val="left"/>
            </w:pPr>
            <w:r>
              <w:t xml:space="preserve">22.12.2025</w:t>
            </w:r>
          </w:p>
        </w:tc>
        <w:tc>
          <w:tcPr/>
          <w:p>
            <w:pPr>
              <w:pStyle w:val="Compact"/>
              <w:jc w:val="left"/>
            </w:pPr>
            <w:r>
              <w:t xml:space="preserve">Leitfaden für Bundesbehörden inkl. bundesunmittelbare GKVen; Fokus LLMs und cloud-basierte KI-Dienste; Datenschutz ab Konzeptionsphase</w:t>
            </w:r>
          </w:p>
        </w:tc>
      </w:tr>
      <w:tr>
        <w:tc>
          <w:tcPr/>
          <w:p>
            <w:pPr>
              <w:pStyle w:val="Compact"/>
              <w:jc w:val="left"/>
            </w:pPr>
            <w:r>
              <w:rPr>
                <w:bCs/>
                <w:b/>
              </w:rPr>
              <w:t xml:space="preserve">Diskussionspapier</w:t>
            </w:r>
            <w:r>
              <w:rPr>
                <w:bCs/>
                <w:b/>
              </w:rPr>
              <w:t xml:space="preserve"> </w:t>
            </w:r>
            <w:r>
              <w:rPr>
                <w:bCs/>
                <w:b/>
              </w:rPr>
              <w:t xml:space="preserve">“</w:t>
            </w:r>
            <w:r>
              <w:rPr>
                <w:bCs/>
                <w:b/>
              </w:rPr>
              <w:t xml:space="preserve">Rechtsgrundlagen Datenschutz + KI</w:t>
            </w:r>
            <w:r>
              <w:rPr>
                <w:bCs/>
                <w:b/>
              </w:rPr>
              <w:t xml:space="preserve">”</w:t>
            </w:r>
            <w:r>
              <w:t xml:space="preserve"> </w:t>
            </w:r>
            <w:r>
              <w:t xml:space="preserve">(v2.0)</w:t>
            </w:r>
          </w:p>
        </w:tc>
        <w:tc>
          <w:tcPr/>
          <w:p>
            <w:pPr>
              <w:pStyle w:val="Compact"/>
              <w:jc w:val="left"/>
            </w:pPr>
            <w:r>
              <w:t xml:space="preserve">LfDI Baden-Württemberg</w:t>
            </w:r>
          </w:p>
        </w:tc>
        <w:tc>
          <w:tcPr/>
          <w:p>
            <w:pPr>
              <w:pStyle w:val="Compact"/>
              <w:jc w:val="left"/>
            </w:pPr>
            <w:r>
              <w:t xml:space="preserve">17.10.2024</w:t>
            </w:r>
          </w:p>
        </w:tc>
        <w:tc>
          <w:tcPr/>
          <w:p>
            <w:pPr>
              <w:pStyle w:val="Compact"/>
              <w:jc w:val="left"/>
            </w:pPr>
            <w:r>
              <w:t xml:space="preserve">Rechtsgrundlage für jede KI-Phase separat erforderlich; cloud-basierte KI = eigene Rechtsgrundlage wenn Nutzerdaten Modell verbessern; EHDS-VO für sekundäre Gesundheitsdatennutzung referenziert</w:t>
            </w:r>
          </w:p>
        </w:tc>
      </w:tr>
      <w:tr>
        <w:tc>
          <w:tcPr/>
          <w:p>
            <w:pPr>
              <w:pStyle w:val="Compact"/>
              <w:jc w:val="left"/>
            </w:pPr>
            <w:r>
              <w:rPr>
                <w:bCs/>
                <w:b/>
              </w:rPr>
              <w:t xml:space="preserve">Checkliste</w:t>
            </w:r>
            <w:r>
              <w:rPr>
                <w:bCs/>
                <w:b/>
              </w:rPr>
              <w:t xml:space="preserve"> </w:t>
            </w:r>
            <w:r>
              <w:rPr>
                <w:bCs/>
                <w:b/>
              </w:rPr>
              <w:t xml:space="preserve">“</w:t>
            </w:r>
            <w:r>
              <w:rPr>
                <w:bCs/>
                <w:b/>
              </w:rPr>
              <w:t xml:space="preserve">Datenschutz und KI</w:t>
            </w:r>
            <w:r>
              <w:rPr>
                <w:bCs/>
                <w:b/>
              </w:rPr>
              <w:t xml:space="preserve">”</w:t>
            </w:r>
            <w:r>
              <w:t xml:space="preserve"> </w:t>
            </w:r>
            <w:r>
              <w:t xml:space="preserve">+ Flyer</w:t>
            </w:r>
            <w:r>
              <w:t xml:space="preserve"> </w:t>
            </w:r>
            <w:r>
              <w:t xml:space="preserve">“</w:t>
            </w:r>
            <w:r>
              <w:t xml:space="preserve">Next-Level-Bausteine für KI</w:t>
            </w:r>
            <w:r>
              <w:t xml:space="preserve">”</w:t>
            </w:r>
          </w:p>
        </w:tc>
        <w:tc>
          <w:tcPr/>
          <w:p>
            <w:pPr>
              <w:pStyle w:val="Compact"/>
              <w:jc w:val="left"/>
            </w:pPr>
            <w:r>
              <w:t xml:space="preserve">BayLDA</w:t>
            </w:r>
          </w:p>
        </w:tc>
        <w:tc>
          <w:tcPr/>
          <w:p>
            <w:pPr>
              <w:pStyle w:val="Compact"/>
              <w:jc w:val="left"/>
            </w:pPr>
            <w:r>
              <w:t xml:space="preserve">2024/2025</w:t>
            </w:r>
          </w:p>
        </w:tc>
        <w:tc>
          <w:tcPr/>
          <w:p>
            <w:pPr>
              <w:pStyle w:val="Compact"/>
              <w:jc w:val="left"/>
            </w:pPr>
            <w:r>
              <w:t xml:space="preserve">AI-as-a-Service = Auftragsverarbeitung (Art. 28 DSGVO); Drittlandstransfer bei US-Anbietern prüfen; Halluzinationen und Bias in DSFA einbeziehen</w:t>
            </w:r>
          </w:p>
        </w:tc>
      </w:tr>
      <w:tr>
        <w:tc>
          <w:tcPr/>
          <w:p>
            <w:pPr>
              <w:pStyle w:val="Compact"/>
              <w:jc w:val="left"/>
            </w:pPr>
            <w:r>
              <w:rPr>
                <w:bCs/>
                <w:b/>
              </w:rPr>
              <w:t xml:space="preserve">Aktive KI-Prüfung im Gesundheitswesen</w:t>
            </w:r>
            <w:r>
              <w:t xml:space="preserve"> </w:t>
            </w:r>
            <w:r>
              <w:t xml:space="preserve">(Auskunftsersuchen nach Art. 58 Abs. 1 lit. a DSGVO)</w:t>
            </w:r>
          </w:p>
        </w:tc>
        <w:tc>
          <w:tcPr/>
          <w:p>
            <w:pPr>
              <w:pStyle w:val="Compact"/>
              <w:jc w:val="left"/>
            </w:pPr>
            <w:r>
              <w:t xml:space="preserve">LfDI Rheinland-Pfalz</w:t>
            </w:r>
          </w:p>
        </w:tc>
        <w:tc>
          <w:tcPr/>
          <w:p>
            <w:pPr>
              <w:pStyle w:val="Compact"/>
              <w:jc w:val="left"/>
            </w:pPr>
            <w:r>
              <w:t xml:space="preserve">März 2026</w:t>
            </w:r>
          </w:p>
        </w:tc>
        <w:tc>
          <w:tcPr/>
          <w:p>
            <w:pPr>
              <w:pStyle w:val="Compact"/>
              <w:jc w:val="left"/>
            </w:pPr>
            <w:r>
              <w:rPr>
                <w:bCs/>
                <w:b/>
              </w:rPr>
              <w:t xml:space="preserve">Erste dokumentierte Enforcement-Aktion KI + Gesundheitswesen:</w:t>
            </w:r>
            <w:r>
              <w:t xml:space="preserve"> </w:t>
            </w:r>
            <w:r>
              <w:t xml:space="preserve">Prüft KI-Telefonanlagen, KI-Dokumentenmanagement, KI-Websites in Arztpraxen; verlangt vollständiges Verzeichnis aller KI-Tools inkl. Einsatzzweck und zugrundeliegende Modelle; fehlende Dokumentation = Verstoß gegen Rechenschaftspflicht</w:t>
            </w:r>
          </w:p>
        </w:tc>
      </w:tr>
      <w:tr>
        <w:tc>
          <w:tcPr/>
          <w:p>
            <w:pPr>
              <w:pStyle w:val="Compact"/>
              <w:jc w:val="left"/>
            </w:pPr>
            <w:r>
              <w:rPr>
                <w:bCs/>
                <w:b/>
              </w:rPr>
              <w:t xml:space="preserve">Positionspapier</w:t>
            </w:r>
            <w:r>
              <w:rPr>
                <w:bCs/>
                <w:b/>
              </w:rPr>
              <w:t xml:space="preserve"> </w:t>
            </w:r>
            <w:r>
              <w:rPr>
                <w:bCs/>
                <w:b/>
              </w:rPr>
              <w:t xml:space="preserve">“</w:t>
            </w:r>
            <w:r>
              <w:rPr>
                <w:bCs/>
                <w:b/>
              </w:rPr>
              <w:t xml:space="preserve">Kriterien für Souveräne Clouds</w:t>
            </w:r>
            <w:r>
              <w:rPr>
                <w:bCs/>
                <w:b/>
              </w:rPr>
              <w:t xml:space="preserve">”</w:t>
            </w:r>
          </w:p>
        </w:tc>
        <w:tc>
          <w:tcPr/>
          <w:p>
            <w:pPr>
              <w:pStyle w:val="Compact"/>
              <w:jc w:val="left"/>
            </w:pPr>
            <w:r>
              <w:t xml:space="preserve">DSK</w:t>
            </w:r>
          </w:p>
        </w:tc>
        <w:tc>
          <w:tcPr/>
          <w:p>
            <w:pPr>
              <w:pStyle w:val="Compact"/>
              <w:jc w:val="left"/>
            </w:pPr>
            <w:r>
              <w:t xml:space="preserve">11.05.2023</w:t>
            </w:r>
          </w:p>
        </w:tc>
        <w:tc>
          <w:tcPr/>
          <w:p>
            <w:pPr>
              <w:pStyle w:val="Compact"/>
              <w:jc w:val="left"/>
            </w:pPr>
            <w:r>
              <w:t xml:space="preserve">Souveräne Cloud nur wenn Verantwortlicher Datenschutzpflichten</w:t>
            </w:r>
            <w:r>
              <w:t xml:space="preserve"> </w:t>
            </w:r>
            <w:r>
              <w:t xml:space="preserve">“</w:t>
            </w:r>
            <w:r>
              <w:t xml:space="preserve">wirksam, überprüfbar und dauerhaft</w:t>
            </w:r>
            <w:r>
              <w:t xml:space="preserve">”</w:t>
            </w:r>
            <w:r>
              <w:t xml:space="preserve"> </w:t>
            </w:r>
            <w:r>
              <w:t xml:space="preserve">erfüllen kann; Drittlandszugriffsrisiko muss</w:t>
            </w:r>
            <w:r>
              <w:t xml:space="preserve"> </w:t>
            </w:r>
            <w:r>
              <w:rPr>
                <w:bCs/>
                <w:b/>
              </w:rPr>
              <w:t xml:space="preserve">ausgeschlossen</w:t>
            </w:r>
            <w:r>
              <w:t xml:space="preserve"> </w:t>
            </w:r>
            <w:r>
              <w:t xml:space="preserve">sein; Open-Source-Basis empfohlen; offene Standards und Exportmöglichkeiten</w:t>
            </w:r>
          </w:p>
        </w:tc>
      </w:tr>
      <w:tr>
        <w:tc>
          <w:tcPr/>
          <w:p>
            <w:pPr>
              <w:pStyle w:val="Compact"/>
              <w:jc w:val="left"/>
            </w:pPr>
            <w:r>
              <w:rPr>
                <w:bCs/>
                <w:b/>
              </w:rPr>
              <w:t xml:space="preserve">Empfehlungen zu KI-Anbietern außerhalb der EU</w:t>
            </w:r>
            <w:r>
              <w:t xml:space="preserve"> </w:t>
            </w:r>
            <w:r>
              <w:t xml:space="preserve">(inkl. koordiniertes Verfahren gegen DeepSeek)</w:t>
            </w:r>
          </w:p>
        </w:tc>
        <w:tc>
          <w:tcPr/>
          <w:p>
            <w:pPr>
              <w:pStyle w:val="Compact"/>
              <w:jc w:val="left"/>
            </w:pPr>
            <w:r>
              <w:t xml:space="preserve">LfDI Baden-Württemberg</w:t>
            </w:r>
          </w:p>
        </w:tc>
        <w:tc>
          <w:tcPr/>
          <w:p>
            <w:pPr>
              <w:pStyle w:val="Compact"/>
              <w:jc w:val="left"/>
            </w:pPr>
            <w:r>
              <w:t xml:space="preserve">2025</w:t>
            </w:r>
          </w:p>
        </w:tc>
        <w:tc>
          <w:tcPr/>
          <w:p>
            <w:pPr>
              <w:pStyle w:val="Compact"/>
              <w:jc w:val="left"/>
            </w:pPr>
            <w:r>
              <w:t xml:space="preserve">Warnung vor KI-Anbietern ohne Art.-27-DSGVO-Vertreter in der EU; koordinierte Verfahren gegen DeepSeek eingeleitet; Drittstaatentransfer bei KI-as-a-Service systematisch prüfen</w:t>
            </w:r>
          </w:p>
        </w:tc>
      </w:tr>
      <w:tr>
        <w:tc>
          <w:tcPr/>
          <w:p>
            <w:pPr>
              <w:pStyle w:val="Compact"/>
              <w:jc w:val="left"/>
            </w:pPr>
            <w:r>
              <w:rPr>
                <w:bCs/>
                <w:b/>
              </w:rPr>
              <w:t xml:space="preserve">Orientierungshilfe Gesundheitsdatennutzungsgesetz (GDNG)</w:t>
            </w:r>
          </w:p>
        </w:tc>
        <w:tc>
          <w:tcPr/>
          <w:p>
            <w:pPr>
              <w:pStyle w:val="Compact"/>
              <w:jc w:val="left"/>
            </w:pPr>
            <w:r>
              <w:t xml:space="preserve">BayLfD</w:t>
            </w:r>
          </w:p>
        </w:tc>
        <w:tc>
          <w:tcPr/>
          <w:p>
            <w:pPr>
              <w:pStyle w:val="Compact"/>
              <w:jc w:val="left"/>
            </w:pPr>
            <w:r>
              <w:t xml:space="preserve">Januar 2026</w:t>
            </w:r>
          </w:p>
        </w:tc>
        <w:tc>
          <w:tcPr/>
          <w:p>
            <w:pPr>
              <w:pStyle w:val="Compact"/>
              <w:jc w:val="left"/>
            </w:pPr>
            <w:r>
              <w:t xml:space="preserve">Orientierungshilfe zu §§ 5 und 6 GDNG und EHDS; Muster-Einwilligung nach § 6; Living Document mit regelmäßigen Updates</w:t>
            </w:r>
          </w:p>
        </w:tc>
      </w:tr>
      <w:tr>
        <w:tc>
          <w:tcPr/>
          <w:p>
            <w:pPr>
              <w:pStyle w:val="Compact"/>
              <w:jc w:val="left"/>
            </w:pPr>
            <w:r>
              <w:rPr>
                <w:bCs/>
                <w:b/>
              </w:rPr>
              <w:t xml:space="preserve">Leitfaden Datenschutz in der medizinischen Forschung</w:t>
            </w:r>
            <w:r>
              <w:t xml:space="preserve"> </w:t>
            </w:r>
            <w:r>
              <w:t xml:space="preserve">(mit DGIM)</w:t>
            </w:r>
          </w:p>
        </w:tc>
        <w:tc>
          <w:tcPr/>
          <w:p>
            <w:pPr>
              <w:pStyle w:val="Compact"/>
              <w:jc w:val="left"/>
            </w:pPr>
            <w:r>
              <w:t xml:space="preserve">HBDI</w:t>
            </w:r>
          </w:p>
        </w:tc>
        <w:tc>
          <w:tcPr/>
          <w:p>
            <w:pPr>
              <w:pStyle w:val="Compact"/>
              <w:jc w:val="left"/>
            </w:pPr>
            <w:r>
              <w:t xml:space="preserve">Dezember 2025</w:t>
            </w:r>
          </w:p>
        </w:tc>
        <w:tc>
          <w:tcPr/>
          <w:p>
            <w:pPr>
              <w:pStyle w:val="Compact"/>
              <w:jc w:val="left"/>
            </w:pPr>
            <w:r>
              <w:t xml:space="preserve">Vier konkrete Use Cases aus der medizinischen Forschung; Pseudonymisierung über Treuhandstelle; föderierte Datenmodelle; Living Document</w:t>
            </w:r>
          </w:p>
        </w:tc>
      </w:tr>
      <w:tr>
        <w:tc>
          <w:tcPr/>
          <w:p>
            <w:pPr>
              <w:pStyle w:val="Compact"/>
              <w:jc w:val="left"/>
            </w:pPr>
            <w:r>
              <w:rPr>
                <w:bCs/>
                <w:b/>
              </w:rPr>
              <w:t xml:space="preserve">CEF Cloud-Nutzung öffentlicher Stellen</w:t>
            </w:r>
          </w:p>
        </w:tc>
        <w:tc>
          <w:tcPr/>
          <w:p>
            <w:pPr>
              <w:pStyle w:val="Compact"/>
              <w:jc w:val="left"/>
            </w:pPr>
            <w:r>
              <w:t xml:space="preserve">EDPB (7 deutsche Landesbehörden beteiligt)</w:t>
            </w:r>
          </w:p>
        </w:tc>
        <w:tc>
          <w:tcPr/>
          <w:p>
            <w:pPr>
              <w:pStyle w:val="Compact"/>
              <w:jc w:val="left"/>
            </w:pPr>
            <w:r>
              <w:t xml:space="preserve">2023 (Bericht)</w:t>
            </w:r>
          </w:p>
        </w:tc>
        <w:tc>
          <w:tcPr/>
          <w:p>
            <w:pPr>
              <w:pStyle w:val="Compact"/>
              <w:jc w:val="left"/>
            </w:pPr>
            <w:r>
              <w:t xml:space="preserve">Koordinierte Prüfung der Cloud-Nutzung durch öffentliche Stellen inkl. Gesundheitswesen; nur 32 von 86 geprüften Stellen hatten vor Cloud-Einsatz eine DSFA durchgeführt; Ergebnisbericht mit Empfehlungen zu Auftragsverarbeitung und Drittlandstransfer</w:t>
            </w:r>
          </w:p>
        </w:tc>
      </w:tr>
    </w:tbl>
    <w:bookmarkEnd w:id="146"/>
    <w:bookmarkStart w:id="147" w:name="X27c8574ca10081d7de48d77d249a4c07605e46e"/>
    <w:p>
      <w:pPr>
        <w:pStyle w:val="Heading3"/>
      </w:pPr>
      <w:r>
        <w:t xml:space="preserve">16.4 Das Gesamtbild — warum niemand das CLOUD-Act-Problem</w:t>
      </w:r>
      <w:r>
        <w:t xml:space="preserve"> </w:t>
      </w:r>
      <w:r>
        <w:t xml:space="preserve">“</w:t>
      </w:r>
      <w:r>
        <w:t xml:space="preserve">besitzt</w:t>
      </w:r>
      <w:r>
        <w:t xml:space="preserve">”</w:t>
      </w:r>
    </w:p>
    <w:p>
      <w:pPr>
        <w:pStyle w:val="FirstParagraph"/>
      </w:pPr>
      <w:r>
        <w:t xml:space="preserve">Die Tabelle in §16.1 zeigt das strukturelle Problem: Die CLOUD-Act-Exposition von Gesundheitsdaten fällt zwischen alle Zuständigkeiten.</w:t>
      </w:r>
    </w:p>
    <w:p>
      <w:pPr>
        <w:pStyle w:val="BodyText"/>
      </w:pPr>
      <w:r>
        <w:rPr>
          <w:bCs/>
          <w:b/>
        </w:rPr>
        <w:t xml:space="preserve">Das BSI</w:t>
      </w:r>
      <w:r>
        <w:t xml:space="preserve"> </w:t>
      </w:r>
      <w:r>
        <w:t xml:space="preserve">prüft Informationssicherheit — nicht Jurisdiktion. C5 zertifiziert Azure, obwohl Azure dem CLOUD Act unterliegt. Das BSI weiß das, hat Souveränitätskriterien deshalb als separates Dokument angekündigt, aber noch nicht veröffentlicht.</w:t>
      </w:r>
    </w:p>
    <w:p>
      <w:pPr>
        <w:pStyle w:val="BodyText"/>
      </w:pPr>
      <w:r>
        <w:rPr>
          <w:bCs/>
          <w:b/>
        </w:rPr>
        <w:t xml:space="preserve">Das BMG</w:t>
      </w:r>
      <w:r>
        <w:t xml:space="preserve"> </w:t>
      </w:r>
      <w:r>
        <w:t xml:space="preserve">hat mit § 393 SGB V die Cloud-Nutzung erlaubt und C5 als Mindeststandard festgelegt — ohne die Jurisdiktionsfrage zu adressieren. Das GeDIG (Entwurf 2026) erweitert den Datenpool (ePA-Ausbau, FDZ-Ausleitung), adressiert aber ebenfalls nicht, auf welcher Infrastruktur diese Daten verarbeitet werden dürfen.</w:t>
      </w:r>
    </w:p>
    <w:p>
      <w:pPr>
        <w:pStyle w:val="BodyText"/>
      </w:pPr>
      <w:r>
        <w:rPr>
          <w:bCs/>
          <w:b/>
        </w:rPr>
        <w:t xml:space="preserve">Das BAS</w:t>
      </w:r>
      <w:r>
        <w:t xml:space="preserve"> </w:t>
      </w:r>
      <w:r>
        <w:t xml:space="preserve">beaufsichtigt die bundesunmittelbaren GKVen (TK, Barmer, DAK — zusammen &gt; 30 Mio. Versicherte). Es hat ein Rundschreiben zu Cloud-IT-Lösungen (2017/2018, aktualisiert), das Datenortung (EU/EWR) und Auftragsverarbeitungsverträge regelt — aber keine Jurisdiktionsprüfung verlangt. Der BAS-Digitalausschuss betreut eine Sondervereinbarung mit Microsoft für die Sozialversicherungsträger und berät Kassen zu KI und Automatisierung. Aber eine CLOUD-Act-Bewertung gehört nicht zum dokumentierten Prüfprogramm. Das BAS reguliert,</w:t>
      </w:r>
      <w:r>
        <w:t xml:space="preserve"> </w:t>
      </w:r>
      <w:r>
        <w:rPr>
          <w:bCs/>
          <w:b/>
        </w:rPr>
        <w:t xml:space="preserve">ob</w:t>
      </w:r>
      <w:r>
        <w:t xml:space="preserve"> </w:t>
      </w:r>
      <w:r>
        <w:t xml:space="preserve">die Cloud in der EU steht — nicht</w:t>
      </w:r>
      <w:r>
        <w:t xml:space="preserve"> </w:t>
      </w:r>
      <w:r>
        <w:rPr>
          <w:bCs/>
          <w:b/>
        </w:rPr>
        <w:t xml:space="preserve">wer</w:t>
      </w:r>
      <w:r>
        <w:t xml:space="preserve"> </w:t>
      </w:r>
      <w:r>
        <w:t xml:space="preserve">per Gesetz auf die Daten zugreifen kann.</w:t>
      </w:r>
    </w:p>
    <w:p>
      <w:pPr>
        <w:pStyle w:val="BodyText"/>
      </w:pPr>
      <w:r>
        <w:rPr>
          <w:bCs/>
          <w:b/>
        </w:rPr>
        <w:t xml:space="preserve">Die gematik</w:t>
      </w:r>
      <w:r>
        <w:t xml:space="preserve"> </w:t>
      </w:r>
      <w:r>
        <w:t xml:space="preserve">vergibt TI-Gateway-Zulassungen, die bestimmen, über welchen Anbieter Praxen und Kliniken künftig ihre TI-Anbindung beziehen. Ob ein TI-Gateway-Betreiber dem CLOUD Act unterliegt, ist kein Zulassungskriterium. Die TI-2.0-Architektur (ZETA/Zero Trust, seit Dezember 2025 quelloffen auf GitHub) ist ein Sicherheitskonzept — kein Souveränitätskonzept.</w:t>
      </w:r>
    </w:p>
    <w:p>
      <w:pPr>
        <w:pStyle w:val="BodyText"/>
      </w:pPr>
      <w:r>
        <w:rPr>
          <w:bCs/>
          <w:b/>
        </w:rPr>
        <w:t xml:space="preserve">Die Datenschutzaufsichtsbehörden</w:t>
      </w:r>
      <w:r>
        <w:t xml:space="preserve"> </w:t>
      </w:r>
      <w:r>
        <w:t xml:space="preserve">könnten das Problem adressieren — und tun es punktuell (Rheinland-Pfalz März 2026). Aber DSK-Beschlüsse sind nicht rechtsverbindlich, Prüfungen erfolgen anlassbezogen, und die 16 Landesaufsichten plus BfDI kommen zu unterschiedlichen Ergebnissen (§16.2). Die DSK hat mit dem Positionspapier</w:t>
      </w:r>
      <w:r>
        <w:t xml:space="preserve"> </w:t>
      </w:r>
      <w:r>
        <w:t xml:space="preserve">“</w:t>
      </w:r>
      <w:r>
        <w:t xml:space="preserve">Kriterien für Souveräne Clouds</w:t>
      </w:r>
      <w:r>
        <w:t xml:space="preserve">”</w:t>
      </w:r>
      <w:r>
        <w:t xml:space="preserve"> </w:t>
      </w:r>
      <w:r>
        <w:t xml:space="preserve">(Mai 2023) klar formuliert, dass Drittlandszugriffsrisiken</w:t>
      </w:r>
      <w:r>
        <w:t xml:space="preserve"> </w:t>
      </w:r>
      <w:r>
        <w:rPr>
          <w:bCs/>
          <w:b/>
        </w:rPr>
        <w:t xml:space="preserve">ausgeschlossen</w:t>
      </w:r>
      <w:r>
        <w:t xml:space="preserve"> </w:t>
      </w:r>
      <w:r>
        <w:t xml:space="preserve">sein müssen — aber dieses Papier hat keine Bindungswirkung und wird in Vergabeverfahren regelmäßig nicht herangezogen.</w:t>
      </w:r>
    </w:p>
    <w:p>
      <w:pPr>
        <w:pStyle w:val="BodyText"/>
      </w:pPr>
      <w:r>
        <w:rPr>
          <w:bCs/>
          <w:b/>
        </w:rPr>
        <w:t xml:space="preserve">Die Selbstverwaltung</w:t>
      </w:r>
      <w:r>
        <w:t xml:space="preserve"> </w:t>
      </w:r>
      <w:r>
        <w:t xml:space="preserve">(KBV, DKG, GKV-Spitzenverband) vertritt Interessen, hat aber keine Aufsichtsfunktion. Die DKG fordert in ihrem KI-Positionspapier (Oktober 2025) explizit Cloud-Betrieb als Notwendigkeit für KI — ohne die Jurisdiktionsfrage zu stellen. Der GKV-Spitzenverband fordert in seiner Digitalstrategie (Dezember 2025) KI-gestützte ePA-Analyse — ohne Cloud-Souveränität als Anforderung zu definieren.</w:t>
      </w:r>
    </w:p>
    <w:p>
      <w:pPr>
        <w:pStyle w:val="BodyText"/>
      </w:pPr>
      <w:r>
        <w:rPr>
          <w:bCs/>
          <w:b/>
        </w:rPr>
        <w:t xml:space="preserve">Das Ergebnis:</w:t>
      </w:r>
      <w:r>
        <w:t xml:space="preserve"> </w:t>
      </w:r>
      <w:r>
        <w:t xml:space="preserve">Jede Institution erfüllt ihren Auftrag korrekt — aber niemand ist dafür zuständig, die Frage zu stellen:</w:t>
      </w:r>
      <w:r>
        <w:t xml:space="preserve"> </w:t>
      </w:r>
      <w:r>
        <w:t xml:space="preserve">“</w:t>
      </w:r>
      <w:r>
        <w:t xml:space="preserve">Unterliegt der Cloud-Anbieter, bei dem wir Gesundheitsdaten von 74 Millionen GKV-Versicherten verarbeiten, einer US-Herausgabepflicht?</w:t>
      </w:r>
      <w:r>
        <w:t xml:space="preserve">”</w:t>
      </w:r>
      <w:r>
        <w:t xml:space="preserve"> </w:t>
      </w:r>
      <w:r>
        <w:t xml:space="preserve">Das BSI sagt:</w:t>
      </w:r>
      <w:r>
        <w:t xml:space="preserve"> </w:t>
      </w:r>
      <w:r>
        <w:t xml:space="preserve">“</w:t>
      </w:r>
      <w:r>
        <w:t xml:space="preserve">Nicht mein Prüfgegenstand.</w:t>
      </w:r>
      <w:r>
        <w:t xml:space="preserve">”</w:t>
      </w:r>
      <w:r>
        <w:t xml:space="preserve"> </w:t>
      </w:r>
      <w:r>
        <w:t xml:space="preserve">Das BMG sagt:</w:t>
      </w:r>
      <w:r>
        <w:t xml:space="preserve"> </w:t>
      </w:r>
      <w:r>
        <w:t xml:space="preserve">“</w:t>
      </w:r>
      <w:r>
        <w:t xml:space="preserve">C5 regelt die Sicherheit.</w:t>
      </w:r>
      <w:r>
        <w:t xml:space="preserve">”</w:t>
      </w:r>
      <w:r>
        <w:t xml:space="preserve"> </w:t>
      </w:r>
      <w:r>
        <w:t xml:space="preserve">Das BAS sagt: nichts Öffentliches. Die gematik sagt:</w:t>
      </w:r>
      <w:r>
        <w:t xml:space="preserve"> </w:t>
      </w:r>
      <w:r>
        <w:t xml:space="preserve">“</w:t>
      </w:r>
      <w:r>
        <w:t xml:space="preserve">Wir prüfen Sicherheit, nicht Jurisdiktion.</w:t>
      </w:r>
      <w:r>
        <w:t xml:space="preserve">”</w:t>
      </w:r>
      <w:r>
        <w:t xml:space="preserve"> </w:t>
      </w:r>
      <w:r>
        <w:t xml:space="preserve">Die Datenschutzaufsicht sagt:</w:t>
      </w:r>
      <w:r>
        <w:t xml:space="preserve"> </w:t>
      </w:r>
      <w:r>
        <w:t xml:space="preserve">“</w:t>
      </w:r>
      <w:r>
        <w:t xml:space="preserve">Problematisch</w:t>
      </w:r>
      <w:r>
        <w:t xml:space="preserve">”</w:t>
      </w:r>
      <w:r>
        <w:t xml:space="preserve"> </w:t>
      </w:r>
      <w:r>
        <w:t xml:space="preserve">— und verhängt kein Bußgeld.</w:t>
      </w:r>
    </w:p>
    <w:p>
      <w:pPr>
        <w:pStyle w:val="BodyText"/>
      </w:pPr>
      <w:r>
        <w:t xml:space="preserve">Dieses Muster — regulatorische Vollständigkeit bei gleichzeitiger Zuständigkeitslücke für das Kernrisiko — ist der institutionelle Grund für das Vollzugsdefizit aus §1.2.2. Es ist kein Versagen einzelner Behörden, sondern ein Systemdesign, das die CLOUD-Act-Frage strukturell unsichtbar macht.</w:t>
      </w:r>
    </w:p>
    <w:p>
      <w:r>
        <w:pict>
          <v:rect style="width:0;height:1.5pt" o:hralign="center" o:hrstd="t" o:hr="t"/>
        </w:pict>
      </w:r>
    </w:p>
    <w:bookmarkEnd w:id="147"/>
    <w:bookmarkStart w:id="148" w:name="Xe089e2e309ad133d17125939bb52e61aaa88ca3"/>
    <w:p>
      <w:pPr>
        <w:pStyle w:val="Heading3"/>
      </w:pPr>
      <w:r>
        <w:t xml:space="preserve">16.5 Was das für Gesundheitsinstitutionen konkret bedeutet</w:t>
      </w:r>
    </w:p>
    <w:p>
      <w:pPr>
        <w:numPr>
          <w:ilvl w:val="0"/>
          <w:numId w:val="1023"/>
        </w:numPr>
      </w:pPr>
      <w:r>
        <w:rPr>
          <w:bCs/>
          <w:b/>
        </w:rPr>
        <w:t xml:space="preserve">Cloud-Gesundheitsanwendungen</w:t>
      </w:r>
      <w:r>
        <w:t xml:space="preserve"> </w:t>
      </w:r>
      <w:r>
        <w:t xml:space="preserve">unterliegen seit dem DSK-Beschluss November 2023 konkreten Anforderungen an Privacy by Default — Cloud-Funktionen müssen deaktivierbar sein. Jede GKV oder Klinik, die eine Cloud-basierte Gesundheitsanwendung einführt (z.B. DiGA-ähnliche Apps, Patientenportale), muss diese Anforderungen nachweisen können.</w:t>
      </w:r>
    </w:p>
    <w:p>
      <w:pPr>
        <w:numPr>
          <w:ilvl w:val="0"/>
          <w:numId w:val="1023"/>
        </w:numPr>
      </w:pPr>
      <w:r>
        <w:rPr>
          <w:bCs/>
          <w:b/>
        </w:rPr>
        <w:t xml:space="preserve">KI-Anwendungen</w:t>
      </w:r>
      <w:r>
        <w:t xml:space="preserve"> </w:t>
      </w:r>
      <w:r>
        <w:t xml:space="preserve">mit Cloud-Backend erfordern seit der DSK-Orientierungshilfe Mai/Juni 2025 eine eigene DSFA — insbesondere für LLMs. Das betrifft direkt die KI-Anwendungsfälle aus §7.5: Arztbrief-Generierung, Transkription, Kodierung. Wer Azure OpenAI, Google Gemini oder AWS Bedrock für Gesundheitsdaten nutzt, muss eine DSFA vorlegen, die explizit die Klartextverarbeitung und den Drittlandstransfer adressiert.</w:t>
      </w:r>
    </w:p>
    <w:p>
      <w:pPr>
        <w:numPr>
          <w:ilvl w:val="0"/>
          <w:numId w:val="1023"/>
        </w:numPr>
      </w:pPr>
      <w:r>
        <w:rPr>
          <w:bCs/>
          <w:b/>
        </w:rPr>
        <w:t xml:space="preserve">Confidential Cloud Computing</w:t>
      </w:r>
      <w:r>
        <w:t xml:space="preserve"> </w:t>
      </w:r>
      <w:r>
        <w:t xml:space="preserve">schützt laut DSK-Entschließung Juni 2025</w:t>
      </w:r>
      <w:r>
        <w:t xml:space="preserve"> </w:t>
      </w:r>
      <w:r>
        <w:rPr>
          <w:bCs/>
          <w:b/>
        </w:rPr>
        <w:t xml:space="preserve">nicht</w:t>
      </w:r>
      <w:r>
        <w:t xml:space="preserve"> </w:t>
      </w:r>
      <w:r>
        <w:t xml:space="preserve">vor Provider-Zugriff — das bestätigt die CLOUD-Act-Analyse aus §1 und §13: Technische Maßnahmen allein lösen das Jurisdiktionsproblem nicht.</w:t>
      </w:r>
    </w:p>
    <w:p>
      <w:pPr>
        <w:numPr>
          <w:ilvl w:val="0"/>
          <w:numId w:val="1023"/>
        </w:numPr>
      </w:pPr>
      <w:r>
        <w:rPr>
          <w:bCs/>
          <w:b/>
        </w:rPr>
        <w:t xml:space="preserve">Rheinland-Pfalz macht ernst:</w:t>
      </w:r>
      <w:r>
        <w:t xml:space="preserve"> </w:t>
      </w:r>
      <w:r>
        <w:t xml:space="preserve">Die Art.-58-Auskunftsersuchen des LfDI Rheinland-Pfalz ab März 2026 sind die erste dokumentierte anlassbezogene Prüfung von KI im Gesundheitswesen durch eine Landesaufsicht. Gesundheitsinstitutionen müssen ein vollständiges Verzeichnis aller eingesetzten KI-Tools vorhalten — inklusive der zugrundeliegenden Modelle und deren Infrastruktur. Wer nicht dokumentieren kann, welches Modell seine Arztbrief-KI antreibt und wo es läuft, riskiert einen Rechenschaftspflicht-Verstoß nach Art. 5 Abs. 2 DSGVO.</w:t>
      </w:r>
    </w:p>
    <w:p>
      <w:pPr>
        <w:numPr>
          <w:ilvl w:val="0"/>
          <w:numId w:val="1023"/>
        </w:numPr>
      </w:pPr>
      <w:r>
        <w:rPr>
          <w:bCs/>
          <w:b/>
        </w:rPr>
        <w:t xml:space="preserve">BfDI-Handreichung</w:t>
      </w:r>
      <w:r>
        <w:t xml:space="preserve"> </w:t>
      </w:r>
      <w:r>
        <w:t xml:space="preserve">(Dezember 2025) gilt für alle bundesunmittelbaren Stellen — das schließt die großen bundesunmittelbaren GKVen (Barmer, TK, DAK, AOK-Bundesverband) ein, die bislang im</w:t>
      </w:r>
      <w:r>
        <w:t xml:space="preserve"> </w:t>
      </w:r>
      <w:r>
        <w:t xml:space="preserve">“</w:t>
      </w:r>
      <w:r>
        <w:t xml:space="preserve">Vakuum</w:t>
      </w:r>
      <w:r>
        <w:t xml:space="preserve">”</w:t>
      </w:r>
      <w:r>
        <w:t xml:space="preserve"> </w:t>
      </w:r>
      <w:r>
        <w:t xml:space="preserve">operierten (s.o.). Für diese Kassen ist die BfDI-Handreichung die erste konkrete Erwartungshaltung des Bundesbeauftragten zu KI und Cloud.</w:t>
      </w:r>
    </w:p>
    <w:p>
      <w:r>
        <w:pict>
          <v:rect style="width:0;height:1.5pt" o:hralign="center" o:hrstd="t" o:hr="t"/>
        </w:pict>
      </w:r>
    </w:p>
    <w:bookmarkEnd w:id="148"/>
    <w:bookmarkEnd w:id="149"/>
    <w:bookmarkStart w:id="160" w:name="X5e00b2af0644f678a7fb0ede3f52d0cd3e300fb"/>
    <w:p>
      <w:pPr>
        <w:pStyle w:val="Heading2"/>
      </w:pPr>
      <w:r>
        <w:t xml:space="preserve">17. DSGVO-Handlungsempfehlungen</w:t>
      </w:r>
    </w:p>
    <w:p>
      <w:pPr>
        <w:pStyle w:val="FirstParagraph"/>
      </w:pPr>
      <w:r>
        <w:t xml:space="preserve">§16 zeigt: Keine Institution ist dafür zuständig, die CLOUD-Act-Exposition als Ganzes zu prüfen. Die Datenschutzaufsicht ist fragmentiert (§16.2), die DSK-Beschlüsse sind nicht rechtsverbindlich (§16.3), und Gesundheitsregulierer wie BMG, BAS und gematik adressieren IT-Sicherheit, nicht Jurisdiktion (§16.1). Diese Lücke fällt auf die einzelne Gesundheitsinstitution zurück. Die folgenden Empfehlungen berücksichtigen deshalb nicht nur die DSGVO-Anforderungen, sondern auch die konkreten Erwartungen der Aufsichtsbehörden — insbesondere die DSK-Orientierungshilfe KI (§16.3), die KBV-IT-Sicherheitsrichtlinie (ab Oktober 2025), die BfDI-KI-Handreichung (Dezember 2025) und die ersten Enforcement-Aktionen (LfDI Rheinland-Pfalz, März 2026).</w:t>
      </w:r>
    </w:p>
    <w:bookmarkStart w:id="150" w:name="sofortmaßnahmen-priorität-hoch"/>
    <w:p>
      <w:pPr>
        <w:pStyle w:val="Heading3"/>
      </w:pPr>
      <w:r>
        <w:t xml:space="preserve">17.1 Sofortmaßnahmen — Priorität hoch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Maßnahme</w:t>
            </w:r>
          </w:p>
        </w:tc>
        <w:tc>
          <w:tcPr/>
          <w:p>
            <w:pPr>
              <w:pStyle w:val="Compact"/>
              <w:jc w:val="left"/>
            </w:pPr>
            <w:r>
              <w:t xml:space="preserve">Was konkret zu tun ist</w:t>
            </w:r>
          </w:p>
        </w:tc>
      </w:tr>
      <w:tr>
        <w:tc>
          <w:tcPr/>
          <w:p>
            <w:pPr>
              <w:pStyle w:val="Compact"/>
              <w:jc w:val="left"/>
            </w:pPr>
            <w:r>
              <w:rPr>
                <w:bCs/>
                <w:b/>
              </w:rPr>
              <w:t xml:space="preserve">1</w:t>
            </w:r>
          </w:p>
        </w:tc>
        <w:tc>
          <w:tcPr/>
          <w:p>
            <w:pPr>
              <w:pStyle w:val="Compact"/>
              <w:jc w:val="left"/>
            </w:pPr>
            <w:r>
              <w:t xml:space="preserve">Anbieter-Kontrollanalyse</w:t>
            </w:r>
          </w:p>
        </w:tc>
        <w:tc>
          <w:tcPr/>
          <w:p>
            <w:pPr>
              <w:pStyle w:val="Compact"/>
              <w:jc w:val="left"/>
            </w:pPr>
            <w:r>
              <w:t xml:space="preserve">(a) US-Börsennotierung? (b) US-Muttergesellschaft? (c) US-Niederlassung — auch Tochter oder Schwester? Wenn eine Frage Ja: CLOUD-Act-Risiko real — unabhängig von Serverstandort, AVV und SCCs.</w:t>
            </w:r>
          </w:p>
        </w:tc>
      </w:tr>
      <w:tr>
        <w:tc>
          <w:tcPr/>
          <w:p>
            <w:pPr>
              <w:pStyle w:val="Compact"/>
              <w:jc w:val="left"/>
            </w:pPr>
            <w:r>
              <w:rPr>
                <w:bCs/>
                <w:b/>
              </w:rPr>
              <w:t xml:space="preserve">2</w:t>
            </w:r>
          </w:p>
        </w:tc>
        <w:tc>
          <w:tcPr/>
          <w:p>
            <w:pPr>
              <w:pStyle w:val="Compact"/>
              <w:jc w:val="left"/>
            </w:pPr>
            <w:r>
              <w:t xml:space="preserve">Datenklassifizierung</w:t>
            </w:r>
          </w:p>
        </w:tc>
        <w:tc>
          <w:tcPr/>
          <w:p>
            <w:pPr>
              <w:pStyle w:val="Compact"/>
              <w:jc w:val="left"/>
            </w:pPr>
            <w:r>
              <w:t xml:space="preserve">Klasse 1 (ePA, Diagnosedaten, Medikation) → Full-Isolation-Anbieter oder Operator-Modell mit BSI CPR. Klasse 2 (interne Kommunikation, Analytics) → EU-Anbieter akzeptabel. Klasse 3 (öffentliche Daten) → keine Einschränkung.</w:t>
            </w:r>
          </w:p>
        </w:tc>
      </w:tr>
      <w:tr>
        <w:tc>
          <w:tcPr/>
          <w:p>
            <w:pPr>
              <w:pStyle w:val="Compact"/>
              <w:jc w:val="left"/>
            </w:pPr>
            <w:r>
              <w:rPr>
                <w:bCs/>
                <w:b/>
              </w:rPr>
              <w:t xml:space="preserve">3</w:t>
            </w:r>
          </w:p>
        </w:tc>
        <w:tc>
          <w:tcPr/>
          <w:p>
            <w:pPr>
              <w:pStyle w:val="Compact"/>
              <w:jc w:val="left"/>
            </w:pPr>
            <w:r>
              <w:t xml:space="preserve">C5-Testat neu einordnen</w:t>
            </w:r>
          </w:p>
        </w:tc>
        <w:tc>
          <w:tcPr/>
          <w:p>
            <w:pPr>
              <w:pStyle w:val="Compact"/>
              <w:jc w:val="left"/>
            </w:pPr>
            <w:r>
              <w:t xml:space="preserve">Auch C5:2026 (April 2026, 168 Kriterien) belegt</w:t>
            </w:r>
            <w:r>
              <w:t xml:space="preserve"> </w:t>
            </w:r>
            <w:r>
              <w:rPr>
                <w:bCs/>
                <w:b/>
              </w:rPr>
              <w:t xml:space="preserve">technische Sicherheit</w:t>
            </w:r>
            <w: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p>
            <w:pPr>
              <w:pStyle w:val="Compact"/>
              <w:jc w:val="left"/>
            </w:pPr>
            <w:r>
              <w:rPr>
                <w:bCs/>
                <w:b/>
              </w:rPr>
              <w:t xml:space="preserve">4</w:t>
            </w:r>
          </w:p>
        </w:tc>
        <w:tc>
          <w:tcPr/>
          <w:p>
            <w:pPr>
              <w:pStyle w:val="Compact"/>
              <w:jc w:val="left"/>
            </w:pPr>
            <w:r>
              <w:t xml:space="preserve">DPF nicht als Schutzschild</w:t>
            </w:r>
          </w:p>
        </w:tc>
        <w:tc>
          <w:tcPr/>
          <w:p>
            <w:pPr>
              <w:pStyle w:val="Compact"/>
              <w:jc w:val="left"/>
            </w:pPr>
            <w:r>
              <w:t xml:space="preserve">Das Data Privacy Framework basiert auf einem Präsidialerlass. PCLOB-Aufsicht ausgehöhlt seit Jan. 2025. Schrems III läuft. Keine Infrastrukturentscheidungen auf DPF-Dauerhaftigkeit bauen.</w:t>
            </w:r>
          </w:p>
        </w:tc>
      </w:tr>
      <w:tr>
        <w:tc>
          <w:tcPr/>
          <w:p>
            <w:pPr>
              <w:pStyle w:val="Compact"/>
              <w:jc w:val="left"/>
            </w:pPr>
            <w:r>
              <w:rPr>
                <w:bCs/>
                <w:b/>
              </w:rPr>
              <w:t xml:space="preserve">5</w:t>
            </w:r>
          </w:p>
        </w:tc>
        <w:tc>
          <w:tcPr/>
          <w:p>
            <w:pPr>
              <w:pStyle w:val="Compact"/>
              <w:jc w:val="left"/>
            </w:pPr>
            <w:r>
              <w:t xml:space="preserve">Operator-Modell prüfen</w:t>
            </w:r>
          </w:p>
        </w:tc>
        <w:tc>
          <w:tcPr/>
          <w:p>
            <w:pPr>
              <w:pStyle w:val="Compact"/>
              <w:jc w:val="left"/>
            </w:pPr>
            <w: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r>
        <w:tc>
          <w:tcPr/>
          <w:p>
            <w:pPr>
              <w:pStyle w:val="Compact"/>
              <w:jc w:val="left"/>
            </w:pPr>
            <w:r>
              <w:rPr>
                <w:bCs/>
                <w:b/>
              </w:rPr>
              <w:t xml:space="preserve">6</w:t>
            </w:r>
          </w:p>
        </w:tc>
        <w:tc>
          <w:tcPr/>
          <w:p>
            <w:pPr>
              <w:pStyle w:val="Compact"/>
              <w:jc w:val="left"/>
            </w:pPr>
            <w:r>
              <w:t xml:space="preserve">KI-Inventar erstellen</w:t>
            </w:r>
          </w:p>
        </w:tc>
        <w:tc>
          <w:tcPr/>
          <w:p>
            <w:pPr>
              <w:pStyle w:val="Compact"/>
              <w:jc w:val="left"/>
            </w:pPr>
            <w:r>
              <w:t xml:space="preserve">Vollständiges Verzeichnis aller eingesetzten KI-Tools — inklusive Einsatzzweck, zugrundeliegende Modelle und deren Infrastruktur. Seit März 2026 verlangt der LfDI Rheinland-Pfalz genau diese Dokumentation per Art.-58-Auskunftsersuchen (§16.3). Fehlende Dokumentation = Rechenschaftspflicht-Verstoß (Art. 5 Abs. 2 DSGVO). Für LLM-basierte Anwendungen (Arztbrief-KI, Transkription, Kodierung): DSFA nach Art. 35 DSGVO erforderlich (DSK-Orientierungshilfe KI, Juni 2025).</w:t>
            </w:r>
          </w:p>
        </w:tc>
      </w:tr>
    </w:tbl>
    <w:bookmarkEnd w:id="150"/>
    <w:bookmarkStart w:id="151" w:name="X1f672b3940dc5c346e73d35ae094b746ceb627b"/>
    <w:p>
      <w:pPr>
        <w:pStyle w:val="Heading3"/>
      </w:pPr>
      <w:r>
        <w:t xml:space="preserve">17.2 Das Vier-Stufen-Modell — welche Stufe für welchen Workload</w:t>
      </w:r>
    </w:p>
    <w:p>
      <w:pPr>
        <w:pStyle w:val="FirstParagraph"/>
      </w:pPr>
      <w:r>
        <w:t xml:space="preserve">Das entscheidende Planungswerkzeug ist nicht mehr die binäre Frage</w:t>
      </w:r>
      <w:r>
        <w:t xml:space="preserve"> </w:t>
      </w:r>
      <w:r>
        <w:t xml:space="preserve">“</w:t>
      </w:r>
      <w:r>
        <w:t xml:space="preserve">US-Hyperscaler oder nicht</w:t>
      </w:r>
      <w:r>
        <w:t xml:space="preserve">”</w:t>
      </w:r>
      <w:r>
        <w:t xml:space="preserve"> </w:t>
      </w:r>
      <w:r>
        <w:t xml:space="preserve">— sondern die Einordnung jedes Workloads in das Souveränitätsspektrum:</w:t>
      </w:r>
    </w:p>
    <w:p>
      <w:pPr>
        <w:pStyle w:val="BodyText"/>
      </w:pPr>
      <w:r>
        <w:rPr>
          <w:bCs/>
          <w:b/>
        </w:rPr>
        <w:t xml:space="preserve">Stufe 1 — Vollständige Abschottung (Full Isolation)</w:t>
      </w:r>
      <w:r>
        <w:t xml:space="preserve"> </w:t>
      </w:r>
      <w:r>
        <w:t xml:space="preserve">Kein US-Technologieanteil, kein US-Eigentümer, kein US-Betrieb. Maximale rechtliche Souveränität.</w:t>
      </w:r>
    </w:p>
    <w:p>
      <w:pPr>
        <w:pStyle w:val="BodyText"/>
      </w:pPr>
      <w:r>
        <w:t xml:space="preserve">Anbieter: plusserver, EWERK Leipzig (DE); 3DS Outscale, Cloud Temple (FR); STACKIT (mit Vorbehalt Lidl-US-Schwester)</w:t>
      </w:r>
    </w:p>
    <w:p>
      <w:pPr>
        <w:pStyle w:val="BodyText"/>
      </w:pPr>
      <w:r>
        <w:t xml:space="preserve">Geeignet für: ePA-Kerndaten, KRITIS-Systeme, VS-NfD-Infrastruktur, GKV-Kernabrechnungssysteme, genetische Daten, psychiatrische Diagnostik — alles mit höchstem Schutzbedarf nach § 393 SGB V.</w:t>
      </w:r>
    </w:p>
    <w:p>
      <w:pPr>
        <w:pStyle w:val="BodyText"/>
      </w:pPr>
      <w:r>
        <w:t xml:space="preserve">Vollständiger Technik-Stack (alle Komponenten heute produktionsreif):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US-Stack (ersetzt)</w:t>
            </w:r>
          </w:p>
        </w:tc>
        <w:tc>
          <w:tcPr/>
          <w:p>
            <w:pPr>
              <w:pStyle w:val="Compact"/>
              <w:jc w:val="left"/>
            </w:pPr>
            <w:r>
              <w:t xml:space="preserve">EU-Stack (Ersatz)</w:t>
            </w:r>
          </w:p>
        </w:tc>
      </w:tr>
      <w:tr>
        <w:tc>
          <w:tcPr/>
          <w:p>
            <w:pPr>
              <w:pStyle w:val="Compact"/>
              <w:jc w:val="left"/>
            </w:pPr>
            <w:r>
              <w:t xml:space="preserve">Office-Suite</w:t>
            </w:r>
          </w:p>
        </w:tc>
        <w:tc>
          <w:tcPr/>
          <w:p>
            <w:pPr>
              <w:pStyle w:val="Compact"/>
              <w:jc w:val="left"/>
            </w:pPr>
            <w:r>
              <w:t xml:space="preserve">Microsoft 365 / Office</w:t>
            </w:r>
          </w:p>
        </w:tc>
        <w:tc>
          <w:tcPr/>
          <w:p>
            <w:pPr>
              <w:pStyle w:val="Compact"/>
              <w:jc w:val="left"/>
            </w:pPr>
            <w:r>
              <w:t xml:space="preserve">Euro-Office, Nextcloud Hub, Office.eu</w:t>
            </w:r>
          </w:p>
        </w:tc>
      </w:tr>
      <w:tr>
        <w:tc>
          <w:tcPr/>
          <w:p>
            <w:pPr>
              <w:pStyle w:val="Compact"/>
              <w:jc w:val="left"/>
            </w:pPr>
            <w:r>
              <w:t xml:space="preserve">E-Mail / Kalender</w:t>
            </w:r>
          </w:p>
        </w:tc>
        <w:tc>
          <w:tcPr/>
          <w:p>
            <w:pPr>
              <w:pStyle w:val="Compact"/>
              <w:jc w:val="left"/>
            </w:pPr>
            <w:r>
              <w:t xml:space="preserve">Exchange Online / Outlook</w:t>
            </w:r>
          </w:p>
        </w:tc>
        <w:tc>
          <w:tcPr/>
          <w:p>
            <w:pPr>
              <w:pStyle w:val="Compact"/>
              <w:jc w:val="left"/>
            </w:pPr>
            <w:r>
              <w:t xml:space="preserve">Open-Xchange + Thunderbird</w:t>
            </w:r>
          </w:p>
        </w:tc>
      </w:tr>
      <w:tr>
        <w:tc>
          <w:tcPr/>
          <w:p>
            <w:pPr>
              <w:pStyle w:val="Compact"/>
              <w:jc w:val="left"/>
            </w:pPr>
            <w:r>
              <w:t xml:space="preserve">Dokumentenmanagement</w:t>
            </w:r>
          </w:p>
        </w:tc>
        <w:tc>
          <w:tcPr/>
          <w:p>
            <w:pPr>
              <w:pStyle w:val="Compact"/>
              <w:jc w:val="left"/>
            </w:pPr>
            <w:r>
              <w:t xml:space="preserve">SharePoint Online</w:t>
            </w:r>
          </w:p>
        </w:tc>
        <w:tc>
          <w:tcPr/>
          <w:p>
            <w:pPr>
              <w:pStyle w:val="Compact"/>
              <w:jc w:val="left"/>
            </w:pPr>
            <w:r>
              <w:t xml:space="preserve">Nextcloud, OpenCloud, GoFAST</w:t>
            </w:r>
          </w:p>
        </w:tc>
      </w:tr>
      <w:tr>
        <w:tc>
          <w:tcPr/>
          <w:p>
            <w:pPr>
              <w:pStyle w:val="Compact"/>
              <w:jc w:val="left"/>
            </w:pPr>
            <w:r>
              <w:t xml:space="preserve">Video / Chat</w:t>
            </w:r>
          </w:p>
        </w:tc>
        <w:tc>
          <w:tcPr/>
          <w:p>
            <w:pPr>
              <w:pStyle w:val="Compact"/>
              <w:jc w:val="left"/>
            </w:pPr>
            <w:r>
              <w:t xml:space="preserve">Microsoft Teams</w:t>
            </w:r>
          </w:p>
        </w:tc>
        <w:tc>
          <w:tcPr/>
          <w:p>
            <w:pPr>
              <w:pStyle w:val="Compact"/>
              <w:jc w:val="left"/>
            </w:pPr>
            <w:r>
              <w:t xml:space="preserve">Jitsi, OpenTalk, Matrix/Element</w:t>
            </w:r>
          </w:p>
        </w:tc>
      </w:tr>
      <w:tr>
        <w:tc>
          <w:tcPr/>
          <w:p>
            <w:pPr>
              <w:pStyle w:val="Compact"/>
              <w:jc w:val="left"/>
            </w:pPr>
            <w:r>
              <w:t xml:space="preserve">Identity / SSO</w:t>
            </w:r>
          </w:p>
        </w:tc>
        <w:tc>
          <w:tcPr/>
          <w:p>
            <w:pPr>
              <w:pStyle w:val="Compact"/>
              <w:jc w:val="left"/>
            </w:pPr>
            <w:r>
              <w:t xml:space="preserve">Azure Active Directory</w:t>
            </w:r>
          </w:p>
        </w:tc>
        <w:tc>
          <w:tcPr/>
          <w:p>
            <w:pPr>
              <w:pStyle w:val="Compact"/>
              <w:jc w:val="left"/>
            </w:pPr>
            <w:r>
              <w:t xml:space="preserve">Keycloak, Univention Corporate Server</w:t>
            </w:r>
          </w:p>
        </w:tc>
      </w:tr>
      <w:tr>
        <w:tc>
          <w:tcPr/>
          <w:p>
            <w:pPr>
              <w:pStyle w:val="Compact"/>
              <w:jc w:val="left"/>
            </w:pPr>
            <w:r>
              <w:t xml:space="preserve">Cloud-Infrastruktur</w:t>
            </w:r>
          </w:p>
        </w:tc>
        <w:tc>
          <w:tcPr/>
          <w:p>
            <w:pPr>
              <w:pStyle w:val="Compact"/>
              <w:jc w:val="left"/>
            </w:pPr>
            <w:r>
              <w:t xml:space="preserve">Azure Compute / Storage</w:t>
            </w:r>
          </w:p>
        </w:tc>
        <w:tc>
          <w:tcPr/>
          <w:p>
            <w:pPr>
              <w:pStyle w:val="Compact"/>
              <w:jc w:val="left"/>
            </w:pPr>
            <w:r>
              <w:t xml:space="preserve">STACKIT, plusserver, Hetzner (EU-RZ)</w:t>
            </w:r>
          </w:p>
        </w:tc>
      </w:tr>
      <w:tr>
        <w:tc>
          <w:tcPr/>
          <w:p>
            <w:pPr>
              <w:pStyle w:val="Compact"/>
              <w:jc w:val="left"/>
            </w:pPr>
            <w:r>
              <w:t xml:space="preserve">Objektspeicher</w:t>
            </w:r>
          </w:p>
        </w:tc>
        <w:tc>
          <w:tcPr/>
          <w:p>
            <w:pPr>
              <w:pStyle w:val="Compact"/>
              <w:jc w:val="left"/>
            </w:pPr>
            <w:r>
              <w:t xml:space="preserve">Azure Blob Storage</w:t>
            </w:r>
          </w:p>
        </w:tc>
        <w:tc>
          <w:tcPr/>
          <w:p>
            <w:pPr>
              <w:pStyle w:val="Compact"/>
              <w:jc w:val="left"/>
            </w:pPr>
            <w:r>
              <w:t xml:space="preserve">MinIO, Ceph, STACKIT Object Storage</w:t>
            </w:r>
          </w:p>
        </w:tc>
      </w:tr>
      <w:tr>
        <w:tc>
          <w:tcPr/>
          <w:p>
            <w:pPr>
              <w:pStyle w:val="Compact"/>
              <w:jc w:val="left"/>
            </w:pPr>
            <w:r>
              <w:t xml:space="preserve">Datenbank</w:t>
            </w:r>
          </w:p>
        </w:tc>
        <w:tc>
          <w:tcPr/>
          <w:p>
            <w:pPr>
              <w:pStyle w:val="Compact"/>
              <w:jc w:val="left"/>
            </w:pPr>
            <w:r>
              <w:t xml:space="preserve">Azure SQL / CosmosDB</w:t>
            </w:r>
          </w:p>
        </w:tc>
        <w:tc>
          <w:tcPr/>
          <w:p>
            <w:pPr>
              <w:pStyle w:val="Compact"/>
              <w:jc w:val="left"/>
            </w:pPr>
            <w:r>
              <w:t xml:space="preserve">PostgreSQL, MariaDB</w:t>
            </w:r>
          </w:p>
        </w:tc>
      </w:tr>
      <w:tr>
        <w:tc>
          <w:tcPr/>
          <w:p>
            <w:pPr>
              <w:pStyle w:val="Compact"/>
              <w:jc w:val="left"/>
            </w:pPr>
            <w:r>
              <w:t xml:space="preserve">Container</w:t>
            </w:r>
          </w:p>
        </w:tc>
        <w:tc>
          <w:tcPr/>
          <w:p>
            <w:pPr>
              <w:pStyle w:val="Compact"/>
              <w:jc w:val="left"/>
            </w:pPr>
            <w:r>
              <w:t xml:space="preserve">Azure Kubernetes Service</w:t>
            </w:r>
          </w:p>
        </w:tc>
        <w:tc>
          <w:tcPr/>
          <w:p>
            <w:pPr>
              <w:pStyle w:val="Compact"/>
              <w:jc w:val="left"/>
            </w:pPr>
            <w:r>
              <w:t xml:space="preserve">Kubernetes (self-managed)</w:t>
            </w:r>
          </w:p>
        </w:tc>
      </w:tr>
      <w:tr>
        <w:tc>
          <w:tcPr/>
          <w:p>
            <w:pPr>
              <w:pStyle w:val="Compact"/>
              <w:jc w:val="left"/>
            </w:pPr>
            <w:r>
              <w:t xml:space="preserve">KI-Inferenz</w:t>
            </w:r>
          </w:p>
        </w:tc>
        <w:tc>
          <w:tcPr/>
          <w:p>
            <w:pPr>
              <w:pStyle w:val="Compact"/>
              <w:jc w:val="left"/>
            </w:pPr>
            <w:r>
              <w:t xml:space="preserve">Azure OpenAI / Copilot</w:t>
            </w:r>
          </w:p>
        </w:tc>
        <w:tc>
          <w:tcPr/>
          <w:p>
            <w:pPr>
              <w:pStyle w:val="Compact"/>
              <w:jc w:val="left"/>
            </w:pPr>
            <w:r>
              <w:t xml:space="preserve">vLLM + Mistral (lokal / STACKIT)</w:t>
            </w:r>
          </w:p>
        </w:tc>
      </w:tr>
      <w:tr>
        <w:tc>
          <w:tcPr/>
          <w:p>
            <w:pPr>
              <w:pStyle w:val="Compact"/>
              <w:jc w:val="left"/>
            </w:pPr>
            <w:r>
              <w:t xml:space="preserve">Analytics / BI</w:t>
            </w:r>
          </w:p>
        </w:tc>
        <w:tc>
          <w:tcPr/>
          <w:p>
            <w:pPr>
              <w:pStyle w:val="Compact"/>
              <w:jc w:val="left"/>
            </w:pPr>
            <w:r>
              <w:t xml:space="preserve">Power BI / Fabric</w:t>
            </w:r>
          </w:p>
        </w:tc>
        <w:tc>
          <w:tcPr/>
          <w:p>
            <w:pPr>
              <w:pStyle w:val="Compact"/>
              <w:jc w:val="left"/>
            </w:pPr>
            <w:r>
              <w:t xml:space="preserve">Metabase, Apache Superset, Grafana</w:t>
            </w:r>
          </w:p>
        </w:tc>
      </w:tr>
      <w:tr>
        <w:tc>
          <w:tcPr/>
          <w:p>
            <w:pPr>
              <w:pStyle w:val="Compact"/>
              <w:jc w:val="left"/>
            </w:pPr>
            <w:r>
              <w:t xml:space="preserve">CI/CD</w:t>
            </w:r>
          </w:p>
        </w:tc>
        <w:tc>
          <w:tcPr/>
          <w:p>
            <w:pPr>
              <w:pStyle w:val="Compact"/>
              <w:jc w:val="left"/>
            </w:pPr>
            <w:r>
              <w:t xml:space="preserve">Azure DevOps / GitHub</w:t>
            </w:r>
          </w:p>
        </w:tc>
        <w:tc>
          <w:tcPr/>
          <w:p>
            <w:pPr>
              <w:pStyle w:val="Compact"/>
              <w:jc w:val="left"/>
            </w:pPr>
            <w:r>
              <w:t xml:space="preserve">GitLab (self-hosted)</w:t>
            </w:r>
          </w:p>
        </w:tc>
      </w:tr>
      <w:tr>
        <w:tc>
          <w:tcPr/>
          <w:p>
            <w:pPr>
              <w:pStyle w:val="Compact"/>
              <w:jc w:val="left"/>
            </w:pPr>
            <w:r>
              <w:t xml:space="preserve">Logging / SIEM</w:t>
            </w:r>
          </w:p>
        </w:tc>
        <w:tc>
          <w:tcPr/>
          <w:p>
            <w:pPr>
              <w:pStyle w:val="Compact"/>
              <w:jc w:val="left"/>
            </w:pPr>
            <w:r>
              <w:t xml:space="preserve">Azure Monitor / Sentinel</w:t>
            </w:r>
          </w:p>
        </w:tc>
        <w:tc>
          <w:tcPr/>
          <w:p>
            <w:pPr>
              <w:pStyle w:val="Compact"/>
              <w:jc w:val="left"/>
            </w:pPr>
            <w:r>
              <w:t xml:space="preserve">Grafana + Loki + OpenSearch / Wazuh</w:t>
            </w:r>
          </w:p>
        </w:tc>
      </w:tr>
    </w:tbl>
    <w:p>
      <w:pPr>
        <w:pStyle w:val="BodyText"/>
      </w:pPr>
      <w:r>
        <w:rPr>
          <w:bCs/>
          <w:b/>
        </w:rPr>
        <w:t xml:space="preserve">Praxisbeleg:</w:t>
      </w:r>
      <w:r>
        <w:t xml:space="preserve"> </w:t>
      </w:r>
      <w:r>
        <w:t xml:space="preserve">Schleswig-Holstein betreibt diesen Stack für 30.000 Mitarbeitende — mit €15 Millionen jährlichen Einsparungen bei einmalig €9 Millionen Investition. Engpass ist nicht Technologie, sondern Betriebspersonal und Fachverfahren-Integration.</w:t>
      </w:r>
    </w:p>
    <w:p>
      <w:pPr>
        <w:pStyle w:val="BodyText"/>
      </w:pPr>
      <w:r>
        <w:rPr>
          <w:bCs/>
          <w:b/>
        </w:rPr>
        <w:t xml:space="preserve">Stufe 2 — Operator-Modell</w:t>
      </w:r>
      <w:r>
        <w:t xml:space="preserve"> </w:t>
      </w:r>
      <w:r>
        <w:t xml:space="preserve">EU-Rechtsperson als Eigentümer und Betreiber, US-Technologie als lizenzierter Lieferant ohne Datenzugang. Operativer Ausschluss von US-Zugriff, strukturelle Technologieabhängigkeit bleibt.</w:t>
      </w:r>
    </w:p>
    <w:p>
      <w:pPr>
        <w:pStyle w:val="BodyText"/>
      </w:pPr>
      <w:r>
        <w:t xml:space="preserve">Deutschland: Delos Cloud GmbH (SAP × Microsoft Azure) — BSI Cloud Platform Requirements, VS-NfD-fähig, deutsches Personal, BSI prüft alle Updates. Betrieb durch Arvato Systems. Preis: +15% auf Microsoft-Listenpreise.</w:t>
      </w:r>
    </w:p>
    <w:p>
      <w:pPr>
        <w:pStyle w:val="BodyText"/>
      </w:pPr>
      <w:r>
        <w:t xml:space="preserve">Frankreich: S3NS PREMI3NS (Thales × Google Cloud) — SecNumCloud 3.2, Quarantänezone für alle Google-Updates, ANSSI-validierte CLOUD-Act-Immunität. Referenzkunden: EDF, MGEN, Club Med.</w:t>
      </w:r>
    </w:p>
    <w:p>
      <w:pPr>
        <w:pStyle w:val="BodyText"/>
      </w:pPr>
      <w:r>
        <w:t xml:space="preserve">Geeignet für: Organisationen, die nicht aus Microsoft 365 / SAP migrieren können; Kliniken mit tiefer M365-Integration; Verwaltungen; regulierte Industrien, die Azure-Service-Breite benötigen — aber keine direkten US-Hyperscaler-Verträge mehr wollen.</w:t>
      </w:r>
    </w:p>
    <w:p>
      <w:pPr>
        <w:pStyle w:val="BodyText"/>
      </w:pPr>
      <w:r>
        <w:t xml:space="preserve">Nicht geeignet für: Workloads, die vollständige Unabhängigkeit vom US-Technologiestack erfordern (Verteidigung, nachrichtendienstliche Infrastruktur, höchste Geheimschutzklassen).</w:t>
      </w:r>
    </w:p>
    <w:p>
      <w:pPr>
        <w:pStyle w:val="BodyText"/>
      </w:pPr>
      <w:r>
        <w:rPr>
          <w:bCs/>
          <w:b/>
        </w:rPr>
        <w:t xml:space="preserve">Stufe 3 — Hyperscaler Sovereign Region</w:t>
      </w:r>
      <w:r>
        <w:t xml:space="preserve"> </w:t>
      </w:r>
      <w:r>
        <w:t xml:space="preserve">US-Eigentümer und US-Technologie, aber physisch und logisch getrennte EU-Infrastruktur mit EU-Personal und Residency-Garantien. Kein echter CLOUD-Act-Schutz — der Anbieter bleibt US-Rechtsperson.</w:t>
      </w:r>
    </w:p>
    <w:p>
      <w:pPr>
        <w:pStyle w:val="BodyText"/>
      </w:pPr>
      <w:r>
        <w:t xml:space="preserve">Anbieter: AWS European Sovereign Cloud (Brandenburg), Azure EU Data Boundary, Google Workspace DE</w:t>
      </w:r>
    </w:p>
    <w:p>
      <w:pPr>
        <w:pStyle w:val="BodyText"/>
      </w:pPr>
      <w:r>
        <w:t xml:space="preserve">Geeignet für: Workloads ohne personenbezogene Gesundheitsdaten, globale Entwicklungsumgebungen, öffentliche Webpräsenzen, unkritische Collaboration-Tools.</w:t>
      </w:r>
    </w:p>
    <w:p>
      <w:pPr>
        <w:pStyle w:val="BodyText"/>
      </w:pPr>
      <w:r>
        <w:t xml:space="preserve">Nicht geeignet für: Gesundheitsdaten, KRITIS-Infrastruktur, regulierte Daten nach § 393 SGB V.</w:t>
      </w:r>
    </w:p>
    <w:p>
      <w:pPr>
        <w:pStyle w:val="BodyText"/>
      </w:pPr>
      <w:r>
        <w:rPr>
          <w:bCs/>
          <w:b/>
        </w:rPr>
        <w:t xml:space="preserve">Stufe 4 — Standard US-Hyperscaler (Souveränitätswashing)</w:t>
      </w:r>
      <w:r>
        <w:t xml:space="preserve"> </w:t>
      </w:r>
      <w:r>
        <w:t xml:space="preserve">US-Eigentümer, US-Technologie, EU-Serverstandort als Marketing-Argument. C5-Testat vorhanden, CLOUD-Act-Risiko direkt und strukturell.</w:t>
      </w:r>
    </w:p>
    <w:p>
      <w:pPr>
        <w:pStyle w:val="BodyText"/>
      </w:pPr>
      <w:r>
        <w:t xml:space="preserve">Anbieter: AWS Frankfurt, Azure Deutschland, Google Cloud DE (Standard-Angebote ohne Sovereign-Zusatz)</w:t>
      </w:r>
    </w:p>
    <w:p>
      <w:pPr>
        <w:pStyle w:val="BodyText"/>
      </w:pPr>
      <w:r>
        <w:t xml:space="preserve">Geeignet für: Keine personenbezogenen Gesundheitsdaten, keine regulierten Daten, keine KRITIS-Systeme.</w:t>
      </w:r>
    </w:p>
    <w:bookmarkEnd w:id="151"/>
    <w:bookmarkStart w:id="152" w:name="entscheidungsmatrix-workload-zuordnung"/>
    <w:p>
      <w:pPr>
        <w:pStyle w:val="Heading3"/>
      </w:pPr>
      <w:r>
        <w:t xml:space="preserve">17.3 Entscheidungsmatrix — Workload-Zuordnung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Workload</w:t>
            </w:r>
          </w:p>
        </w:tc>
        <w:tc>
          <w:tcPr/>
          <w:p>
            <w:pPr>
              <w:pStyle w:val="Compact"/>
              <w:jc w:val="left"/>
            </w:pPr>
            <w:r>
              <w:t xml:space="preserve">Schutzklasse</w:t>
            </w:r>
          </w:p>
        </w:tc>
        <w:tc>
          <w:tcPr/>
          <w:p>
            <w:pPr>
              <w:pStyle w:val="Compact"/>
              <w:jc w:val="left"/>
            </w:pPr>
            <w:r>
              <w:t xml:space="preserve">Empfohlene Stufe</w:t>
            </w:r>
          </w:p>
        </w:tc>
        <w:tc>
          <w:tcPr/>
          <w:p>
            <w:pPr>
              <w:pStyle w:val="Compact"/>
              <w:jc w:val="left"/>
            </w:pPr>
            <w:r>
              <w:t xml:space="preserve">Konkrete Anbieter / Software</w:t>
            </w:r>
          </w:p>
        </w:tc>
      </w:tr>
      <w:tr>
        <w:tc>
          <w:tcPr/>
          <w:p>
            <w:pPr>
              <w:pStyle w:val="Compact"/>
              <w:jc w:val="left"/>
            </w:pPr>
            <w:r>
              <w:t xml:space="preserve">ePA-Kerndaten, Diagnosen, Medikation</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EWERK Leipzig</w:t>
            </w:r>
          </w:p>
        </w:tc>
      </w:tr>
      <w:tr>
        <w:tc>
          <w:tcPr/>
          <w:p>
            <w:pPr>
              <w:pStyle w:val="Compact"/>
              <w:jc w:val="left"/>
            </w:pPr>
            <w:r>
              <w:t xml:space="preserve">GKV-Kernabrechnungssysteme</w:t>
            </w:r>
          </w:p>
        </w:tc>
        <w:tc>
          <w:tcPr/>
          <w:p>
            <w:pPr>
              <w:pStyle w:val="Compact"/>
              <w:jc w:val="left"/>
            </w:pPr>
            <w:r>
              <w:t xml:space="preserve">KRITIS / § 393 Klasse 1</w:t>
            </w:r>
          </w:p>
        </w:tc>
        <w:tc>
          <w:tcPr/>
          <w:p>
            <w:pPr>
              <w:pStyle w:val="Compact"/>
              <w:jc w:val="left"/>
            </w:pPr>
            <w:r>
              <w:rPr>
                <w:bCs/>
                <w:b/>
              </w:rPr>
              <w:t xml:space="preserve">Stufe 1</w:t>
            </w:r>
          </w:p>
        </w:tc>
        <w:tc>
          <w:tcPr/>
          <w:p>
            <w:pPr>
              <w:pStyle w:val="Compact"/>
              <w:jc w:val="left"/>
            </w:pPr>
            <w:r>
              <w:t xml:space="preserve">plusserver, STACKIT</w:t>
            </w:r>
          </w:p>
        </w:tc>
      </w:tr>
      <w:tr>
        <w:tc>
          <w:tcPr/>
          <w:p>
            <w:pPr>
              <w:pStyle w:val="Compact"/>
              <w:jc w:val="left"/>
            </w:pPr>
            <w:r>
              <w:t xml:space="preserve">Klinik-KIS, psychiatr. Daten</w:t>
            </w:r>
          </w:p>
        </w:tc>
        <w:tc>
          <w:tcPr/>
          <w:p>
            <w:pPr>
              <w:pStyle w:val="Compact"/>
              <w:jc w:val="left"/>
            </w:pPr>
            <w:r>
              <w:t xml:space="preserve">KRITIS / § 393 Klasse 1</w:t>
            </w:r>
          </w:p>
        </w:tc>
        <w:tc>
          <w:tcPr/>
          <w:p>
            <w:pPr>
              <w:pStyle w:val="Compact"/>
              <w:jc w:val="left"/>
            </w:pPr>
            <w:r>
              <w:rPr>
                <w:bCs/>
                <w:b/>
              </w:rPr>
              <w:t xml:space="preserve">Stufe 1–2</w:t>
            </w:r>
          </w:p>
        </w:tc>
        <w:tc>
          <w:tcPr/>
          <w:p>
            <w:pPr>
              <w:pStyle w:val="Compact"/>
              <w:jc w:val="left"/>
            </w:pPr>
            <w:r>
              <w:t xml:space="preserve">plusserver oder Delos Cloud</w:t>
            </w:r>
          </w:p>
        </w:tc>
      </w:tr>
      <w:tr>
        <w:tc>
          <w:tcPr/>
          <w:p>
            <w:pPr>
              <w:pStyle w:val="Compact"/>
              <w:jc w:val="left"/>
            </w:pPr>
            <w:r>
              <w:rPr>
                <w:bCs/>
                <w:b/>
              </w:rPr>
              <w:t xml:space="preserve">E-Mail (intern, mit Patientenbezug)</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Open-Xchange + Thunderbird auf plusserver/STACKIT</w:t>
            </w:r>
          </w:p>
        </w:tc>
      </w:tr>
      <w:tr>
        <w:tc>
          <w:tcPr/>
          <w:p>
            <w:pPr>
              <w:pStyle w:val="Compact"/>
              <w:jc w:val="left"/>
            </w:pPr>
            <w:r>
              <w:rPr>
                <w:bCs/>
                <w:b/>
              </w:rPr>
              <w:t xml:space="preserve">E-Mail (allgemein, kein Patientenbezug)</w:t>
            </w:r>
          </w:p>
        </w:tc>
        <w:tc>
          <w:tcPr/>
          <w:p>
            <w:pPr>
              <w:pStyle w:val="Compact"/>
              <w:jc w:val="left"/>
            </w:pPr>
            <w:r>
              <w:t xml:space="preserve">Klasse 2</w:t>
            </w:r>
          </w:p>
        </w:tc>
        <w:tc>
          <w:tcPr/>
          <w:p>
            <w:pPr>
              <w:pStyle w:val="Compact"/>
              <w:jc w:val="left"/>
            </w:pPr>
            <w:r>
              <w:rPr>
                <w:bCs/>
                <w:b/>
              </w:rPr>
              <w:t xml:space="preserve">Stufe 1–2</w:t>
            </w:r>
          </w:p>
        </w:tc>
        <w:tc>
          <w:tcPr/>
          <w:p>
            <w:pPr>
              <w:pStyle w:val="Compact"/>
              <w:jc w:val="left"/>
            </w:pPr>
            <w:r>
              <w:t xml:space="preserve">Open-Xchange auf EU-Cloud oder Delos</w:t>
            </w:r>
          </w:p>
        </w:tc>
      </w:tr>
      <w:tr>
        <w:tc>
          <w:tcPr/>
          <w:p>
            <w:pPr>
              <w:pStyle w:val="Compact"/>
              <w:jc w:val="left"/>
            </w:pPr>
            <w:r>
              <w:rPr>
                <w:bCs/>
                <w:b/>
              </w:rPr>
              <w:t xml:space="preserve">Office-Suite, Dokumente</w:t>
            </w:r>
          </w:p>
        </w:tc>
        <w:tc>
          <w:tcPr/>
          <w:p>
            <w:pPr>
              <w:pStyle w:val="Compact"/>
              <w:jc w:val="left"/>
            </w:pPr>
            <w:r>
              <w:t xml:space="preserve">§ 393 Klasse 2</w:t>
            </w:r>
          </w:p>
        </w:tc>
        <w:tc>
          <w:tcPr/>
          <w:p>
            <w:pPr>
              <w:pStyle w:val="Compact"/>
              <w:jc w:val="left"/>
            </w:pPr>
            <w:r>
              <w:rPr>
                <w:bCs/>
                <w:b/>
              </w:rPr>
              <w:t xml:space="preserve">Stufe 1</w:t>
            </w:r>
          </w:p>
        </w:tc>
        <w:tc>
          <w:tcPr/>
          <w:p>
            <w:pPr>
              <w:pStyle w:val="Compact"/>
              <w:jc w:val="left"/>
            </w:pPr>
            <w:r>
              <w:t xml:space="preserve">Euro-Office / Nextcloud Hub / Office.eu</w:t>
            </w:r>
          </w:p>
        </w:tc>
      </w:tr>
      <w:tr>
        <w:tc>
          <w:tcPr/>
          <w:p>
            <w:pPr>
              <w:pStyle w:val="Compact"/>
              <w:jc w:val="left"/>
            </w:pPr>
            <w:r>
              <w:rPr>
                <w:bCs/>
                <w:b/>
              </w:rPr>
              <w:t xml:space="preserve">SharePoint / Dokumentenmanagement</w:t>
            </w:r>
          </w:p>
        </w:tc>
        <w:tc>
          <w:tcPr/>
          <w:p>
            <w:pPr>
              <w:pStyle w:val="Compact"/>
              <w:jc w:val="left"/>
            </w:pPr>
            <w:r>
              <w:t xml:space="preserve">§ 393 Klasse 1–2</w:t>
            </w:r>
          </w:p>
        </w:tc>
        <w:tc>
          <w:tcPr/>
          <w:p>
            <w:pPr>
              <w:pStyle w:val="Compact"/>
              <w:jc w:val="left"/>
            </w:pPr>
            <w:r>
              <w:rPr>
                <w:bCs/>
                <w:b/>
              </w:rPr>
              <w:t xml:space="preserve">Stufe 1</w:t>
            </w:r>
          </w:p>
        </w:tc>
        <w:tc>
          <w:tcPr/>
          <w:p>
            <w:pPr>
              <w:pStyle w:val="Compact"/>
              <w:jc w:val="left"/>
            </w:pPr>
            <w:r>
              <w:t xml:space="preserve">Nextcloud, OpenCloud, GoFAST auf plusserver/STACKIT</w:t>
            </w:r>
          </w:p>
        </w:tc>
      </w:tr>
      <w:tr>
        <w:tc>
          <w:tcPr/>
          <w:p>
            <w:pPr>
              <w:pStyle w:val="Compact"/>
              <w:jc w:val="left"/>
            </w:pPr>
            <w:r>
              <w:rPr>
                <w:bCs/>
                <w:b/>
              </w:rPr>
              <w:t xml:space="preserve">Microsoft 365 (tief integriert, nicht migrierbar)</w:t>
            </w:r>
          </w:p>
        </w:tc>
        <w:tc>
          <w:tcPr/>
          <w:p>
            <w:pPr>
              <w:pStyle w:val="Compact"/>
              <w:jc w:val="left"/>
            </w:pPr>
            <w:r>
              <w:t xml:space="preserve">§ 393 Klasse 2</w:t>
            </w:r>
          </w:p>
        </w:tc>
        <w:tc>
          <w:tcPr/>
          <w:p>
            <w:pPr>
              <w:pStyle w:val="Compact"/>
              <w:jc w:val="left"/>
            </w:pPr>
            <w:r>
              <w:rPr>
                <w:bCs/>
                <w:b/>
              </w:rPr>
              <w:t xml:space="preserve">Stufe 2</w:t>
            </w:r>
          </w:p>
        </w:tc>
        <w:tc>
          <w:tcPr/>
          <w:p>
            <w:pPr>
              <w:pStyle w:val="Compact"/>
              <w:jc w:val="left"/>
            </w:pPr>
            <w:r>
              <w:t xml:space="preserve">Delos Cloud (Azure-Basis, BSI CPR, +15%)</w:t>
            </w:r>
          </w:p>
        </w:tc>
      </w:tr>
      <w:tr>
        <w:tc>
          <w:tcPr/>
          <w:p>
            <w:pPr>
              <w:pStyle w:val="Compact"/>
              <w:jc w:val="left"/>
            </w:pPr>
            <w:r>
              <w:rPr>
                <w:bCs/>
                <w:b/>
              </w:rPr>
              <w:t xml:space="preserve">Videokonferenz intern</w:t>
            </w:r>
          </w:p>
        </w:tc>
        <w:tc>
          <w:tcPr/>
          <w:p>
            <w:pPr>
              <w:pStyle w:val="Compact"/>
              <w:jc w:val="left"/>
            </w:pPr>
            <w:r>
              <w:t xml:space="preserve">Klasse 2</w:t>
            </w:r>
          </w:p>
        </w:tc>
        <w:tc>
          <w:tcPr/>
          <w:p>
            <w:pPr>
              <w:pStyle w:val="Compact"/>
              <w:jc w:val="left"/>
            </w:pPr>
            <w:r>
              <w:rPr>
                <w:bCs/>
                <w:b/>
              </w:rPr>
              <w:t xml:space="preserve">Stufe 1</w:t>
            </w:r>
          </w:p>
        </w:tc>
        <w:tc>
          <w:tcPr/>
          <w:p>
            <w:pPr>
              <w:pStyle w:val="Compact"/>
              <w:jc w:val="left"/>
            </w:pPr>
            <w:r>
              <w:t xml:space="preserve">Jitsi / OpenTalk auf EU-Cloud</w:t>
            </w:r>
          </w:p>
        </w:tc>
      </w:tr>
      <w:tr>
        <w:tc>
          <w:tcPr/>
          <w:p>
            <w:pPr>
              <w:pStyle w:val="Compact"/>
              <w:jc w:val="left"/>
            </w:pPr>
            <w:r>
              <w:rPr>
                <w:bCs/>
                <w:b/>
              </w:rPr>
              <w:t xml:space="preserve">Identity / Active Directory</w:t>
            </w:r>
          </w:p>
        </w:tc>
        <w:tc>
          <w:tcPr/>
          <w:p>
            <w:pPr>
              <w:pStyle w:val="Compact"/>
              <w:jc w:val="left"/>
            </w:pPr>
            <w:r>
              <w:t xml:space="preserve">Klasse 1</w:t>
            </w:r>
          </w:p>
        </w:tc>
        <w:tc>
          <w:tcPr/>
          <w:p>
            <w:pPr>
              <w:pStyle w:val="Compact"/>
              <w:jc w:val="left"/>
            </w:pPr>
            <w:r>
              <w:rPr>
                <w:bCs/>
                <w:b/>
              </w:rPr>
              <w:t xml:space="preserve">Stufe 1</w:t>
            </w:r>
          </w:p>
        </w:tc>
        <w:tc>
          <w:tcPr/>
          <w:p>
            <w:pPr>
              <w:pStyle w:val="Compact"/>
              <w:jc w:val="left"/>
            </w:pPr>
            <w:r>
              <w:t xml:space="preserve">Keycloak / Univention Corporate Server</w:t>
            </w:r>
          </w:p>
        </w:tc>
      </w:tr>
      <w:tr>
        <w:tc>
          <w:tcPr/>
          <w:p>
            <w:pPr>
              <w:pStyle w:val="Compact"/>
              <w:jc w:val="left"/>
            </w:pPr>
            <w:r>
              <w:t xml:space="preserve">KI-Diagnostik (LLM-Inferenz auf Patientendaten)</w:t>
            </w:r>
          </w:p>
        </w:tc>
        <w:tc>
          <w:tcPr/>
          <w:p>
            <w:pPr>
              <w:pStyle w:val="Compact"/>
              <w:jc w:val="left"/>
            </w:pPr>
            <w:r>
              <w:t xml:space="preserve">§ 393 Klasse 1</w:t>
            </w:r>
          </w:p>
        </w:tc>
        <w:tc>
          <w:tcPr/>
          <w:p>
            <w:pPr>
              <w:pStyle w:val="Compact"/>
              <w:jc w:val="left"/>
            </w:pPr>
            <w:r>
              <w:rPr>
                <w:bCs/>
                <w:b/>
              </w:rPr>
              <w:t xml:space="preserve">Stufe 1</w:t>
            </w:r>
          </w:p>
        </w:tc>
        <w:tc>
          <w:tcPr/>
          <w:p>
            <w:pPr>
              <w:pStyle w:val="Compact"/>
              <w:jc w:val="left"/>
            </w:pPr>
            <w:r>
              <w:t xml:space="preserve">vLLM + Mistral on-premise / STACKIT</w:t>
            </w:r>
          </w:p>
        </w:tc>
      </w:tr>
      <w:tr>
        <w:tc>
          <w:tcPr/>
          <w:p>
            <w:pPr>
              <w:pStyle w:val="Compact"/>
              <w:jc w:val="left"/>
            </w:pPr>
            <w:r>
              <w:t xml:space="preserve">Analytics / BI auf GKV-Daten</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Metabase/Superset auf STACKIT, OVHcloud SNC</w:t>
            </w:r>
          </w:p>
        </w:tc>
      </w:tr>
      <w:tr>
        <w:tc>
          <w:tcPr/>
          <w:p>
            <w:pPr>
              <w:pStyle w:val="Compact"/>
              <w:jc w:val="left"/>
            </w:pPr>
            <w:r>
              <w:t xml:space="preserve">Telemedizin-Plattform</w:t>
            </w:r>
          </w:p>
        </w:tc>
        <w:tc>
          <w:tcPr/>
          <w:p>
            <w:pPr>
              <w:pStyle w:val="Compact"/>
              <w:jc w:val="left"/>
            </w:pPr>
            <w:r>
              <w:t xml:space="preserve">§ 393 Klasse 2</w:t>
            </w:r>
          </w:p>
        </w:tc>
        <w:tc>
          <w:tcPr/>
          <w:p>
            <w:pPr>
              <w:pStyle w:val="Compact"/>
              <w:jc w:val="left"/>
            </w:pPr>
            <w:r>
              <w:rPr>
                <w:bCs/>
                <w:b/>
              </w:rPr>
              <w:t xml:space="preserve">Stufe 1–2</w:t>
            </w:r>
          </w:p>
        </w:tc>
        <w:tc>
          <w:tcPr/>
          <w:p>
            <w:pPr>
              <w:pStyle w:val="Compact"/>
              <w:jc w:val="left"/>
            </w:pPr>
            <w:r>
              <w:t xml:space="preserve">STACKIT, plusserver</w:t>
            </w:r>
          </w:p>
        </w:tc>
      </w:tr>
      <w:tr>
        <w:tc>
          <w:tcPr/>
          <w:p>
            <w:pPr>
              <w:pStyle w:val="Compact"/>
              <w:jc w:val="left"/>
            </w:pPr>
            <w:r>
              <w:t xml:space="preserve">Dev/Test-Umgebungen</w:t>
            </w:r>
          </w:p>
        </w:tc>
        <w:tc>
          <w:tcPr/>
          <w:p>
            <w:pPr>
              <w:pStyle w:val="Compact"/>
              <w:jc w:val="left"/>
            </w:pPr>
            <w:r>
              <w:t xml:space="preserve">Klasse 3</w:t>
            </w:r>
          </w:p>
        </w:tc>
        <w:tc>
          <w:tcPr/>
          <w:p>
            <w:pPr>
              <w:pStyle w:val="Compact"/>
              <w:jc w:val="left"/>
            </w:pPr>
            <w:r>
              <w:rPr>
                <w:bCs/>
                <w:b/>
              </w:rPr>
              <w:t xml:space="preserve">Stufe 3–4</w:t>
            </w:r>
          </w:p>
        </w:tc>
        <w:tc>
          <w:tcPr/>
          <w:p>
            <w:pPr>
              <w:pStyle w:val="Compact"/>
              <w:jc w:val="left"/>
            </w:pPr>
            <w:r>
              <w:t xml:space="preserve">Hetzner, IONOS</w:t>
            </w:r>
          </w:p>
        </w:tc>
      </w:tr>
      <w:tr>
        <w:tc>
          <w:tcPr/>
          <w:p>
            <w:pPr>
              <w:pStyle w:val="Compact"/>
              <w:jc w:val="left"/>
            </w:pPr>
            <w:r>
              <w:t xml:space="preserve">Öffentliche Webpräsenz</w:t>
            </w:r>
          </w:p>
        </w:tc>
        <w:tc>
          <w:tcPr/>
          <w:p>
            <w:pPr>
              <w:pStyle w:val="Compact"/>
              <w:jc w:val="left"/>
            </w:pPr>
            <w:r>
              <w:t xml:space="preserve">Klasse 3</w:t>
            </w:r>
          </w:p>
        </w:tc>
        <w:tc>
          <w:tcPr/>
          <w:p>
            <w:pPr>
              <w:pStyle w:val="Compact"/>
              <w:jc w:val="left"/>
            </w:pPr>
            <w:r>
              <w:rPr>
                <w:bCs/>
                <w:b/>
              </w:rPr>
              <w:t xml:space="preserve">Stufe 4</w:t>
            </w:r>
          </w:p>
        </w:tc>
        <w:tc>
          <w:tcPr/>
          <w:p>
            <w:pPr>
              <w:pStyle w:val="Compact"/>
              <w:jc w:val="left"/>
            </w:pPr>
            <w:r>
              <w:t xml:space="preserve">Beliebig</w:t>
            </w:r>
          </w:p>
        </w:tc>
      </w:tr>
    </w:tbl>
    <w:p>
      <w:pPr>
        <w:pStyle w:val="BodyText"/>
      </w:pPr>
      <w:r>
        <w:rPr>
          <w:bCs/>
          <w:b/>
        </w:rPr>
        <w:t xml:space="preserve">Drei-Zonen-Migrationsstrategie für GKVen und Kliniken:</w:t>
      </w:r>
    </w:p>
    <w:p>
      <w:pPr>
        <w:pStyle w:val="BodyText"/>
      </w:pPr>
      <w: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pStyle w:val="BodyText"/>
      </w:pPr>
      <w:r>
        <w:t xml:space="preserve">Zone 2 — Mittelfristig (1–3 Jahre): Office-Suite vollständig (Euro-Office/Nextcloud Workspace), Analytics auf Sozialdaten (EU-Cloud + Metabase/Superset), KI-Dienste (lokal/STACKIT + Mistral), CI/CD-Migration (GitLab).</w:t>
      </w:r>
    </w:p>
    <w:p>
      <w:pPr>
        <w:pStyle w:val="BodyText"/>
      </w:pPr>
      <w: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bookmarkEnd w:id="152"/>
    <w:bookmarkStart w:id="153" w:name="Xea83ce36f11997f55a0274f67210ff5e16018e3"/>
    <w:p>
      <w:pPr>
        <w:pStyle w:val="Heading3"/>
      </w:pPr>
      <w:r>
        <w:t xml:space="preserve">17.4 Datentransfer-Folgenabschätzung (TIA) — Pflichtinstrument für bestehende US-Provider</w:t>
      </w:r>
    </w:p>
    <w:p>
      <w:pPr>
        <w:pStyle w:val="FirstParagraph"/>
      </w:pPr>
      <w: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pStyle w:val="BodyText"/>
      </w:pPr>
      <w:r>
        <w:rPr>
          <w:bCs/>
          <w:b/>
        </w:rPr>
        <w:t xml:space="preserve">Was ist ein TIA und warum ist er Pflicht?</w:t>
      </w:r>
    </w:p>
    <w:p>
      <w:pPr>
        <w:pStyle w:val="BodyText"/>
      </w:pPr>
      <w: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pStyle w:val="BodyText"/>
      </w:pPr>
      <w:r>
        <w:rPr>
          <w:bCs/>
          <w:b/>
        </w:rPr>
        <w:t xml:space="preserve">Was prüft ein TIA konkret?</w:t>
      </w:r>
    </w:p>
    <w:p>
      <w:pPr>
        <w:pStyle w:val="BodyText"/>
      </w:pPr>
      <w:r>
        <w:t xml:space="preserve">Ein TIA für US-Cloud-Dienste im Gesundheitsbereich durchläuft vier Schritte:</w:t>
      </w:r>
    </w:p>
    <w:p>
      <w:pPr>
        <w:pStyle w:val="BodyText"/>
      </w:pPr>
      <w: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pStyle w:val="BodyText"/>
      </w:pPr>
      <w: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pStyle w:val="BodyText"/>
      </w:pPr>
      <w: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pStyle w:val="BodyText"/>
      </w:pPr>
      <w: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pStyle w:val="BodyText"/>
      </w:pPr>
      <w:r>
        <w:rPr>
          <w:bCs/>
          <w:b/>
        </w:rPr>
        <w:t xml:space="preserve">Was bedeutet das für Gesundheitsinstitutionen konkret?</w:t>
      </w:r>
    </w:p>
    <w:p>
      <w:pPr>
        <w:pStyle w:val="BodyText"/>
      </w:pPr>
      <w: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bookmarkEnd w:id="153"/>
    <w:bookmarkStart w:id="154" w:name="X0f408b0adb2e3fd522f9df9f1909ffa027b240c"/>
    <w:p>
      <w:pPr>
        <w:pStyle w:val="Heading3"/>
      </w:pPr>
      <w:r>
        <w:t xml:space="preserve">17.5 Vertragliche Absicherung — AVV-Erweiterungen</w:t>
      </w:r>
    </w:p>
    <w:p>
      <w:pPr>
        <w:pStyle w:val="FirstParagraph"/>
      </w:pPr>
      <w:r>
        <w:t xml:space="preserve">Unabhängig von der gewählten Stufe: AVV-Erweiterungen (AVV = Auftragsverarbeitungsvertrag, der Standardvertrag zwischen einer Organisation und ihrem Cloud-Anbieter nach Art. 28 DSGVO) für CLOUD-Act-Schutz aufnehmen:</w:t>
      </w:r>
    </w:p>
    <w:p>
      <w:pPr>
        <w:numPr>
          <w:ilvl w:val="0"/>
          <w:numId w:val="1024"/>
        </w:numPr>
        <w:pStyle w:val="Compact"/>
      </w:pPr>
      <w:r>
        <w:rPr>
          <w:bCs/>
          <w:b/>
        </w:rPr>
        <w:t xml:space="preserve">Informationspflicht:</w:t>
      </w:r>
      <w:r>
        <w:t xml:space="preserve"> </w:t>
      </w:r>
      <w:r>
        <w:t xml:space="preserve">Verarbeiter muss unverzüglich informieren, wenn eine CLOUD-Act- oder vergleichbare Anfrage eingeht</w:t>
      </w:r>
    </w:p>
    <w:p>
      <w:pPr>
        <w:numPr>
          <w:ilvl w:val="0"/>
          <w:numId w:val="1024"/>
        </w:numPr>
        <w:pStyle w:val="Compact"/>
      </w:pPr>
      <w:r>
        <w:rPr>
          <w:bCs/>
          <w:b/>
        </w:rPr>
        <w:t xml:space="preserve">Ablehnungspflicht:</w:t>
      </w:r>
      <w:r>
        <w:t xml:space="preserve"> </w:t>
      </w:r>
      <w:r>
        <w:t xml:space="preserve">Explizite Pflicht, DSGVO-widrigen Herausgabeanordnungen zu widersprechen, solange kein Art.-48-DSGVO-konformes Rechtshilfeabkommen besteht</w:t>
      </w:r>
    </w:p>
    <w:p>
      <w:pPr>
        <w:numPr>
          <w:ilvl w:val="0"/>
          <w:numId w:val="1024"/>
        </w:numPr>
        <w:pStyle w:val="Compact"/>
      </w:pPr>
      <w:r>
        <w:rPr>
          <w:bCs/>
          <w:b/>
        </w:rPr>
        <w:t xml:space="preserve">Haftungsklausel:</w:t>
      </w:r>
      <w:r>
        <w:t xml:space="preserve"> </w:t>
      </w:r>
      <w:r>
        <w:t xml:space="preserve">Verarbeiter haftet für Schäden aus nicht gemeldeten Herausgaben</w:t>
      </w:r>
    </w:p>
    <w:p>
      <w:pPr>
        <w:numPr>
          <w:ilvl w:val="0"/>
          <w:numId w:val="1024"/>
        </w:numPr>
        <w:pStyle w:val="Compact"/>
      </w:pPr>
      <w:r>
        <w:rPr>
          <w:bCs/>
          <w:b/>
        </w:rPr>
        <w:t xml:space="preserve">Audit-Recht:</w:t>
      </w:r>
      <w:r>
        <w:t xml:space="preserve"> </w:t>
      </w:r>
      <w:r>
        <w:t xml:space="preserve">Regelmäßiges Recht auf Kontrolle der tatsächlichen Datenflüsse und Zugriffsprotokoll-Einsicht</w:t>
      </w:r>
    </w:p>
    <w:p>
      <w:pPr>
        <w:numPr>
          <w:ilvl w:val="0"/>
          <w:numId w:val="1024"/>
        </w:numPr>
        <w:pStyle w:val="Compact"/>
      </w:pPr>
      <w:r>
        <w:rPr>
          <w:bCs/>
          <w:b/>
        </w:rPr>
        <w:t xml:space="preserve">Technologieänderungs-Klausel</w:t>
      </w:r>
      <w:r>
        <w:t xml:space="preserve"> </w:t>
      </w:r>
      <w:r>
        <w:t xml:space="preserve">(für Operator-Modell): Delos/S3NS müssen Veränderungen im Verhältnis zum US-Technologielieferanten melden, die die Souveränitätsarchitektur berühren</w:t>
      </w:r>
    </w:p>
    <w:p>
      <w:pPr>
        <w:numPr>
          <w:ilvl w:val="0"/>
          <w:numId w:val="1024"/>
        </w:numPr>
        <w:pStyle w:val="Compact"/>
      </w:pPr>
      <w:r>
        <w:rPr>
          <w:bCs/>
          <w:b/>
        </w:rPr>
        <w:t xml:space="preserve">Change-of-Control-Klausel:</w:t>
      </w:r>
      <w:r>
        <w:t xml:space="preserve"> </w:t>
      </w:r>
      <w:r>
        <w:t xml:space="preserve">Bei Eigentümerwechsel des Anbieters (z.B. Übernahme durch US-Unternehmen) ist der Vertrag neu zu prüfen und ggf. zu kündigen — besonders relevant für PE-geführte Anbieter wie EWERK</w:t>
      </w:r>
    </w:p>
    <w:bookmarkEnd w:id="154"/>
    <w:bookmarkStart w:id="155" w:name="Xbffea5d69dfbf821dd1e80b85e49427d54c1929"/>
    <w:p>
      <w:pPr>
        <w:pStyle w:val="Heading3"/>
      </w:pPr>
      <w:r>
        <w:t xml:space="preserve">17.6 Exit-Strategie und Cloud-Portabilität — der unterschätzte Engpass</w:t>
      </w:r>
    </w:p>
    <w:p>
      <w:pPr>
        <w:pStyle w:val="FirstParagraph"/>
      </w:pPr>
      <w: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pStyle w:val="BodyText"/>
      </w:pPr>
      <w:r>
        <w:rPr>
          <w:bCs/>
          <w:b/>
        </w:rPr>
        <w:t xml:space="preserve">Warum ist der Ausstieg so schwer?</w:t>
      </w:r>
    </w:p>
    <w:p>
      <w:pPr>
        <w:pStyle w:val="BodyText"/>
      </w:pPr>
      <w:r>
        <w:t xml:space="preserve">Drei Mechanismen binden Organisationen an ihren Cloud-Anbieter:</w:t>
      </w:r>
    </w:p>
    <w:p>
      <w:pPr>
        <w:pStyle w:val="BodyText"/>
      </w:pPr>
      <w: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pStyle w:val="BodyText"/>
      </w:pPr>
      <w: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pStyle w:val="BodyText"/>
      </w:pPr>
      <w: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pStyle w:val="BodyText"/>
      </w:pPr>
      <w:r>
        <w:rPr>
          <w:bCs/>
          <w:b/>
        </w:rPr>
        <w:t xml:space="preserve">Was der EU Data Act ab September 2025 ändert</w:t>
      </w:r>
    </w:p>
    <w:p>
      <w:pPr>
        <w:pStyle w:val="BodyText"/>
      </w:pPr>
      <w: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pStyle w:val="BodyText"/>
      </w:pPr>
      <w:r>
        <w:rPr>
          <w:bCs/>
          <w:b/>
        </w:rPr>
        <w:t xml:space="preserve">Wie eine Exit-Strategie aussieht</w:t>
      </w:r>
    </w:p>
    <w:p>
      <w:pPr>
        <w:pStyle w:val="BodyText"/>
      </w:pPr>
      <w: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pStyle w:val="BodyText"/>
      </w:pPr>
      <w:r>
        <w:t xml:space="preserve">Inventur: Welche Systeme laufen wo, mit welchen anbieter-spezifischen Funktionen? Wer einen Überblick hat, kann priorisieren — und findet meist, dass die Abhängigkeit an wenigen kritischen Diensten hängt, nicht gleichmäßig verteilt ist.</w:t>
      </w:r>
    </w:p>
    <w:p>
      <w:pPr>
        <w:pStyle w:val="BodyText"/>
      </w:pPr>
      <w: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pStyle w:val="BodyText"/>
      </w:pPr>
      <w: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pStyle w:val="BodyText"/>
      </w:pPr>
      <w: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pStyle w:val="BodyText"/>
      </w:pPr>
      <w:r>
        <w:t xml:space="preserve">Für GKVen und Kliniken gilt: Ein Anbieterwechsel für Kernsysteme dauert 6 bis 18 Monate. Wer 2026 nicht beginnt zu planen, handelt 2028 unter Druck. Die Drei-Zonen-Strategie in §17.3 ist die praktische Umsetzung dieser Reihenfolge.</w:t>
      </w:r>
    </w:p>
    <w:bookmarkEnd w:id="155"/>
    <w:bookmarkStart w:id="156" w:name="Xbe6f79f392df2066c49c051134863986a4ac320"/>
    <w:p>
      <w:pPr>
        <w:pStyle w:val="Heading3"/>
      </w:pPr>
      <w:r>
        <w:t xml:space="preserve">17.7 Verschlüsselung — wo HYOK hilft und wo nicht</w:t>
      </w:r>
    </w:p>
    <w:p>
      <w:pPr>
        <w:pStyle w:val="FirstParagraph"/>
      </w:pPr>
      <w: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bookmarkEnd w:id="156"/>
    <w:bookmarkStart w:id="157" w:name="reise-hygiene-bei-us-einreisen"/>
    <w:p>
      <w:pPr>
        <w:pStyle w:val="Heading3"/>
      </w:pPr>
      <w:r>
        <w:t xml:space="preserve">17.8 Reise-Hygiene bei US-Einreisen</w:t>
      </w:r>
    </w:p>
    <w:p>
      <w:pPr>
        <w:pStyle w:val="FirstParagraph"/>
      </w:pPr>
      <w:r>
        <w:t xml:space="preserve">Betrifft Mitarbeitende mit Zugang zu sensiblen Gesundheitssystemen:</w:t>
      </w:r>
    </w:p>
    <w:p>
      <w:pPr>
        <w:numPr>
          <w:ilvl w:val="0"/>
          <w:numId w:val="1025"/>
        </w:numPr>
        <w:pStyle w:val="Compact"/>
      </w:pPr>
      <w:r>
        <w:t xml:space="preserve">Reisegerät ohne lokale Mail-Caches, VPN-Zugangsdaten und Gesundheitsdaten nutzen</w:t>
      </w:r>
    </w:p>
    <w:p>
      <w:pPr>
        <w:numPr>
          <w:ilvl w:val="0"/>
          <w:numId w:val="1025"/>
        </w:numPr>
        <w:pStyle w:val="Compact"/>
      </w:pPr>
      <w:r>
        <w:t xml:space="preserve">Apps vor Einreise ausloggen — CBP (US Customs and Border Protection) darf physische Geräte ohne richterlichen Herausgabebeschluss durchsuchen (vgl. §3.4)</w:t>
      </w:r>
    </w:p>
    <w:p>
      <w:pPr>
        <w:numPr>
          <w:ilvl w:val="0"/>
          <w:numId w:val="1025"/>
        </w:numPr>
        <w:pStyle w:val="Compact"/>
      </w:pPr>
      <w:r>
        <w:t xml:space="preserve">Keine KRITIS-relevanten Zugangsdaten, SSH-Schlüssel oder API-Tokens auf Reisegeräten</w:t>
      </w:r>
    </w:p>
    <w:p>
      <w:pPr>
        <w:numPr>
          <w:ilvl w:val="0"/>
          <w:numId w:val="1025"/>
        </w:numPr>
        <w:pStyle w:val="Compact"/>
      </w:pPr>
      <w:r>
        <w:t xml:space="preserve">Für hochsensible Positionen: dediziertes Reisegerät mit frischer Installation</w:t>
      </w:r>
    </w:p>
    <w:bookmarkEnd w:id="157"/>
    <w:bookmarkStart w:id="158" w:name="Xbfa54dc48678cf373d455cf25d96c3957ce45c0"/>
    <w:p>
      <w:pPr>
        <w:pStyle w:val="Heading3"/>
      </w:pPr>
      <w:r>
        <w:t xml:space="preserve">17.9 Haftungskette: Wer haftet, wenn der Patient klagt?</w:t>
      </w:r>
    </w:p>
    <w:p>
      <w:pPr>
        <w:pStyle w:val="FirstParagraph"/>
      </w:pPr>
      <w:r>
        <w:t xml:space="preserve">Die bisherigen Kapitel haben das CLOUD-Act-Risiko als regulatorisches und technisches Problem beschrieben. Dieser Abschnitt zeigt die zivilrechtliche Konsequenz — in zwei Szenarien, die sich fundamental unterscheiden.</w:t>
      </w:r>
    </w:p>
    <w:p>
      <w:pPr>
        <w:pStyle w:val="BodyText"/>
      </w:pPr>
      <w:r>
        <w:rPr>
          <w:bCs/>
          <w:b/>
        </w:rPr>
        <w:t xml:space="preserve">Szenario 1 — Latentes Risiko: Kein konkreter Zugriff, aber CLOUD-Act-exponierter Anbieter</w:t>
      </w:r>
    </w:p>
    <w:p>
      <w:pPr>
        <w:pStyle w:val="BodyText"/>
      </w:pPr>
      <w: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pStyle w:val="BodyText"/>
      </w:pPr>
      <w:r>
        <w:rPr>
          <w:bCs/>
          <w:b/>
        </w:rPr>
        <w:t xml:space="preserve">Szenario 2 — Konkreter Zugriff: US-Behörden haben auf Gesundheitsdaten zugegriffen und der Vorfall ist gemeldet</w:t>
      </w:r>
    </w:p>
    <w:p>
      <w:pPr>
        <w:pStyle w:val="BodyText"/>
      </w:pPr>
      <w:r>
        <w:t xml:space="preserve">Dieses Szenario ist der harte Fall. Er wird greifbar, wenn man ihn an den dokumentierten Beispielen durchspielt.</w:t>
      </w:r>
    </w:p>
    <w:p>
      <w:pPr>
        <w:pStyle w:val="BodyText"/>
      </w:pPr>
      <w: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pStyle w:val="BodyText"/>
      </w:pPr>
      <w: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pStyle w:val="BodyText"/>
      </w:pPr>
      <w:r>
        <w:rPr>
          <w:bCs/>
          <w:b/>
        </w:rPr>
        <w:t xml:space="preserve">Stufe 1 — Bußgeld durch die Aufsichtsbehörde.</w:t>
      </w:r>
      <w:r>
        <w:t xml:space="preserve"> </w:t>
      </w:r>
      <w:r>
        <w:t xml:space="preserve">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pStyle w:val="BodyText"/>
      </w:pPr>
      <w:r>
        <w:rPr>
          <w:bCs/>
          <w:b/>
        </w:rPr>
        <w:t xml:space="preserve">Stufe 2 — Schadensersatz pro betroffenem Patienten.</w:t>
      </w:r>
      <w:r>
        <w:t xml:space="preserve"> </w:t>
      </w:r>
      <w:r>
        <w:t xml:space="preserve">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pStyle w:val="BodyText"/>
      </w:pPr>
      <w: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pStyle w:val="BodyText"/>
      </w:pPr>
      <w:r>
        <w:rPr>
          <w:bCs/>
          <w:b/>
        </w:rPr>
        <w:t xml:space="preserve">Stufe 3 — Sammelklagen und NGO-Beschwerden.</w:t>
      </w:r>
      <w:r>
        <w:t xml:space="preserve"> </w:t>
      </w:r>
      <w:r>
        <w:t xml:space="preserve">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pStyle w:val="BodyText"/>
      </w:pPr>
      <w:r>
        <w:rPr>
          <w:bCs/>
          <w:b/>
        </w:rPr>
        <w:t xml:space="preserve">Die doppelte Haftung — Verantwortlicher und Auftragsverarbeiter.</w:t>
      </w:r>
      <w:r>
        <w:t xml:space="preserve"> </w:t>
      </w:r>
      <w:r>
        <w:t xml:space="preserve">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pStyle w:val="BodyText"/>
      </w:pPr>
      <w: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§17.4), ist die Haftungsfrage schnell beantwortet.</w:t>
      </w:r>
    </w:p>
    <w:p>
      <w:pPr>
        <w:pStyle w:val="BodyText"/>
      </w:pPr>
      <w:r>
        <w:rPr>
          <w:bCs/>
          <w:b/>
        </w:rPr>
        <w:t xml:space="preserve">Die persönliche Geschäftsführerhaftung — drei Wege, sauber getrennt.</w:t>
      </w:r>
    </w:p>
    <w:p>
      <w:pPr>
        <w:pStyle w:val="BodyText"/>
      </w:pPr>
      <w:r>
        <w:t xml:space="preserve">Die DSGVO selbst kennt keine explizite persönliche GF-Haftung. Bußgelder nach Art. 83 DSGVO treffen die Organisation — die GKV, die Klinik, die KV. Nicht den Geschäftsführer als Person. Aber die persönliche Haftung kommt über zwei andere Wege:</w:t>
      </w:r>
    </w:p>
    <w:p>
      <w:pPr>
        <w:pStyle w:val="BodyText"/>
      </w:pPr>
      <w: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§17.4), fehlt genau diese Dokumentation.</w:t>
      </w:r>
    </w:p>
    <w:p>
      <w:pPr>
        <w:pStyle w:val="BodyText"/>
      </w:pPr>
      <w: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pStyle w:val="BodyText"/>
      </w:pPr>
      <w:r>
        <w:t xml:space="preserve">In der Praxis verstärken sich beide Wege: Die fehlende DSGVO-Dokumentation (kein TIA) ist gleichzeitig der Nachweis einer fehlenden NIS2-Lieferkettenprüfung. Ein einziges fehlendes Dokument öffnet zwei Haftungspfade.</w:t>
      </w:r>
    </w:p>
    <w:p>
      <w:pPr>
        <w:pStyle w:val="BodyText"/>
      </w:pPr>
      <w:r>
        <w:rPr>
          <w:bCs/>
          <w:b/>
        </w:rPr>
        <w:t xml:space="preserve">Die Dokumentationsfalle.</w:t>
      </w:r>
      <w:r>
        <w:t xml:space="preserve"> </w:t>
      </w:r>
      <w:r>
        <w:t xml:space="preserve">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bookmarkEnd w:id="158"/>
    <w:bookmarkStart w:id="159" w:name="X5f906b6086bc52277529139475c53feeb723688"/>
    <w:p>
      <w:pPr>
        <w:pStyle w:val="Heading3"/>
      </w:pPr>
      <w:r>
        <w:t xml:space="preserve">17.10 Grundprinzip: Rechtsstaatlicher Zugriff als Maßstab — nicht politisches Vertrauen</w:t>
      </w:r>
    </w:p>
    <w:p>
      <w:pPr>
        <w:pStyle w:val="FirstParagraph"/>
      </w:pPr>
      <w:r>
        <w:t xml:space="preserve">Aus der Analyse in Kapitel 4 ergibt sich ein handlungsleitendes Prinzip für Infrastrukturentscheidungen:</w:t>
      </w:r>
    </w:p>
    <w:p>
      <w:pPr>
        <w:pStyle w:val="BodyText"/>
      </w:pPr>
      <w:r>
        <w:rPr>
          <w:bCs/>
          <w:b/>
        </w:rPr>
        <w:t xml:space="preserve">Das richtige Kriterium ist nicht</w:t>
      </w:r>
      <w:r>
        <w:rPr>
          <w:bCs/>
          <w:b/>
        </w:rPr>
        <w:t xml:space="preserve"> </w:t>
      </w:r>
      <w:r>
        <w:rPr>
          <w:bCs/>
          <w:b/>
        </w:rPr>
        <w:t xml:space="preserve">“</w:t>
      </w:r>
      <w:r>
        <w:rPr>
          <w:bCs/>
          <w:b/>
        </w:rPr>
        <w:t xml:space="preserve">Verbündeter oder nicht-Verbündeter</w:t>
      </w:r>
      <w:r>
        <w:rPr>
          <w:bCs/>
          <w:b/>
        </w:rPr>
        <w:t xml:space="preserve">”</w:t>
      </w:r>
      <w:r>
        <w:rPr>
          <w:bCs/>
          <w:b/>
        </w:rPr>
        <w:t xml:space="preserve"> </w:t>
      </w:r>
      <w:r>
        <w:rPr>
          <w:bCs/>
          <w:b/>
        </w:rPr>
        <w:t xml:space="preserve">— es ist</w:t>
      </w:r>
      <w:r>
        <w:rPr>
          <w:bCs/>
          <w:b/>
        </w:rPr>
        <w:t xml:space="preserve"> </w:t>
      </w:r>
      <w:r>
        <w:rPr>
          <w:bCs/>
          <w:b/>
        </w:rPr>
        <w:t xml:space="preserve">“</w:t>
      </w:r>
      <w:r>
        <w:rPr>
          <w:bCs/>
          <w:b/>
        </w:rPr>
        <w:t xml:space="preserve">rechtsstaatlich gebunden oder nicht.</w:t>
      </w:r>
      <w:r>
        <w:rPr>
          <w:bCs/>
          <w:b/>
        </w:rPr>
        <w:t xml:space="preserve">”</w:t>
      </w:r>
    </w:p>
    <w:p>
      <w:pPr>
        <w:pStyle w:val="BodyText"/>
      </w:pPr>
      <w:r>
        <w:t xml:space="preserve">Vier Leitfragen für jede Infrastrukturentscheidung im Gesundheitsbereich:</w:t>
      </w:r>
    </w:p>
    <w:p>
      <w:pPr>
        <w:numPr>
          <w:ilvl w:val="0"/>
          <w:numId w:val="1026"/>
        </w:numPr>
      </w:pPr>
      <w:r>
        <w:rPr>
          <w:bCs/>
          <w:b/>
        </w:rPr>
        <w:t xml:space="preserve">Unabhängige richterliche Kontrolle für alle Betroffenen?</w:t>
      </w:r>
      <w:r>
        <w:t xml:space="preserve"> </w:t>
      </w:r>
      <w:r>
        <w:t xml:space="preserve">Gilt nicht nur für eigene Staatsbürger, sondern auch für EU-Bürger? Wenn nein: strukturell inakzeptabel für Art.-9-Daten.</w:t>
      </w:r>
    </w:p>
    <w:p>
      <w:pPr>
        <w:numPr>
          <w:ilvl w:val="0"/>
          <w:numId w:val="1026"/>
        </w:numPr>
      </w:pPr>
      <w:r>
        <w:rPr>
          <w:bCs/>
          <w:b/>
        </w:rPr>
        <w:t xml:space="preserve">Anlassbezogen oder anlasslos?</w:t>
      </w:r>
      <w:r>
        <w:t xml:space="preserve"> </w:t>
      </w:r>
      <w:r>
        <w:t xml:space="preserve">FISA § 702 und NSL erlauben Massenerfassung ohne Einzelfallverdacht. Kein System, das das ermöglicht, ist eine akzeptable Grundlage für Gesundheitsdaten von 74 Millionen GKV-Versicherten.</w:t>
      </w:r>
    </w:p>
    <w:p>
      <w:pPr>
        <w:numPr>
          <w:ilvl w:val="0"/>
          <w:numId w:val="1026"/>
        </w:numPr>
      </w:pPr>
      <w:r>
        <w:rPr>
          <w:bCs/>
          <w:b/>
        </w:rPr>
        <w:t xml:space="preserve">Politisch instrumentalisierbar?</w:t>
      </w:r>
      <w:r>
        <w:t xml:space="preserve"> </w:t>
      </w:r>
      <w:r>
        <w:t xml:space="preserve">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numPr>
          <w:ilvl w:val="0"/>
          <w:numId w:val="1026"/>
        </w:numPr>
      </w:pPr>
      <w:r>
        <w:rPr>
          <w:bCs/>
          <w:b/>
        </w:rPr>
        <w:t xml:space="preserve">Stabiles Recht oder Präsidialerlass?</w:t>
      </w:r>
      <w:r>
        <w:t xml:space="preserve"> </w:t>
      </w:r>
      <w:r>
        <w:t xml:space="preserve">EU-Recht und GRCh überdauern Regierungswechsel. Das Data Privacy Framework hängt an einem Präsidialerlass und kann durch eine gegenteilige Executive Order aufgehoben werden.</w:t>
      </w:r>
    </w:p>
    <w:p>
      <w:pPr>
        <w:pStyle w:val="FirstParagraph"/>
      </w:pPr>
      <w:r>
        <w:rPr>
          <w:bCs/>
          <w:b/>
        </w:rPr>
        <w:t xml:space="preserve">Für europäischen Behördenzugriff (e-Evidence-VO):</w:t>
      </w:r>
      <w:r>
        <w:t xml:space="preserve"> </w:t>
      </w:r>
      <w:r>
        <w:t xml:space="preserve">Akzeptabel — rechtsstaatlich gebunden, verhältnismäßig, für alle Betroffenen anfechtbar.</w:t>
      </w:r>
    </w:p>
    <w:p>
      <w:pPr>
        <w:pStyle w:val="BodyText"/>
      </w:pPr>
      <w:r>
        <w:rPr>
          <w:bCs/>
          <w:b/>
        </w:rPr>
        <w:t xml:space="preserve">Für US-Behördenzugriff (FISA § 702, NSL):</w:t>
      </w:r>
      <w:r>
        <w:t xml:space="preserve"> </w:t>
      </w:r>
      <w:r>
        <w:t xml:space="preserve">Für Gesundheitsdaten strukturell nicht akzeptabel — nicht weil die USA ein Feind sind, sondern weil diese Instrumente den Anforderungen an Grundrechtsschutz für EU-Bürger nicht genügen.</w:t>
      </w:r>
    </w:p>
    <w:p>
      <w:pPr>
        <w:pStyle w:val="BodyText"/>
      </w:pPr>
      <w:r>
        <w:rPr>
          <w:bCs/>
          <w:b/>
        </w:rPr>
        <w:t xml:space="preserve">Für den</w:t>
      </w:r>
      <w:r>
        <w:rPr>
          <w:bCs/>
          <w:b/>
        </w:rPr>
        <w:t xml:space="preserve"> </w:t>
      </w:r>
      <w:r>
        <w:rPr>
          <w:bCs/>
          <w:b/>
        </w:rPr>
        <w:t xml:space="preserve">“</w:t>
      </w:r>
      <w:r>
        <w:rPr>
          <w:bCs/>
          <w:b/>
        </w:rPr>
        <w:t xml:space="preserve">westlichen Verbund</w:t>
      </w:r>
      <w:r>
        <w:rPr>
          <w:bCs/>
          <w:b/>
        </w:rPr>
        <w:t xml:space="preserve">”</w:t>
      </w:r>
      <w:r>
        <w:rPr>
          <w:bCs/>
          <w:b/>
        </w:rPr>
        <w:t xml:space="preserve">-Gedanken (NATO/Five Eyes):</w:t>
      </w:r>
      <w:r>
        <w:t xml:space="preserve"> </w:t>
      </w:r>
      <w:r>
        <w:t xml:space="preserve">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r>
        <w:pict>
          <v:rect style="width:0;height:1.5pt" o:hralign="center" o:hrstd="t" o:hr="t"/>
        </w:pict>
      </w:r>
    </w:p>
    <w:bookmarkEnd w:id="159"/>
    <w:bookmarkEnd w:id="160"/>
    <w:bookmarkStart w:id="164" w:name="X39d01b715e1d5e3831adebf2341126447f0c182"/>
    <w:p>
      <w:pPr>
        <w:pStyle w:val="Heading2"/>
      </w:pPr>
      <w:r>
        <w:t xml:space="preserve">18. Regulatorischer Ausblick 2025–2027</w:t>
      </w:r>
    </w:p>
    <w:p>
      <w:pPr>
        <w:pStyle w:val="FirstParagraph"/>
      </w:pPr>
      <w: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§17.6).</w:t>
      </w:r>
    </w:p>
    <w:p>
      <w:pPr>
        <w:pStyle w:val="BodyText"/>
      </w:pPr>
      <w:r>
        <w:t xml:space="preserve">Die folgende Tabelle gibt den Überblick über laufende und kommende Entwicklungen mit unmittelbarer Relevanz für die CLOUD-Act-Exposition des Gesundheitswesens. Die drei wichtigsten werden im Anschluss vertieft: TI 2.0, GeDIG und EHDS.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Instrument / Entwicklung</w:t>
            </w:r>
          </w:p>
        </w:tc>
        <w:tc>
          <w:tcPr/>
          <w:p>
            <w:pPr>
              <w:pStyle w:val="Compact"/>
              <w:jc w:val="left"/>
            </w:pPr>
            <w:r>
              <w:t xml:space="preserve">Status</w:t>
            </w:r>
          </w:p>
        </w:tc>
        <w:tc>
          <w:tcPr/>
          <w:p>
            <w:pPr>
              <w:pStyle w:val="Compact"/>
              <w:jc w:val="left"/>
            </w:pPr>
            <w:r>
              <w:t xml:space="preserve">CLOUD-Act-Relevanz</w:t>
            </w:r>
          </w:p>
        </w:tc>
      </w:tr>
      <w:tr>
        <w:tc>
          <w:tcPr/>
          <w:p>
            <w:pPr>
              <w:pStyle w:val="Compact"/>
              <w:jc w:val="left"/>
            </w:pPr>
            <w:r>
              <w:rPr>
                <w:bCs/>
                <w:b/>
              </w:rPr>
              <w:t xml:space="preserve">TI 2.0 (Telematikinfrastruktur)</w:t>
            </w:r>
          </w:p>
        </w:tc>
        <w:tc>
          <w:tcPr/>
          <w:p>
            <w:pPr>
              <w:pStyle w:val="Compact"/>
              <w:jc w:val="left"/>
            </w:pPr>
            <w:r>
              <w:t xml:space="preserve">Migration ab 2025, Vollbetrieb 2027</w:t>
            </w:r>
          </w:p>
        </w:tc>
        <w:tc>
          <w:tcPr/>
          <w:p>
            <w:pPr>
              <w:pStyle w:val="Compact"/>
              <w:jc w:val="left"/>
            </w:pPr>
            <w:r>
              <w:t xml:space="preserve">Cloud-basierte TI-Gateways ersetzen Hardware-Konnektoren. Offene Frage: US-Konzerne als Gateway-Betreiber? (→ §18.1)</w:t>
            </w:r>
          </w:p>
        </w:tc>
      </w:tr>
      <w:tr>
        <w:tc>
          <w:tcPr/>
          <w:p>
            <w:pPr>
              <w:pStyle w:val="Compact"/>
              <w:jc w:val="left"/>
            </w:pPr>
            <w:r>
              <w:rPr>
                <w:bCs/>
                <w:b/>
              </w:rPr>
              <w:t xml:space="preserve">GeDIG</w:t>
            </w:r>
          </w:p>
        </w:tc>
        <w:tc>
          <w:tcPr/>
          <w:p>
            <w:pPr>
              <w:pStyle w:val="Compact"/>
              <w:jc w:val="left"/>
            </w:pPr>
            <w:r>
              <w:t xml:space="preserve">Referentenentwurf April 2026</w:t>
            </w:r>
          </w:p>
        </w:tc>
        <w:tc>
          <w:tcPr/>
          <w:p>
            <w:pPr>
              <w:pStyle w:val="Compact"/>
              <w:jc w:val="left"/>
            </w:pPr>
            <w:r>
              <w:t xml:space="preserve">ePA-Ausbau auf 20 Mio. Nutzer, automatische FDZ-Ausleitung Ende 2026. Vergrößert CLOUD-Act-Angriffsfläche erheblich. (→ §18.2)</w:t>
            </w:r>
          </w:p>
        </w:tc>
      </w:tr>
      <w:tr>
        <w:tc>
          <w:tcPr/>
          <w:p>
            <w:pPr>
              <w:pStyle w:val="Compact"/>
              <w:jc w:val="left"/>
            </w:pPr>
            <w:r>
              <w:rPr>
                <w:bCs/>
                <w:b/>
              </w:rPr>
              <w:t xml:space="preserve">EHDS (European Health Data Space)</w:t>
            </w:r>
          </w:p>
        </w:tc>
        <w:tc>
          <w:tcPr/>
          <w:p>
            <w:pPr>
              <w:pStyle w:val="Compact"/>
              <w:jc w:val="left"/>
            </w:pPr>
            <w:r>
              <w:t xml:space="preserve">Ab 2026 schrittweise</w:t>
            </w:r>
          </w:p>
        </w:tc>
        <w:tc>
          <w:tcPr/>
          <w:p>
            <w:pPr>
              <w:pStyle w:val="Compact"/>
              <w:jc w:val="left"/>
            </w:pPr>
            <w:r>
              <w:t xml:space="preserve">Sekundärnutzung erhöht Datenpool-Attraktivität. Keine Cloud-Infrastrukturvorgaben — CLOUD-Act-Lücke. (→ §18.3)</w:t>
            </w:r>
          </w:p>
        </w:tc>
      </w:tr>
      <w:tr>
        <w:tc>
          <w:tcPr/>
          <w:p>
            <w:pPr>
              <w:pStyle w:val="Compact"/>
              <w:jc w:val="left"/>
            </w:pPr>
            <w:r>
              <w:rPr>
                <w:bCs/>
                <w:b/>
              </w:rPr>
              <w:t xml:space="preserve">Schrems III (EuGH)</w:t>
            </w:r>
          </w:p>
        </w:tc>
        <w:tc>
          <w:tcPr/>
          <w:p>
            <w:pPr>
              <w:pStyle w:val="Compact"/>
              <w:jc w:val="left"/>
            </w:pPr>
            <w:r>
              <w:t xml:space="preserve">Anhängig</w:t>
            </w:r>
          </w:p>
        </w:tc>
        <w:tc>
          <w:tcPr/>
          <w:p>
            <w:pPr>
              <w:pStyle w:val="Compact"/>
              <w:jc w:val="left"/>
            </w:pPr>
            <w:r>
              <w:t xml:space="preserve">Kippt das DPF, ändert sich das Enforcement-Bild schlagartig — sofortiger Handlungsdruck für alle US-Cloud-Nutzer. (Analyse: → §9.1)</w:t>
            </w:r>
          </w:p>
        </w:tc>
      </w:tr>
      <w:tr>
        <w:tc>
          <w:tcPr/>
          <w:p>
            <w:pPr>
              <w:pStyle w:val="Compact"/>
              <w:jc w:val="left"/>
            </w:pPr>
            <w:r>
              <w:rPr>
                <w:bCs/>
                <w:b/>
              </w:rPr>
              <w:t xml:space="preserve">FISA § 702 Verlängerung</w:t>
            </w:r>
          </w:p>
        </w:tc>
        <w:tc>
          <w:tcPr/>
          <w:p>
            <w:pPr>
              <w:pStyle w:val="Compact"/>
              <w:jc w:val="left"/>
            </w:pPr>
            <w:r>
              <w:t xml:space="preserve">Auslaufdatum 20. April 2026</w:t>
            </w:r>
          </w:p>
        </w:tc>
        <w:tc>
          <w:tcPr/>
          <w:p>
            <w:pPr>
              <w:pStyle w:val="Compact"/>
              <w:jc w:val="left"/>
            </w:pPr>
            <w:r>
              <w:t xml:space="preserve">Verlängerung ohne Reformen zementiert RISAA-Erweiterungen. Ablauf würde US-Zugriff temporär einschränken. (Analyse: → §3.2)</w:t>
            </w:r>
          </w:p>
        </w:tc>
      </w:tr>
      <w:tr>
        <w:tc>
          <w:tcPr/>
          <w:p>
            <w:pPr>
              <w:pStyle w:val="Compact"/>
              <w:jc w:val="left"/>
            </w:pPr>
            <w:r>
              <w:rPr>
                <w:bCs/>
                <w:b/>
              </w:rPr>
              <w:t xml:space="preserve">NIS2-Richtlinie</w:t>
            </w:r>
          </w:p>
        </w:tc>
        <w:tc>
          <w:tcPr/>
          <w:p>
            <w:pPr>
              <w:pStyle w:val="Compact"/>
              <w:jc w:val="left"/>
            </w:pPr>
            <w:r>
              <w:t xml:space="preserve">In deutsches Recht umgesetzt (BSIG-Novelle)</w:t>
            </w:r>
          </w:p>
        </w:tc>
        <w:tc>
          <w:tcPr/>
          <w:p>
            <w:pPr>
              <w:pStyle w:val="Compact"/>
              <w:jc w:val="left"/>
            </w:pPr>
            <w:r>
              <w:t xml:space="preserve">Lieferketten-Risikobewertung ist Pflicht (Art. 21 Abs. 2 lit. d) — erfasst CLOUD-Act-exponierte Anbieter. GF-Haftung nach § 38 BSIG bei Verletzung der Sorgfaltspflicht.</w:t>
            </w:r>
          </w:p>
        </w:tc>
      </w:tr>
      <w:tr>
        <w:tc>
          <w:tcPr/>
          <w:p>
            <w:pPr>
              <w:pStyle w:val="Compact"/>
              <w:jc w:val="left"/>
            </w:pPr>
            <w:r>
              <w:rPr>
                <w:bCs/>
                <w:b/>
              </w:rPr>
              <w:t xml:space="preserve">SharePoint On-Premise End-of-Life</w:t>
            </w:r>
          </w:p>
        </w:tc>
        <w:tc>
          <w:tcPr/>
          <w:p>
            <w:pPr>
              <w:pStyle w:val="Compact"/>
              <w:jc w:val="left"/>
            </w:pPr>
            <w:r>
              <w:t xml:space="preserve">Juli 2026</w:t>
            </w:r>
          </w:p>
        </w:tc>
        <w:tc>
          <w:tcPr/>
          <w:p>
            <w:pPr>
              <w:pStyle w:val="Compact"/>
              <w:jc w:val="left"/>
            </w:pPr>
            <w:r>
              <w:t xml:space="preserve">SharePoint 2013/2016/2019 verliert Support. Erzwingt Entscheidung: SharePoint Online (US-Cloud) oder souveräne Alternative (→ §8.3).</w:t>
            </w:r>
          </w:p>
        </w:tc>
      </w:tr>
      <w:tr>
        <w:tc>
          <w:tcPr/>
          <w:p>
            <w:pPr>
              <w:pStyle w:val="Compact"/>
              <w:jc w:val="left"/>
            </w:pPr>
            <w:r>
              <w:rPr>
                <w:bCs/>
                <w:b/>
              </w:rPr>
              <w:t xml:space="preserve">STACKIT Lübbenau-RZ</w:t>
            </w:r>
          </w:p>
        </w:tc>
        <w:tc>
          <w:tcPr/>
          <w:p>
            <w:pPr>
              <w:pStyle w:val="Compact"/>
              <w:jc w:val="left"/>
            </w:pPr>
            <w:r>
              <w:t xml:space="preserve">Fertigstellung 2027</w:t>
            </w:r>
          </w:p>
        </w:tc>
        <w:tc>
          <w:tcPr/>
          <w:p>
            <w:pPr>
              <w:pStyle w:val="Compact"/>
              <w:jc w:val="left"/>
            </w:pPr>
            <w:r>
              <w:t xml:space="preserve">11 Mrd. EUR, bis zu 100.000 GPUs. Erster EU-Anbieter mit Hyperscaler-Kapazität. (Analyse: → §5.5, §7.2)</w:t>
            </w:r>
          </w:p>
        </w:tc>
      </w:tr>
      <w:tr>
        <w:tc>
          <w:tcPr/>
          <w:p>
            <w:pPr>
              <w:pStyle w:val="Compact"/>
              <w:jc w:val="left"/>
            </w:pPr>
            <w:r>
              <w:rPr>
                <w:bCs/>
                <w:b/>
              </w:rPr>
              <w:t xml:space="preserve">Euro-Office / Office.eu</w:t>
            </w:r>
          </w:p>
        </w:tc>
        <w:tc>
          <w:tcPr/>
          <w:p>
            <w:pPr>
              <w:pStyle w:val="Compact"/>
              <w:jc w:val="left"/>
            </w:pPr>
            <w:r>
              <w:t xml:space="preserve">Rollout ab März–Q2 2026</w:t>
            </w:r>
          </w:p>
        </w:tc>
        <w:tc>
          <w:tcPr/>
          <w:p>
            <w:pPr>
              <w:pStyle w:val="Compact"/>
              <w:jc w:val="left"/>
            </w:pPr>
            <w:r>
              <w:t xml:space="preserve">Erste produktionsreife souveräne M365-Alternative. (Analyse: → §8.3)</w:t>
            </w:r>
          </w:p>
        </w:tc>
      </w:tr>
      <w:tr>
        <w:tc>
          <w:tcPr/>
          <w:p>
            <w:pPr>
              <w:pStyle w:val="Compact"/>
              <w:jc w:val="left"/>
            </w:pPr>
            <w:r>
              <w:rPr>
                <w:bCs/>
                <w:b/>
              </w:rPr>
              <w:t xml:space="preserve">BSI C5:2026</w:t>
            </w:r>
          </w:p>
        </w:tc>
        <w:tc>
          <w:tcPr/>
          <w:p>
            <w:pPr>
              <w:pStyle w:val="Compact"/>
              <w:jc w:val="left"/>
            </w:pPr>
            <w:r>
              <w:t xml:space="preserve">Veröffentlicht 7. April 2026</w:t>
            </w:r>
          </w:p>
        </w:tc>
        <w:tc>
          <w:tcPr/>
          <w:p>
            <w:pPr>
              <w:pStyle w:val="Compact"/>
              <w:jc w:val="left"/>
            </w:pPr>
            <w:r>
              <w:t xml:space="preserve">168 Kriterien (Nachfolger C5:2020). Technische Sicherheit modernisiert (Container, PQC, Confidential Computing). Souveränität weiterhin nicht geprüft — separate Kriterien angekündigt. (Analyse: → §5.3)</w:t>
            </w:r>
          </w:p>
        </w:tc>
      </w:tr>
      <w:tr>
        <w:tc>
          <w:tcPr/>
          <w:p>
            <w:pPr>
              <w:pStyle w:val="Compact"/>
              <w:jc w:val="left"/>
            </w:pPr>
            <w:r>
              <w:rPr>
                <w:bCs/>
                <w:b/>
              </w:rPr>
              <w:t xml:space="preserve">ANSSI-BSI Souveränitätskriterien</w:t>
            </w:r>
          </w:p>
        </w:tc>
        <w:tc>
          <w:tcPr/>
          <w:p>
            <w:pPr>
              <w:pStyle w:val="Compact"/>
              <w:jc w:val="left"/>
            </w:pPr>
            <w:r>
              <w:t xml:space="preserve">Joint Statement 17. Nov. 2025</w:t>
            </w:r>
          </w:p>
        </w:tc>
        <w:tc>
          <w:tcPr/>
          <w:p>
            <w:pPr>
              <w:pStyle w:val="Compact"/>
              <w:jc w:val="left"/>
            </w:pPr>
            <w:r>
              <w:t xml:space="preserve">ANSSI und BSI entwickeln gemeinsam Souveränitätskriterien auf Basis des EU Cloud Sovereignty Framework. Drei-Stufen-Progressionsmodell. Veröffentlichung</w:t>
            </w:r>
            <w:r>
              <w:t xml:space="preserve"> </w:t>
            </w:r>
            <w:r>
              <w:t xml:space="preserve">“</w:t>
            </w:r>
            <w:r>
              <w:t xml:space="preserve">in Kürze</w:t>
            </w:r>
            <w:r>
              <w:t xml:space="preserve">”</w:t>
            </w:r>
            <w:r>
              <w:t xml:space="preserve">. (Analyse: → §5.3)</w:t>
            </w:r>
          </w:p>
        </w:tc>
      </w:tr>
      <w:tr>
        <w:tc>
          <w:tcPr/>
          <w:p>
            <w:pPr>
              <w:pStyle w:val="Compact"/>
              <w:jc w:val="left"/>
            </w:pPr>
            <w:r>
              <w:rPr>
                <w:bCs/>
                <w:b/>
              </w:rPr>
              <w:t xml:space="preserve">EuroHPC AI Factories</w:t>
            </w:r>
          </w:p>
        </w:tc>
        <w:tc>
          <w:tcPr/>
          <w:p>
            <w:pPr>
              <w:pStyle w:val="Compact"/>
              <w:jc w:val="left"/>
            </w:pPr>
            <w:r>
              <w:t xml:space="preserve">19 Standorte, laufend seit 2025</w:t>
            </w:r>
          </w:p>
        </w:tc>
        <w:tc>
          <w:tcPr/>
          <w:p>
            <w:pPr>
              <w:pStyle w:val="Compact"/>
              <w:jc w:val="left"/>
            </w:pPr>
            <w:r>
              <w:t xml:space="preserve">Souveräne GPU-Infrastruktur für KI-Training. Zugang für Gesundheitsorganisationen.</w:t>
            </w:r>
          </w:p>
        </w:tc>
      </w:tr>
    </w:tbl>
    <w:bookmarkStart w:id="161" w:name="X990fe9bf7d62536fc9c7a87cf7dda05d4233530"/>
    <w:p>
      <w:pPr>
        <w:pStyle w:val="Heading3"/>
      </w:pPr>
      <w:r>
        <w:t xml:space="preserve">18.1 Telematikinfrastruktur (TI 2.0) — was sich durch die Migration ändert</w:t>
      </w:r>
    </w:p>
    <w:p>
      <w:pPr>
        <w:pStyle w:val="FirstParagraph"/>
      </w:pPr>
      <w: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pStyle w:val="BodyText"/>
      </w:pPr>
      <w:r>
        <w:rPr>
          <w:bCs/>
          <w:b/>
        </w:rPr>
        <w:t xml:space="preserve">Der Übergang von TI 1.0 zu TI 2.0:</w:t>
      </w:r>
      <w:r>
        <w:t xml:space="preserve"> </w:t>
      </w:r>
      <w:r>
        <w:t xml:space="preserve">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pStyle w:val="BodyText"/>
      </w:pPr>
      <w:r>
        <w:rPr>
          <w:bCs/>
          <w:b/>
        </w:rPr>
        <w:t xml:space="preserve">Die offene Frage:</w:t>
      </w:r>
      <w:r>
        <w:t xml:space="preserve"> </w:t>
      </w:r>
      <w:r>
        <w:t xml:space="preserve">Wer die TI-Gateway-Betreiber sein werden und ob darunter US-Konzerne zugelassen werden, ist regulatorisch nicht abschließend definiert. Hier entsteht ein strukturell neues CLOUD-Act-Einfallstor — zusätzlich zu den bestehenden IBM- und Arvato-Abhängigkeiten.</w:t>
      </w:r>
    </w:p>
    <w:p>
      <w:pPr>
        <w:pStyle w:val="BodyText"/>
      </w:pPr>
      <w:r>
        <w:rPr>
          <w:bCs/>
          <w:b/>
        </w:rPr>
        <w:t xml:space="preserve">Was Organisationen konkret tun können:</w:t>
      </w:r>
      <w:r>
        <w:t xml:space="preserve"> </w:t>
      </w:r>
      <w:r>
        <w:t xml:space="preserve">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§17.4).</w:t>
      </w:r>
    </w:p>
    <w:bookmarkEnd w:id="161"/>
    <w:bookmarkStart w:id="162" w:name="Xbd439d5a6edac5d0640385b7fba6319a211dca9"/>
    <w:p>
      <w:pPr>
        <w:pStyle w:val="Heading3"/>
      </w:pPr>
      <w:r>
        <w:t xml:space="preserve">18.2 GeDIG 2026 — wie das neue Digitalgesetz die CLOUD-Act-Exposition erhöht</w:t>
      </w:r>
    </w:p>
    <w:p>
      <w:pPr>
        <w:pStyle w:val="FirstParagraph"/>
      </w:pPr>
      <w: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pStyle w:val="BodyText"/>
      </w:pPr>
      <w:r>
        <w:rPr>
          <w:bCs/>
          <w:b/>
        </w:rPr>
        <w:t xml:space="preserve">Was GeDIG im Kern vorhat</w:t>
      </w:r>
    </w:p>
    <w:p>
      <w:pPr>
        <w:pStyle w:val="BodyText"/>
      </w:pPr>
      <w: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pStyle w:val="BodyText"/>
      </w:pPr>
      <w:r>
        <w:rPr>
          <w:bCs/>
          <w:b/>
        </w:rPr>
        <w:t xml:space="preserve">Was das für die CLOUD-Act-Frage bedeutet</w:t>
      </w:r>
    </w:p>
    <w:p>
      <w:pPr>
        <w:pStyle w:val="BodyText"/>
      </w:pPr>
      <w: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pStyle w:val="BodyText"/>
      </w:pPr>
      <w: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bookmarkEnd w:id="162"/>
    <w:bookmarkStart w:id="163" w:name="Xed3235e7e70f06f47219ff32385c108c23ca5fb"/>
    <w:p>
      <w:pPr>
        <w:pStyle w:val="Heading3"/>
      </w:pPr>
      <w:r>
        <w:t xml:space="preserve">18.3 EHDS — der europäische Gesundheitsdatenraum und seine Grenzen</w:t>
      </w:r>
    </w:p>
    <w:p>
      <w:pPr>
        <w:pStyle w:val="FirstParagraph"/>
      </w:pPr>
      <w: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pStyle w:val="BodyText"/>
      </w:pPr>
      <w:r>
        <w:rPr>
          <w:bCs/>
          <w:b/>
        </w:rPr>
        <w:t xml:space="preserve">Was der EHDS regelt und was nicht</w:t>
      </w:r>
    </w:p>
    <w:p>
      <w:pPr>
        <w:pStyle w:val="BodyText"/>
      </w:pPr>
      <w: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pStyle w:val="BodyText"/>
      </w:pPr>
      <w: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pStyle w:val="BodyText"/>
      </w:pPr>
      <w: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r>
        <w:pict>
          <v:rect style="width:0;height:1.5pt" o:hralign="center" o:hrstd="t" o:hr="t"/>
        </w:pict>
      </w:r>
    </w:p>
    <w:bookmarkEnd w:id="163"/>
    <w:bookmarkEnd w:id="164"/>
    <w:bookmarkStart w:id="165" w:name="fazit"/>
    <w:p>
      <w:pPr>
        <w:pStyle w:val="Heading2"/>
      </w:pPr>
      <w:r>
        <w:t xml:space="preserve">Fazit</w:t>
      </w:r>
    </w:p>
    <w:p>
      <w:pPr>
        <w:pStyle w:val="BlockText"/>
      </w:pPr>
      <w:r>
        <w:rPr>
          <w:bCs/>
          <w:b/>
        </w:rPr>
        <w:t xml:space="preserve">“</w:t>
      </w:r>
      <w:r>
        <w:rPr>
          <w:bCs/>
          <w:b/>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r>
        <w:rPr>
          <w:bCs/>
          <w:b/>
        </w:rPr>
        <w:t xml:space="preserve">”</w:t>
      </w:r>
    </w:p>
    <w:p>
      <w:pPr>
        <w:pStyle w:val="FirstParagraph"/>
      </w:pPr>
      <w:r>
        <w:t xml:space="preserve">Zwölf Kernaussagen:</w:t>
      </w:r>
    </w:p>
    <w:p>
      <w:pPr>
        <w:numPr>
          <w:ilvl w:val="0"/>
          <w:numId w:val="1027"/>
        </w:numPr>
      </w:pPr>
      <w:r>
        <w:rPr>
          <w:bCs/>
          <w:b/>
        </w:rPr>
        <w:t xml:space="preserve">Serverstandort schützt nicht.</w:t>
      </w:r>
      <w:r>
        <w:t xml:space="preserve"> </w:t>
      </w:r>
      <w:r>
        <w:t xml:space="preserve">Entscheidend ist, wer die Kontrolle über die Daten hat — Unternehmensstruktur, nicht Geographie.</w:t>
      </w:r>
    </w:p>
    <w:p>
      <w:pPr>
        <w:numPr>
          <w:ilvl w:val="0"/>
          <w:numId w:val="1027"/>
        </w:numPr>
      </w:pPr>
      <w:r>
        <w:rPr>
          <w:bCs/>
          <w:b/>
        </w:rPr>
        <w:t xml:space="preserve">§ 393 SGB V und DSGVO Art. 48 ergänzen sich — die eine regelt IT-Sicherheit, die andere Jurisdiktion.</w:t>
      </w:r>
      <w:r>
        <w:t xml:space="preserve"> </w:t>
      </w:r>
      <w:r>
        <w:t xml:space="preserve">§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numPr>
          <w:ilvl w:val="0"/>
          <w:numId w:val="1027"/>
        </w:numPr>
      </w:pPr>
      <w:r>
        <w:rPr>
          <w:bCs/>
          <w:b/>
        </w:rPr>
        <w:t xml:space="preserve">US-Hyperscaler sind de facto akzeptiert — trotz DSGVO-Widerspruch. Und der Aufsichts-Flickenteppich macht es noch verwirrender.</w:t>
      </w:r>
      <w:r>
        <w:t xml:space="preserve"> </w:t>
      </w:r>
      <w:r>
        <w:t xml:space="preserve">Das ist die ehrlichste Zusammenfassung des Status quo. Die KVNO betreibt ihre KI-Plattform auf Azure (TED 98706-2026). Kubus IT hostet GKV-Daten über Arvato bei Google Cloud. Dutzende Kliniken laufen auf Oracle OCI. Die vollständige Positionierung aller 16 Landesbehörden + BfDI + BAS ist in §16.2 dokumentiert — das Bild reicht von 🟢 (Hessen, Niedersachsen) bis 🔴 (Hamburg, Schleswig-Holstein). Wer bei der</w:t>
      </w:r>
      <w:r>
        <w:t xml:space="preserve"> </w:t>
      </w:r>
      <w:r>
        <w:t xml:space="preserve">“</w:t>
      </w:r>
      <w:r>
        <w:t xml:space="preserve">richtigen</w:t>
      </w:r>
      <w:r>
        <w:t xml:space="preserve">”</w:t>
      </w:r>
      <w:r>
        <w:t xml:space="preserve"> </w:t>
      </w:r>
      <w:r>
        <w:t xml:space="preserve">Aufsichtsbehörde sitzt, bekommt Azure toleriert. Das Enforcement-Gap ist das eigentliche strukturelle Problem.</w:t>
      </w:r>
    </w:p>
    <w:p>
      <w:pPr>
        <w:numPr>
          <w:ilvl w:val="0"/>
          <w:numId w:val="1027"/>
        </w:numPr>
      </w:pPr>
      <w:r>
        <w:rPr>
          <w:bCs/>
          <w:b/>
        </w:rPr>
        <w:t xml:space="preserve">Das Operator-Modell ist der pragmatische Mittelweg</w:t>
      </w:r>
      <w:r>
        <w:t xml:space="preserve"> </w:t>
      </w:r>
      <w:r>
        <w:t xml:space="preserve">für Organisationen, die heute in Microsoft- oder Google-Ökosysteme integriert sind: Delos Cloud (SAP × Azure) für Verwaltung und Kliniken, S3NS (Thales × Google) als europäisches Referenzmodell mit SecNumCloud. Preis der Souveränität: +15% auf Listenpreise.</w:t>
      </w:r>
    </w:p>
    <w:p>
      <w:pPr>
        <w:numPr>
          <w:ilvl w:val="0"/>
          <w:numId w:val="1027"/>
        </w:numPr>
      </w:pPr>
      <w:r>
        <w:rPr>
          <w:bCs/>
          <w:b/>
        </w:rPr>
        <w:t xml:space="preserve">Der vollständige EU-Plattformstack existiert und ist produktionsreif.</w:t>
      </w:r>
      <w:r>
        <w:t xml:space="preserve"> </w:t>
      </w:r>
      <w:r>
        <w:t xml:space="preserve">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numPr>
          <w:ilvl w:val="0"/>
          <w:numId w:val="1027"/>
        </w:numPr>
      </w:pPr>
      <w:r>
        <w:rPr>
          <w:bCs/>
          <w:b/>
        </w:rPr>
        <w:t xml:space="preserve">Europäischer Behördenzugriff ist strukturell anders als US-Zugriff</w:t>
      </w:r>
      <w:r>
        <w:t xml:space="preserve"> </w:t>
      </w:r>
      <w:r>
        <w:t xml:space="preserve">— nicht weil Europa besser ist, sondern weil die e-Evidence-VO an Verhältnismäßigkeit, unabhängige Gerichte und Grundrechtsschutz für alle Betroffenen gebunden ist. FISA § 702 und NSL sind das nicht.</w:t>
      </w:r>
    </w:p>
    <w:p>
      <w:pPr>
        <w:numPr>
          <w:ilvl w:val="0"/>
          <w:numId w:val="1027"/>
        </w:numPr>
      </w:pPr>
      <w:r>
        <w:rPr>
          <w:bCs/>
          <w:b/>
        </w:rPr>
        <w:t xml:space="preserve">Ein EU-US Executive Agreement ist juristisch möglich</w:t>
      </w:r>
      <w:r>
        <w:t xml:space="preserve"> </w:t>
      </w:r>
      <w:r>
        <w:t xml:space="preserve">— der CLOUD Act hat den Mechanismus eingebaut, das UK hat ihn 2019 genutzt. Aber: seit sieben Jahren keine EU-Einigung, weil die USA FISA § 702 und NSL nicht einschränken wollen.</w:t>
      </w:r>
    </w:p>
    <w:p>
      <w:pPr>
        <w:numPr>
          <w:ilvl w:val="0"/>
          <w:numId w:val="1027"/>
        </w:numPr>
      </w:pPr>
      <w:r>
        <w:rPr>
          <w:bCs/>
          <w:b/>
        </w:rPr>
        <w:t xml:space="preserve">151 Millionen Euro</w:t>
      </w:r>
      <w:r>
        <w:t xml:space="preserve"> </w:t>
      </w:r>
      <w:r>
        <w:t xml:space="preserve">investiert Big Tech jährlich in EU-Lobbyarbeit — 19-mal mehr als die Automobilindustrie. Dieser strukturelle Vorteil prägt die Regulierungslandschaft direkt.</w:t>
      </w:r>
    </w:p>
    <w:p>
      <w:pPr>
        <w:numPr>
          <w:ilvl w:val="0"/>
          <w:numId w:val="1027"/>
        </w:numPr>
      </w:pPr>
      <w:r>
        <w:rPr>
          <w:bCs/>
          <w:b/>
        </w:rPr>
        <w:t xml:space="preserve">Clientseitige Verschlüsselung (HYOK) schützt bei statischen Datenspeichern</w:t>
      </w:r>
      <w:r>
        <w:t xml:space="preserve"> </w:t>
      </w:r>
      <w:r>
        <w:t xml:space="preserve">— nicht bei KI, E-Mail, SharePoint oder SaaS. Die Grenze liegt bei</w:t>
      </w:r>
      <w:r>
        <w:t xml:space="preserve"> </w:t>
      </w:r>
      <w:r>
        <w:t xml:space="preserve">“</w:t>
      </w:r>
      <w:r>
        <w:t xml:space="preserve">Data in Use</w:t>
      </w:r>
      <w:r>
        <w:t xml:space="preserve">”</w:t>
      </w:r>
      <w:r>
        <w:t xml:space="preserve">.</w:t>
      </w:r>
    </w:p>
    <w:p>
      <w:pPr>
        <w:numPr>
          <w:ilvl w:val="0"/>
          <w:numId w:val="1027"/>
        </w:numPr>
      </w:pPr>
      <w:r>
        <w:rPr>
          <w:bCs/>
          <w:b/>
        </w:rPr>
        <w:t xml:space="preserve">Kein europäischer Anbieter ist heute ein echter Hyperscaler</w:t>
      </w:r>
      <w:r>
        <w:t xml:space="preserve"> </w:t>
      </w:r>
      <w:r>
        <w:t xml:space="preserve">— aber die Frage ist nicht</w:t>
      </w:r>
      <w:r>
        <w:t xml:space="preserve"> </w:t>
      </w:r>
      <w:r>
        <w:t xml:space="preserve">“</w:t>
      </w:r>
      <w:r>
        <w:t xml:space="preserve">kann STACKIT wie AWS skalieren?</w:t>
      </w:r>
      <w:r>
        <w:t xml:space="preserve">”</w:t>
      </w:r>
      <w:r>
        <w:t xml:space="preserve">, sondern</w:t>
      </w:r>
      <w:r>
        <w:t xml:space="preserve"> </w:t>
      </w:r>
      <w:r>
        <w:t xml:space="preserve">“</w:t>
      </w:r>
      <w:r>
        <w:t xml:space="preserve">braucht eine GKV das überhaupt?</w:t>
      </w:r>
      <w:r>
        <w:t xml:space="preserve">”</w:t>
      </w:r>
      <w:r>
        <w:t xml:space="preserve"> </w:t>
      </w:r>
      <w:r>
        <w:t xml:space="preserve">STACKIT investiert 11 Milliarden Euro und wird 2027 ausreichend sein.</w:t>
      </w:r>
    </w:p>
    <w:p>
      <w:pPr>
        <w:numPr>
          <w:ilvl w:val="0"/>
          <w:numId w:val="1027"/>
        </w:numPr>
      </w:pPr>
      <w:r>
        <w:rPr>
          <w:bCs/>
          <w:b/>
        </w:rPr>
        <w:t xml:space="preserve">Vier Souveränitätsstufen, nicht zwei:</w:t>
      </w:r>
      <w:r>
        <w:t xml:space="preserve"> </w:t>
      </w:r>
      <w:r>
        <w:t xml:space="preserve">Full Isolation (plusserver, Cloud Temple, EU-Open-Source-Stack) → Operator-Modell (Delos, S3NS) → Hyperscaler Sovereign (AWS ESC, Azure EU Boundary) → Sovereignty Washing (AWS Frankfurt, Azure DE). Für KRITIS-Gesundheitsdaten: mindestens Operator-Modell. Der Maßstab für jede Stufe ist nicht</w:t>
      </w:r>
      <w:r>
        <w:t xml:space="preserve"> </w:t>
      </w:r>
      <w:r>
        <w:t xml:space="preserve">“</w:t>
      </w:r>
      <w:r>
        <w:t xml:space="preserve">Verbündeter oder nicht</w:t>
      </w:r>
      <w:r>
        <w:t xml:space="preserve">”</w:t>
      </w:r>
      <w:r>
        <w:t xml:space="preserve"> </w:t>
      </w:r>
      <w:r>
        <w:t xml:space="preserve">— sondern</w:t>
      </w:r>
      <w:r>
        <w:t xml:space="preserve"> </w:t>
      </w:r>
      <w:r>
        <w:t xml:space="preserve">“</w:t>
      </w:r>
      <w:r>
        <w:t xml:space="preserve">rechtsstaatlich gebunden oder nicht.</w:t>
      </w:r>
      <w:r>
        <w:t xml:space="preserve">”</w:t>
      </w:r>
    </w:p>
    <w:p>
      <w:pPr>
        <w:numPr>
          <w:ilvl w:val="0"/>
          <w:numId w:val="1027"/>
        </w:numPr>
      </w:pPr>
      <w:r>
        <w:rPr>
          <w:bCs/>
          <w:b/>
        </w:rPr>
        <w:t xml:space="preserve">Patienten können klagen — und die Haftung erreicht die Leitung auf drei Wegen.</w:t>
      </w:r>
      <w:r>
        <w:t xml:space="preserve"> </w:t>
      </w:r>
      <w:r>
        <w:t xml:space="preserve">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r>
        <w:pict>
          <v:rect style="width:0;height:1.5pt" o:hralign="center" o:hrstd="t" o:hr="t"/>
        </w:pict>
      </w:r>
    </w:p>
    <w:bookmarkEnd w:id="165"/>
    <w:bookmarkStart w:id="183" w:name="X88b6d81237f7fe71994d0aa29b3add0f0378d78"/>
    <w:p>
      <w:pPr>
        <w:pStyle w:val="Heading2"/>
      </w:pPr>
      <w:r>
        <w:t xml:space="preserve">19. Quellenverzeichnis</w:t>
      </w:r>
    </w:p>
    <w:bookmarkStart w:id="166" w:name="gesetzestexte-primärquellen"/>
    <w:p>
      <w:pPr>
        <w:pStyle w:val="Heading3"/>
      </w:pPr>
      <w:r>
        <w:t xml:space="preserve">Gesetzestexte &amp; Primärquellen</w:t>
      </w:r>
    </w:p>
    <w:p>
      <w:pPr>
        <w:numPr>
          <w:ilvl w:val="0"/>
          <w:numId w:val="1028"/>
        </w:numPr>
        <w:pStyle w:val="Compact"/>
      </w:pPr>
      <w:r>
        <w:t xml:space="preserve">[1] US CLOUD Act (18 U.S.C. § 2713), Volltext: https://www.congress.gov/bill/115th-congress/house-bill/4943/text</w:t>
      </w:r>
    </w:p>
    <w:p>
      <w:pPr>
        <w:numPr>
          <w:ilvl w:val="0"/>
          <w:numId w:val="1028"/>
        </w:numPr>
        <w:pStyle w:val="Compact"/>
      </w:pPr>
      <w:r>
        <w:t xml:space="preserve">[2] Gutachten Universität Köln für BMI (März 2025): https://datenrecht.ch/us-zugriffsbefugnisse-auf-daten-in-der-cloud-gutachten-uni-koeln-vom-maerz-2025/</w:t>
      </w:r>
    </w:p>
    <w:p>
      <w:pPr>
        <w:numPr>
          <w:ilvl w:val="0"/>
          <w:numId w:val="1028"/>
        </w:numPr>
        <w:pStyle w:val="Compact"/>
      </w:pPr>
      <w:r>
        <w:t xml:space="preserve">[3] Stiftung Datenschutz: Microsoft kann Zugriff nicht ausschließen (Juli 2025): https://stiftungdatenschutz.org/veroeffentlichungen/datenschutz-im-fokus/datenschutz-im-fokus-detailansicht/us-cloud-act-microsoft-kann-zugriff-durch-us-behoerden-nicht-ausschliessen-600</w:t>
      </w:r>
    </w:p>
    <w:p>
      <w:pPr>
        <w:numPr>
          <w:ilvl w:val="0"/>
          <w:numId w:val="1028"/>
        </w:numPr>
        <w:pStyle w:val="Compact"/>
      </w:pPr>
      <w:r>
        <w:t xml:space="preserve">[4] OVHcloud CLOUD Act FAQ: https://us.ovhcloud.com/legal/faqs/cloud-act/</w:t>
      </w:r>
    </w:p>
    <w:p>
      <w:pPr>
        <w:numPr>
          <w:ilvl w:val="0"/>
          <w:numId w:val="1028"/>
        </w:numPr>
        <w:pStyle w:val="Compact"/>
      </w:pPr>
      <w:r>
        <w:t xml:space="preserve">[5] Wissenschaftlicher Dienst Bundestag WD 3-105-23 (2024): https://www.bundestag.de/resource/blob/990440/baf5c0d018ff7cdbfc08edf0f4ce6e64/WD-3-105-23-pdf.pdf</w:t>
      </w:r>
    </w:p>
    <w:bookmarkEnd w:id="166"/>
    <w:bookmarkStart w:id="167" w:name="dsgvo-konflikt-393-sgb-v"/>
    <w:p>
      <w:pPr>
        <w:pStyle w:val="Heading3"/>
      </w:pPr>
      <w:r>
        <w:t xml:space="preserve">DSGVO-Konflikt &amp; § 393 SGB V</w:t>
      </w:r>
    </w:p>
    <w:p>
      <w:pPr>
        <w:numPr>
          <w:ilvl w:val="0"/>
          <w:numId w:val="1029"/>
        </w:numPr>
        <w:pStyle w:val="Compact"/>
      </w:pPr>
      <w:r>
        <w:t xml:space="preserve">[6] Datenschutz-Notizen: § 393 SGB V Cloud-Regelungen ab Juli 2024: https://www.datenschutz-notizen.de/cloud-computing-im-gesundheitswesen-neue-regelungen-ab-juli-2024-1648899/</w:t>
      </w:r>
    </w:p>
    <w:p>
      <w:pPr>
        <w:numPr>
          <w:ilvl w:val="0"/>
          <w:numId w:val="1029"/>
        </w:numPr>
        <w:pStyle w:val="Compact"/>
      </w:pPr>
      <w:r>
        <w:t xml:space="preserve">[7] Heise: Kanada-Urteil — OVHcloud muss europäische Serverdaten herausgeben (2024): https://www.heise.de/news/Kanadisches-Gericht-OVHcloud-aus-Frankreich-muss-Nutzerdaten-herausgeben-11092024.html</w:t>
      </w:r>
    </w:p>
    <w:p>
      <w:pPr>
        <w:numPr>
          <w:ilvl w:val="0"/>
          <w:numId w:val="1029"/>
        </w:numPr>
        <w:pStyle w:val="Compact"/>
      </w:pPr>
      <w:r>
        <w:t xml:space="preserve">[8] LUTZ ABEL: US Cloud Act — Gefahr für den Datenschutz in Europa: https://www.lutzabel.com/artikel/20201009-der-us-cloud-act-eine-gefahr-fuer-den-datenschutz-europa/</w:t>
      </w:r>
    </w:p>
    <w:bookmarkEnd w:id="167"/>
    <w:bookmarkStart w:id="168" w:name="anbieterbewertung"/>
    <w:p>
      <w:pPr>
        <w:pStyle w:val="Heading3"/>
      </w:pPr>
      <w:r>
        <w:t xml:space="preserve">Anbieterbewertung</w:t>
      </w:r>
    </w:p>
    <w:p>
      <w:pPr>
        <w:numPr>
          <w:ilvl w:val="0"/>
          <w:numId w:val="1030"/>
        </w:numPr>
        <w:pStyle w:val="Compact"/>
      </w:pPr>
      <w:r>
        <w:t xml:space="preserve">[9] eRecht24: Datenschutz bei Hetzner — US-Verbindung über Ashburn/Virginia: https://www.e-recht24.de/dsg/12970-hetzner.html</w:t>
      </w:r>
    </w:p>
    <w:p>
      <w:pPr>
        <w:numPr>
          <w:ilvl w:val="0"/>
          <w:numId w:val="1030"/>
        </w:numPr>
        <w:pStyle w:val="Compact"/>
      </w:pPr>
      <w:r>
        <w:t xml:space="preserve">[10] Hetzner Datenschutz-Docs — Standorte und Datenflüsse: https://docs.hetzner.com/de/general/general-terms-and-conditions/data-privacy-faq/</w:t>
      </w:r>
    </w:p>
    <w:p>
      <w:pPr>
        <w:numPr>
          <w:ilvl w:val="0"/>
          <w:numId w:val="1030"/>
        </w:numPr>
        <w:pStyle w:val="Compact"/>
      </w:pPr>
      <w:r>
        <w:t xml:space="preserve">[11] STACKIT CLOUD Act Statement: https://stackit.com/en/learn/knowledge/cloud-act</w:t>
      </w:r>
    </w:p>
    <w:p>
      <w:pPr>
        <w:numPr>
          <w:ilvl w:val="0"/>
          <w:numId w:val="1030"/>
        </w:numPr>
        <w:pStyle w:val="Compact"/>
      </w:pPr>
      <w:r>
        <w:t xml:space="preserve">[12] STACKIT-CEO Wagner:</w:t>
      </w:r>
      <w:r>
        <w:t xml:space="preserve"> </w:t>
      </w:r>
      <w:r>
        <w:t xml:space="preserve">“</w:t>
      </w:r>
      <w:r>
        <w:t xml:space="preserve">Keine US-Investitionen</w:t>
      </w:r>
      <w:r>
        <w:t xml:space="preserve">”</w:t>
      </w:r>
      <w:r>
        <w:t xml:space="preserve"> </w:t>
      </w:r>
      <w:r>
        <w:t xml:space="preserve">— it-daily.net (März 2026): https://www.it-daily.net/it-management/stackit-hyperscaler</w:t>
      </w:r>
    </w:p>
    <w:p>
      <w:pPr>
        <w:numPr>
          <w:ilvl w:val="0"/>
          <w:numId w:val="1030"/>
        </w:numPr>
        <w:pStyle w:val="Compact"/>
      </w:pPr>
      <w:r>
        <w:t xml:space="preserve">[13] Schwarz-Gruppe Wikipedia: Gesellschaftsrechtliche Struktur: https://de.wikipedia.org/wiki/Schwarz-Gruppe</w:t>
      </w:r>
    </w:p>
    <w:p>
      <w:pPr>
        <w:numPr>
          <w:ilvl w:val="0"/>
          <w:numId w:val="1030"/>
        </w:numPr>
        <w:pStyle w:val="Compact"/>
      </w:pPr>
      <w:r>
        <w:t xml:space="preserve">[14] Lidl Wikipedia: US-Filialen (Lidl Stiftung &amp; Co. KG): https://de.wikipedia.org/wiki/Lidl</w:t>
      </w:r>
    </w:p>
    <w:p>
      <w:pPr>
        <w:numPr>
          <w:ilvl w:val="0"/>
          <w:numId w:val="1030"/>
        </w:numPr>
        <w:pStyle w:val="Compact"/>
      </w:pPr>
      <w:r>
        <w:t xml:space="preserve">[15] IONOS BMI-Gutachten Referenz (René Floitgraf, Dez. 2025): https://www.rene-floitgraf.de/2025/12/15/digitale-souveraenitaet-und-grenzueberschreitende-datenzugriffe/</w:t>
      </w:r>
    </w:p>
    <w:p>
      <w:pPr>
        <w:numPr>
          <w:ilvl w:val="0"/>
          <w:numId w:val="1030"/>
        </w:numPr>
        <w:pStyle w:val="Compact"/>
      </w:pPr>
      <w:r>
        <w:t xml:space="preserve">[16] CISPE: No such thing as</w:t>
      </w:r>
      <w:r>
        <w:t xml:space="preserve"> </w:t>
      </w:r>
      <w:r>
        <w:t xml:space="preserve">“</w:t>
      </w:r>
      <w:r>
        <w:t xml:space="preserve">75% Sovereign</w:t>
      </w:r>
      <w:r>
        <w:t xml:space="preserve">”</w:t>
      </w:r>
      <w:r>
        <w:t xml:space="preserve"> </w:t>
      </w:r>
      <w:r>
        <w:t xml:space="preserve">— EU Cloud Sovereignty Framework critique (Okt. 2025): https://www.cispe.cloud/no-such-thing-as-75-organic/</w:t>
      </w:r>
    </w:p>
    <w:p>
      <w:pPr>
        <w:numPr>
          <w:ilvl w:val="0"/>
          <w:numId w:val="1030"/>
        </w:numPr>
        <w:pStyle w:val="Compact"/>
      </w:pPr>
      <w:r>
        <w:t xml:space="preserve">[17] CISPE offener Brief: Cloud-CEOs warnen vor Sovereignty-Washing — CADA (März 2026): https://www.cispe.cloud/cloud-sovereignty-letter-march-2026</w:t>
      </w:r>
    </w:p>
    <w:bookmarkEnd w:id="168"/>
    <w:bookmarkStart w:id="169" w:name="hyperscaling"/>
    <w:p>
      <w:pPr>
        <w:pStyle w:val="Heading3"/>
      </w:pPr>
      <w:r>
        <w:t xml:space="preserve">Hyperscaling</w:t>
      </w:r>
    </w:p>
    <w:p>
      <w:pPr>
        <w:numPr>
          <w:ilvl w:val="0"/>
          <w:numId w:val="1031"/>
        </w:numPr>
        <w:pStyle w:val="Compact"/>
      </w:pPr>
      <w:r>
        <w:t xml:space="preserve">[18] STACKIT vs. AWS Vergleich (AOE, Aug. 2025): https://www.aoe.com/de/blog/amazon-web-services-aws-vs-stackit-which-cloud-leads-the-pack</w:t>
      </w:r>
    </w:p>
    <w:p>
      <w:pPr>
        <w:numPr>
          <w:ilvl w:val="0"/>
          <w:numId w:val="1031"/>
        </w:numPr>
        <w:pStyle w:val="Compact"/>
      </w:pPr>
      <w:r>
        <w:t xml:space="preserve">[19] Deutsche Cloud — Hyperscaler-Alternative oder Nischenlösung? (Exxeta, Mai 2025): https://exxeta.com/blog/deutsche-cloud-digitale-souveraenitaet-datenschutz-alternative-aws</w:t>
      </w:r>
    </w:p>
    <w:p>
      <w:pPr>
        <w:numPr>
          <w:ilvl w:val="0"/>
          <w:numId w:val="1031"/>
        </w:numPr>
        <w:pStyle w:val="Compact"/>
      </w:pPr>
      <w:r>
        <w:t xml:space="preserve">[20] STACKIT — Lidl-Cloud eine Alternative zu Hyperscalern? (cloudcomputing-insider.de): https://www.cloudcomputing-insider.de/ist-die-lidl-cloud-eine-alternative-zu-den-hyperscalern-a-f0f841d498dadd66e5baffb91fac836e/</w:t>
      </w:r>
    </w:p>
    <w:p>
      <w:pPr>
        <w:numPr>
          <w:ilvl w:val="0"/>
          <w:numId w:val="1031"/>
        </w:numPr>
        <w:pStyle w:val="Compact"/>
      </w:pPr>
      <w:r>
        <w:t xml:space="preserve">[21] STACKIT: Europas größter Hyperscaler (it-daily.net, März 2026): https://www.it-daily.net/it-management/stackit-hyperscaler</w:t>
      </w:r>
    </w:p>
    <w:bookmarkEnd w:id="169"/>
    <w:bookmarkStart w:id="170" w:name="executive-agreement-bilaterales-abkommen"/>
    <w:p>
      <w:pPr>
        <w:pStyle w:val="Heading3"/>
      </w:pPr>
      <w:r>
        <w:t xml:space="preserve">Executive Agreement / Bilaterales Abkommen</w:t>
      </w:r>
    </w:p>
    <w:p>
      <w:pPr>
        <w:numPr>
          <w:ilvl w:val="0"/>
          <w:numId w:val="1032"/>
        </w:numPr>
        <w:pStyle w:val="Compact"/>
      </w:pPr>
      <w:r>
        <w:t xml:space="preserve">[22] Haufe: Behördenzugriff — CLOUD Act, DSGVO, E-Evidence-VO: https://www.haufe.de/recht/weitere-rechtsgebiete/strafrecht-oeffentl-recht/behoerdenzugriff-auf-nutzerdaten-cloud-act-dsgvo-e-evidence-vo_204_500808.html</w:t>
      </w:r>
    </w:p>
    <w:p>
      <w:pPr>
        <w:numPr>
          <w:ilvl w:val="0"/>
          <w:numId w:val="1032"/>
        </w:numPr>
        <w:pStyle w:val="Compact"/>
      </w:pPr>
      <w:r>
        <w:t xml:space="preserve">[23] Xpert.Digital: Warum der US CLOUD Act ein Problem für Europa ist (April 2025): https://xpert.digital/us-cloud-act/</w:t>
      </w:r>
    </w:p>
    <w:p>
      <w:pPr>
        <w:numPr>
          <w:ilvl w:val="0"/>
          <w:numId w:val="1032"/>
        </w:numPr>
        <w:pStyle w:val="Compact"/>
      </w:pPr>
      <w:r>
        <w:t xml:space="preserve">[24] Kiteworks: EU Data Act vs. DSGVO vs. CLOUD Act (März 2026): https://www.kiteworks.com/de/dsgvo-compliance/eu-data-act-dsgvo-cloud-konflikt/</w:t>
      </w:r>
    </w:p>
    <w:p>
      <w:pPr>
        <w:numPr>
          <w:ilvl w:val="0"/>
          <w:numId w:val="1032"/>
        </w:numPr>
        <w:pStyle w:val="Compact"/>
      </w:pPr>
      <w:r>
        <w:t xml:space="preserve">[25] LUTZ ABEL: UK-Abkommen mit USA (Oktober 2019): https://www.lutzabel.com/artikel/20201009-der-us-cloud-act-eine-gefahr-fuer-den-datenschutz-europa/</w:t>
      </w:r>
    </w:p>
    <w:bookmarkEnd w:id="170"/>
    <w:bookmarkStart w:id="171" w:name="data-privacy-framework"/>
    <w:p>
      <w:pPr>
        <w:pStyle w:val="Heading3"/>
      </w:pPr>
      <w:r>
        <w:t xml:space="preserve">Data Privacy Framework</w:t>
      </w:r>
    </w:p>
    <w:p>
      <w:pPr>
        <w:numPr>
          <w:ilvl w:val="0"/>
          <w:numId w:val="1033"/>
        </w:numPr>
        <w:pStyle w:val="Compact"/>
      </w:pPr>
      <w:r>
        <w:t xml:space="preserve">[26] Netzbegrünung: Warum europäischer Datenschutz mit US-Software schwierig ist (Juni 2025): https://netzbegruenung.de/blog/warum-europaeischer-datenschutz-mit-us-softwareanbietern-schwierig-ist-was-man-ueber-das-data-privacy-framework-wissen-sollte/</w:t>
      </w:r>
    </w:p>
    <w:bookmarkEnd w:id="171"/>
    <w:bookmarkStart w:id="172" w:name="lobbyarbeit"/>
    <w:p>
      <w:pPr>
        <w:pStyle w:val="Heading3"/>
      </w:pPr>
      <w:r>
        <w:t xml:space="preserve">Lobbyarbeit</w:t>
      </w:r>
    </w:p>
    <w:p>
      <w:pPr>
        <w:numPr>
          <w:ilvl w:val="0"/>
          <w:numId w:val="1034"/>
        </w:numPr>
        <w:pStyle w:val="Compact"/>
      </w:pPr>
      <w:r>
        <w:t xml:space="preserve">[27] LobbyControl/CEO: Tech-Branche 151 Mio. EUR EU-Lobbyarbeit (Okt. 2025): https://www.lobbycontrol.de/pressemitteilung/enthuellt-tech-branche-investiert-rekordsumme-in-eu-lobbyarbeit-ausgaben-steigen-auf-151-mio-e-122994/</w:t>
      </w:r>
    </w:p>
    <w:p>
      <w:pPr>
        <w:numPr>
          <w:ilvl w:val="0"/>
          <w:numId w:val="1034"/>
        </w:numPr>
        <w:pStyle w:val="Compact"/>
      </w:pPr>
      <w:r>
        <w:t xml:space="preserve">[28] Netzpolitik: Big Tech — Rekordsumme EU-Lobbyarbeit (Okt. 2025): https://netzpolitik.org/2025/gegen-regulierung-big-tech-steckt-so-viel-geld-in-eu-lobbyarbeit-wie-noch-nie/</w:t>
      </w:r>
    </w:p>
    <w:p>
      <w:pPr>
        <w:numPr>
          <w:ilvl w:val="0"/>
          <w:numId w:val="1034"/>
        </w:numPr>
        <w:pStyle w:val="Compact"/>
      </w:pPr>
      <w:r>
        <w:t xml:space="preserve">[29] LobbyControl: Google-Lobbypapier an Bundesregierung (Nov. 2025): https://www.lobbycontrol.de/pressemitteilung/digitalgipfel-weniger-datenschutz-mehr-macht-fuer-big-tech-123225/</w:t>
      </w:r>
    </w:p>
    <w:p>
      <w:pPr>
        <w:numPr>
          <w:ilvl w:val="0"/>
          <w:numId w:val="1034"/>
        </w:numPr>
        <w:pStyle w:val="Compact"/>
      </w:pPr>
      <w:r>
        <w:t xml:space="preserve">[30] Xpert.Digital: Mehr Lobbyisten als Abgeordnete: https://xpert.digital/mehr-lobbyisten-als-abgeordnete/</w:t>
      </w:r>
    </w:p>
    <w:bookmarkEnd w:id="172"/>
    <w:bookmarkStart w:id="173" w:name="verschlüsselung"/>
    <w:p>
      <w:pPr>
        <w:pStyle w:val="Heading3"/>
      </w:pPr>
      <w:r>
        <w:t xml:space="preserve">Verschlüsselung</w:t>
      </w:r>
    </w:p>
    <w:p>
      <w:pPr>
        <w:numPr>
          <w:ilvl w:val="0"/>
          <w:numId w:val="1035"/>
        </w:numPr>
        <w:pStyle w:val="Compact"/>
      </w:pPr>
      <w:r>
        <w:t xml:space="preserve">[31] BYOK vs HYOK — Key Ownership vs. Key Management (Kiteworks): https://www.kiteworks.com/gdpr-compliance/customer-owned-encryption-key-control-data-privacy-compliance/</w:t>
      </w:r>
    </w:p>
    <w:p>
      <w:pPr>
        <w:numPr>
          <w:ilvl w:val="0"/>
          <w:numId w:val="1035"/>
        </w:numPr>
        <w:pStyle w:val="Compact"/>
      </w:pPr>
      <w:r>
        <w:t xml:space="preserve">[32] scip AG: Datenverschlüsselung in der Cloud — BYOK, BYOE, HYOK: https://www.scip.ch/?labs.20201105</w:t>
      </w:r>
    </w:p>
    <w:p>
      <w:pPr>
        <w:numPr>
          <w:ilvl w:val="0"/>
          <w:numId w:val="1035"/>
        </w:numPr>
        <w:pStyle w:val="Compact"/>
      </w:pPr>
      <w:r>
        <w:t xml:space="preserve">[33] Security-Insider: Verschlüsselung und Tokenisierung reichen nicht: https://www.security-insider.de/verschluesselung-und-tokenisierung-reichen-nicht-a-847984/</w:t>
      </w:r>
    </w:p>
    <w:p>
      <w:pPr>
        <w:numPr>
          <w:ilvl w:val="0"/>
          <w:numId w:val="1035"/>
        </w:numPr>
        <w:pStyle w:val="Compact"/>
      </w:pPr>
      <w:r>
        <w:t xml:space="preserve">[34] Thales: Cloud Encryption — BYOK und HYOK erklärt: https://cpl.thalesgroup.com/blog/encryption/cloud-encryption-key-management-byok-hyok</w:t>
      </w:r>
    </w:p>
    <w:bookmarkEnd w:id="173"/>
    <w:bookmarkStart w:id="174" w:name="globaler-vergleich"/>
    <w:p>
      <w:pPr>
        <w:pStyle w:val="Heading3"/>
      </w:pPr>
      <w:r>
        <w:t xml:space="preserve">Globaler Vergleich</w:t>
      </w:r>
    </w:p>
    <w:p>
      <w:pPr>
        <w:numPr>
          <w:ilvl w:val="0"/>
          <w:numId w:val="1036"/>
        </w:numPr>
        <w:pStyle w:val="Compact"/>
      </w:pPr>
      <w:r>
        <w:t xml:space="preserve">[35] India sovereign cloud — DPDP Act und RBI-Sanktionen: https://techobserver.in/news/opinion/india-cloud-sovereignty-316729/</w:t>
      </w:r>
    </w:p>
    <w:p>
      <w:pPr>
        <w:numPr>
          <w:ilvl w:val="0"/>
          <w:numId w:val="1036"/>
        </w:numPr>
        <w:pStyle w:val="Compact"/>
      </w:pPr>
      <w:r>
        <w:t xml:space="preserve">[36] Japan: Sakura Internet Government Cloud (Digital Agency): https://www.digital.go.jp/en/policies/gov_cloud</w:t>
      </w:r>
    </w:p>
    <w:p>
      <w:pPr>
        <w:numPr>
          <w:ilvl w:val="0"/>
          <w:numId w:val="1036"/>
        </w:numPr>
        <w:pStyle w:val="Compact"/>
      </w:pPr>
      <w:r>
        <w:t xml:space="preserve">[37] Japan: ESPA und Sovereign Cloud Strategy: https://itbusinesstoday.com/tech/cloud/japans-sovereign-cloud-strategy-balancing-innovation-with-national-security/</w:t>
      </w:r>
    </w:p>
    <w:p>
      <w:pPr>
        <w:numPr>
          <w:ilvl w:val="0"/>
          <w:numId w:val="1036"/>
        </w:numPr>
        <w:pStyle w:val="Compact"/>
      </w:pPr>
      <w:r>
        <w:t xml:space="preserve">[38] Saudi Arabia: 18 Mrd. USD RZ-Strategie: https://stlpartners.com/articles/data-centres/sovereign-ai/</w:t>
      </w:r>
    </w:p>
    <w:p>
      <w:pPr>
        <w:numPr>
          <w:ilvl w:val="0"/>
          <w:numId w:val="1036"/>
        </w:numPr>
        <w:pStyle w:val="Compact"/>
      </w:pPr>
      <w:r>
        <w:t xml:space="preserve">[39] UAE: OneCloud Sovereign Platform (Oracle Alloy): https://www.oracle.com/middleeast/news/announcement/blog/new-sovereign-cloud-for-an-ai-future-2025-10-03/</w:t>
      </w:r>
    </w:p>
    <w:p>
      <w:pPr>
        <w:numPr>
          <w:ilvl w:val="0"/>
          <w:numId w:val="1036"/>
        </w:numPr>
        <w:pStyle w:val="Compact"/>
      </w:pPr>
      <w:r>
        <w:t xml:space="preserve">[40] Israel: Project Nimbus — Wikipedia: https://en.wikipedia.org/wiki/Project_Nimbus</w:t>
      </w:r>
    </w:p>
    <w:p>
      <w:pPr>
        <w:numPr>
          <w:ilvl w:val="0"/>
          <w:numId w:val="1036"/>
        </w:numPr>
        <w:pStyle w:val="Compact"/>
      </w:pPr>
      <w:r>
        <w:t xml:space="preserve">[41] Israel: Microsoft Kill Switch — Israel Democracy Institute (Sept. 2025): https://en.idi.org.il/articles/61802</w:t>
      </w:r>
    </w:p>
    <w:p>
      <w:pPr>
        <w:numPr>
          <w:ilvl w:val="0"/>
          <w:numId w:val="1036"/>
        </w:numPr>
        <w:pStyle w:val="Compact"/>
      </w:pPr>
      <w:r>
        <w:t xml:space="preserve">[42] Israel: Nimbus Wink-Mechanismus (+972 Magazine, Febr. 2026): https://www.972mag.com/project-nimbus-contract-google-amazon-israel/</w:t>
      </w:r>
    </w:p>
    <w:p>
      <w:pPr>
        <w:numPr>
          <w:ilvl w:val="0"/>
          <w:numId w:val="1036"/>
        </w:numPr>
        <w:pStyle w:val="Compact"/>
      </w:pPr>
      <w:r>
        <w:t xml:space="preserve">[43] Russia: Public Cloud Market (DataCube Research): https://www.datacuberesearch.com/russia-public-cloud-market</w:t>
      </w:r>
    </w:p>
    <w:p>
      <w:pPr>
        <w:numPr>
          <w:ilvl w:val="0"/>
          <w:numId w:val="1036"/>
        </w:numPr>
        <w:pStyle w:val="Compact"/>
      </w:pPr>
      <w:r>
        <w:t xml:space="preserve">[44] Russia: Sovereign Internet Law (DGAP): https://dgap.org/en/research/publications/russias-quest-digital-sovereignty</w:t>
      </w:r>
    </w:p>
    <w:p>
      <w:pPr>
        <w:numPr>
          <w:ilvl w:val="0"/>
          <w:numId w:val="1036"/>
        </w:numPr>
        <w:pStyle w:val="Compact"/>
      </w:pPr>
      <w:r>
        <w:t xml:space="preserve">[45] Africa: Data Sovereignty Trap (New America, Juli 2025): https://www.newamerica.org/planetary-politics/briefs/africas-digital-sovereignty-trap/</w:t>
      </w:r>
    </w:p>
    <w:p>
      <w:pPr>
        <w:numPr>
          <w:ilvl w:val="0"/>
          <w:numId w:val="1036"/>
        </w:numPr>
        <w:pStyle w:val="Compact"/>
      </w:pPr>
      <w:r>
        <w:t xml:space="preserve">[46] Asia-Pacific Sovereign Cloud Rise (März 2026): https://stealthcloud.ai/analysis/sovereign-cloud-apac-rise/</w:t>
      </w:r>
    </w:p>
    <w:p>
      <w:pPr>
        <w:numPr>
          <w:ilvl w:val="0"/>
          <w:numId w:val="1036"/>
        </w:numPr>
        <w:pStyle w:val="Compact"/>
      </w:pPr>
      <w:r>
        <w:t xml:space="preserve">[47] China: OpenStack — China Mobile BigCloud: https://www.openstack.org/marketplace/hosted-private-clouds/china-mobile/bigcloud</w:t>
      </w:r>
    </w:p>
    <w:bookmarkEnd w:id="174"/>
    <w:bookmarkStart w:id="175" w:name="operator-modell-s3ns-delos-cloud"/>
    <w:p>
      <w:pPr>
        <w:pStyle w:val="Heading3"/>
      </w:pPr>
      <w:r>
        <w:t xml:space="preserve">Operator-Modell (S3NS, Delos Cloud)</w:t>
      </w:r>
    </w:p>
    <w:p>
      <w:pPr>
        <w:numPr>
          <w:ilvl w:val="0"/>
          <w:numId w:val="1037"/>
        </w:numPr>
        <w:pStyle w:val="Compact"/>
      </w:pPr>
      <w:r>
        <w:t xml:space="preserve">[48] S3NS: SecNumCloud 3.2 Qualifikation für PREMI3NS (Dez. 2025): https://www.s3ns.io/en/news/premi3ns-secnumcloud-qualification</w:t>
      </w:r>
    </w:p>
    <w:p>
      <w:pPr>
        <w:numPr>
          <w:ilvl w:val="0"/>
          <w:numId w:val="1037"/>
        </w:numPr>
        <w:pStyle w:val="Compact"/>
      </w:pPr>
      <w:r>
        <w:t xml:space="preserve">[49] S3NS Pressemitteilung BusinessWire (19. Dez. 2025): https://www.businesswire.com/news/home/20251218817208/en/S3NS-Announces-SecNumCloud-Qualification-for-PREMI3NS-its-Trusted-Cloud-Offering</w:t>
      </w:r>
    </w:p>
    <w:p>
      <w:pPr>
        <w:numPr>
          <w:ilvl w:val="0"/>
          <w:numId w:val="1037"/>
        </w:numPr>
        <w:pStyle w:val="Compact"/>
      </w:pPr>
      <w:r>
        <w:t xml:space="preserve">[50] Delos Cloud GmbH, Microsoft, Arvato Systems: finale Verträge unterzeichnet (Sep. 2024): https://news.microsoft.com/de-de/erste-souveraene-cloud-plattform-fuer-die-deutsche-verwaltung-auf-der-zielgeraden/</w:t>
      </w:r>
    </w:p>
    <w:p>
      <w:pPr>
        <w:numPr>
          <w:ilvl w:val="0"/>
          <w:numId w:val="1037"/>
        </w:numPr>
        <w:pStyle w:val="Compact"/>
      </w:pPr>
      <w:r>
        <w:t xml:space="preserve">[51] SAP: Milliardenschweres Investitionsprogramm souveräne Cloud (Sep. 2024): https://news.sap.com/germany/2024/09/sap-digitale-souveraenitaet-investitionsprogramm-cloud-angebote/</w:t>
      </w:r>
    </w:p>
    <w:p>
      <w:pPr>
        <w:numPr>
          <w:ilvl w:val="0"/>
          <w:numId w:val="1037"/>
        </w:numPr>
        <w:pStyle w:val="Compact"/>
      </w:pPr>
      <w:r>
        <w:t xml:space="preserve">[52] Computerwoche: Delos Cloud — Das kostet die digitale Souveränität (+15%): https://www.computerwoche.de/article/3833699/delos-cloud-das-kostet-die-digitale-souveranitaet.html</w:t>
      </w:r>
    </w:p>
    <w:p>
      <w:pPr>
        <w:numPr>
          <w:ilvl w:val="0"/>
          <w:numId w:val="1037"/>
        </w:numPr>
        <w:pStyle w:val="Compact"/>
      </w:pPr>
      <w:r>
        <w:t xml:space="preserve">[53] SKR: Delos Cloud als Modellprojekt?: https://skr-ag.com/de/2023/01/17/delos-cloud-als-modellprojekt/</w:t>
      </w:r>
    </w:p>
    <w:p>
      <w:pPr>
        <w:numPr>
          <w:ilvl w:val="0"/>
          <w:numId w:val="1037"/>
        </w:numPr>
        <w:pStyle w:val="Compact"/>
      </w:pPr>
      <w:r>
        <w:t xml:space="preserve">[54] Microsoft Q&amp;A: Azure status of SecNumCloud — Bleu als SecNumCloud-Weg für Microsoft: https://learn.microsoft.com/en-us/answers/questions/5590756/azure-status-of-secnumcloud-qualification-by-anssi</w:t>
      </w:r>
    </w:p>
    <w:p>
      <w:pPr>
        <w:numPr>
          <w:ilvl w:val="0"/>
          <w:numId w:val="1037"/>
        </w:numPr>
        <w:pStyle w:val="Compact"/>
      </w:pPr>
      <w:r>
        <w:t xml:space="preserve">[55] SoftwareSeni: AWS European Sovereign Cloud — Three-Layer Framework (Feb. 2026): https://www.softwareseni.com/aws-european-sovereign-cloud-and-azure-sovereign-options-assessed-against-the-three-layer-framework/</w:t>
      </w:r>
    </w:p>
    <w:bookmarkEnd w:id="175"/>
    <w:bookmarkStart w:id="176" w:name="Xbc882b09f1881c733095d2cbb5214f210ce066e"/>
    <w:p>
      <w:pPr>
        <w:pStyle w:val="Heading3"/>
      </w:pPr>
      <w:r>
        <w:t xml:space="preserve">Europäische Anbieter — vollständige Bewertung</w:t>
      </w:r>
    </w:p>
    <w:p>
      <w:pPr>
        <w:numPr>
          <w:ilvl w:val="0"/>
          <w:numId w:val="1038"/>
        </w:numPr>
        <w:pStyle w:val="Compact"/>
      </w:pPr>
      <w:r>
        <w:t xml:space="preserve">[56] Söldner IT / T Cloud Public: Vergleich 8 europäischer Cloud-Anbieter: https://public.t-cloud.com/en/blog/benefits/european-cloud-alternatives-to-hyperscalers</w:t>
      </w:r>
    </w:p>
    <w:p>
      <w:pPr>
        <w:numPr>
          <w:ilvl w:val="0"/>
          <w:numId w:val="1038"/>
        </w:numPr>
        <w:pStyle w:val="Compact"/>
      </w:pPr>
      <w:r>
        <w:t xml:space="preserve">[57] SoftwareSeni: EU-Native Cloud Providers Compared (Feb. 2026): https://www.softwareseni.com/eu-native-cloud-providers-compared-hetzner-ovhcloud-scaleway-and-t-systems/</w:t>
      </w:r>
    </w:p>
    <w:p>
      <w:pPr>
        <w:numPr>
          <w:ilvl w:val="0"/>
          <w:numId w:val="1038"/>
        </w:numPr>
        <w:pStyle w:val="Compact"/>
      </w:pPr>
      <w:r>
        <w:t xml:space="preserve">[58] European.cloud: Anbieterverzeichnis: https://european.cloud/</w:t>
      </w:r>
    </w:p>
    <w:p>
      <w:pPr>
        <w:numPr>
          <w:ilvl w:val="0"/>
          <w:numId w:val="1038"/>
        </w:numPr>
        <w:pStyle w:val="Compact"/>
      </w:pPr>
      <w:r>
        <w:t xml:space="preserve">[59] Callista Benchmark (Feb. 2026): Hetzner 14,3x Preis/Performance vs. AWS: https://www.fromeuropewithlove.eu/en/blog/european-cloud-providers-vs-aws-comparison-2026</w:t>
      </w:r>
    </w:p>
    <w:p>
      <w:pPr>
        <w:numPr>
          <w:ilvl w:val="0"/>
          <w:numId w:val="1038"/>
        </w:numPr>
        <w:pStyle w:val="Compact"/>
      </w:pPr>
      <w:r>
        <w:t xml:space="preserve">[60] EU-Kommission: Cloud Sovereignty Framework + 180 Mio. EUR Tender (Okt. 2025): https://commission.europa.eu/news-and-media/news/commission-moves-forward-cloud-sovereignty-eur-180-million-tender-2025-10-10_en</w:t>
      </w:r>
    </w:p>
    <w:p>
      <w:pPr>
        <w:numPr>
          <w:ilvl w:val="0"/>
          <w:numId w:val="1038"/>
        </w:numPr>
        <w:pStyle w:val="Compact"/>
      </w:pPr>
      <w:r>
        <w:t xml:space="preserve">[61] Broadcom: Three Predictions Sovereign Cloud 2026 — 70% US-Marktanteil: https://news.broadcom.com/sovereign-cloud/three-predictions-for-sovereign-cloud-in-2026</w:t>
      </w:r>
    </w:p>
    <w:p>
      <w:pPr>
        <w:numPr>
          <w:ilvl w:val="0"/>
          <w:numId w:val="1038"/>
        </w:numPr>
        <w:pStyle w:val="Compact"/>
      </w:pPr>
      <w:r>
        <w:t xml:space="preserve">[62] Windows News: Frankreich Health Data Hub Migration Azure → SecNumCloud 2026: https://windowsnews.ai/article/frances-health-data-hub-migration-from-azure-to-eu-cloud-sovereignty-vs-technology.401470</w:t>
      </w:r>
    </w:p>
    <w:p>
      <w:pPr>
        <w:numPr>
          <w:ilvl w:val="0"/>
          <w:numId w:val="1038"/>
        </w:numPr>
        <w:pStyle w:val="Compact"/>
      </w:pPr>
      <w:r>
        <w:t xml:space="preserve">[63] PAC Blog: S3NS Thales Google Summit 2026 — SecNumCloud-Markt Frankreich: https://sitsi.pacanalyst.com/thales-s3ns-google-summit-2026-the-trusted-cloud-shifts-to-scale/</w:t>
      </w:r>
    </w:p>
    <w:p>
      <w:pPr>
        <w:numPr>
          <w:ilvl w:val="0"/>
          <w:numId w:val="1038"/>
        </w:numPr>
        <w:pStyle w:val="Compact"/>
      </w:pPr>
      <w:r>
        <w:t xml:space="preserve">[64] Cloud Temple: SecNumCloud IaaS + PaaS, 100% französisches Eigentum: https://www.redhat.com/tracks/_pfcdn/assets/10330/contents/1096276/fbbed16f-8809-4afc-afce-b53652c5b0e2.pdf</w:t>
      </w:r>
    </w:p>
    <w:p>
      <w:pPr>
        <w:numPr>
          <w:ilvl w:val="0"/>
          <w:numId w:val="1038"/>
        </w:numPr>
        <w:pStyle w:val="Compact"/>
      </w:pPr>
      <w:r>
        <w:t xml:space="preserve">[65] OVHcloud: SecNumCloud Bare Metal Pod — Zertifizierungsdetails: https://www.ovhcloud.com/en/compliance/secnumcloud/</w:t>
      </w:r>
    </w:p>
    <w:p>
      <w:pPr>
        <w:numPr>
          <w:ilvl w:val="0"/>
          <w:numId w:val="1038"/>
        </w:numPr>
        <w:pStyle w:val="Compact"/>
      </w:pPr>
      <w:r>
        <w:t xml:space="preserve">[66] OVHcloud Summit 2025: SecNumCloud IaaS-Roadmap 2026: https://itdaily.com/blogs/cloud/ovhcloud-summit-2025/</w:t>
      </w:r>
    </w:p>
    <w:p>
      <w:pPr>
        <w:numPr>
          <w:ilvl w:val="0"/>
          <w:numId w:val="1038"/>
        </w:numPr>
        <w:pStyle w:val="Compact"/>
      </w:pPr>
      <w:r>
        <w:t xml:space="preserve">[67] Drime: 7 certified French cloud solutions 2025 — NumSpot, Outscale, Cloud Temple: https://drime.cloud/blog-posts/7-certified-french-cloud-solutions-for-your-business-in-2025</w:t>
      </w:r>
    </w:p>
    <w:p>
      <w:pPr>
        <w:numPr>
          <w:ilvl w:val="0"/>
          <w:numId w:val="1038"/>
        </w:numPr>
        <w:pStyle w:val="Compact"/>
      </w:pPr>
      <w:r>
        <w:t xml:space="preserve">[68] Xpert.Digital: Deutschlands Kampf um die Cloud — Delos vs. STACKIT: https://xpert.digital/deutschlands-kampf-um-die-cloud/</w:t>
      </w:r>
    </w:p>
    <w:p>
      <w:pPr>
        <w:numPr>
          <w:ilvl w:val="0"/>
          <w:numId w:val="1038"/>
        </w:numPr>
        <w:pStyle w:val="Compact"/>
      </w:pPr>
      <w:r>
        <w:t xml:space="preserve">[69] SoftwareSeni: Comparing European Cloud Providers — Open Source Alternatives: https://www.softwareseni.com/comparing-european-cloud-providers-and-open-source-alternatives-to-us-platforms/</w:t>
      </w:r>
    </w:p>
    <w:bookmarkEnd w:id="176"/>
    <w:bookmarkStart w:id="177" w:name="X5a8a32d5681b550831f749f3c51819428a4da8e"/>
    <w:p>
      <w:pPr>
        <w:pStyle w:val="Heading3"/>
      </w:pPr>
      <w:r>
        <w:t xml:space="preserve">Vollständiger EU-Plattformstack / Office-Souveränität</w:t>
      </w:r>
    </w:p>
    <w:p>
      <w:pPr>
        <w:numPr>
          <w:ilvl w:val="0"/>
          <w:numId w:val="1039"/>
        </w:numPr>
        <w:pStyle w:val="Compact"/>
      </w:pPr>
      <w:r>
        <w:t xml:space="preserve">[70] Nextcloud + IONOS: Nextcloud Workspace als M365-Alternative (Sept. 2025): https://nextcloud.com/blog/nextcloud-workspace-microsoft-365-alternative-by-nextcloud-and-ionos/</w:t>
      </w:r>
    </w:p>
    <w:p>
      <w:pPr>
        <w:numPr>
          <w:ilvl w:val="0"/>
          <w:numId w:val="1039"/>
        </w:numPr>
        <w:pStyle w:val="Compact"/>
      </w:pPr>
      <w:r>
        <w:t xml:space="preserve">[71] Euro-Office Launch: IONOS, Nextcloud, EuroStack Koalition (März 2026): https://nextcloud.com/blog/press_releases/industry-initiative-launches-euro-office-as-true-sovereign-office-suite/</w:t>
      </w:r>
    </w:p>
    <w:p>
      <w:pPr>
        <w:numPr>
          <w:ilvl w:val="0"/>
          <w:numId w:val="1039"/>
        </w:numPr>
        <w:pStyle w:val="Compact"/>
      </w:pPr>
      <w:r>
        <w:t xml:space="preserve">[72] TechRadar: Euro-Office — European giants launch sovereign office suite (April 2026): https://www.techradar.com/pro/watch-out-microsoft-365-european-giants-launch-euro-office-a-true-sovereign-office-suite</w:t>
      </w:r>
    </w:p>
    <w:p>
      <w:pPr>
        <w:numPr>
          <w:ilvl w:val="0"/>
          <w:numId w:val="1039"/>
        </w:numPr>
        <w:pStyle w:val="Compact"/>
      </w:pPr>
      <w:r>
        <w:t xml:space="preserve">[73] Office.eu Launch — 100% europäische M365-Alternative (März 2026): https://winbuzzer.com/2026/03/17/officeeu-launches-europes-sovereign-alternative-microsoft-365-xcxwbn/</w:t>
      </w:r>
    </w:p>
    <w:p>
      <w:pPr>
        <w:numPr>
          <w:ilvl w:val="0"/>
          <w:numId w:val="1039"/>
        </w:numPr>
        <w:pStyle w:val="Compact"/>
      </w:pPr>
      <w:r>
        <w:t xml:space="preserve">[74] Office Watch: Office.eu — European alternative to Microsoft 365: https://office-watch.com/2026/office-eu-europes-microsoft-365-alternative/</w:t>
      </w:r>
    </w:p>
    <w:p>
      <w:pPr>
        <w:numPr>
          <w:ilvl w:val="0"/>
          <w:numId w:val="1039"/>
        </w:numPr>
        <w:pStyle w:val="Compact"/>
      </w:pPr>
      <w:r>
        <w:t xml:space="preserve">[75] OpenCloud 1.0 — Open Source SharePoint-Alternative (Feb. 2025): https://opencloud.eu/en/press/opencloud-now-available-new-open-source-alternative-microsoft-sharepoint</w:t>
      </w:r>
    </w:p>
    <w:p>
      <w:pPr>
        <w:numPr>
          <w:ilvl w:val="0"/>
          <w:numId w:val="1039"/>
        </w:numPr>
        <w:pStyle w:val="Compact"/>
      </w:pPr>
      <w:r>
        <w:t xml:space="preserve">[76] GoFAST — SharePoint On-Premise End-of-Life Migration (2026): https://www.ceo-vision.com/en/content/end-support-sharepoint-premises-2026-switch-gofast-sovereign-european-alternative</w:t>
      </w:r>
    </w:p>
    <w:p>
      <w:pPr>
        <w:numPr>
          <w:ilvl w:val="0"/>
          <w:numId w:val="1039"/>
        </w:numPr>
        <w:pStyle w:val="Compact"/>
      </w:pPr>
      <w:r>
        <w:t xml:space="preserve">[77] Schleswig-Holstein: E-Mail-Migration abgeschlossen, 40.000 Accounts (Okt. 2025): https://www.theregister.com/2025/10/15/schleswig_holstein_open_source/</w:t>
      </w:r>
    </w:p>
    <w:p>
      <w:pPr>
        <w:numPr>
          <w:ilvl w:val="0"/>
          <w:numId w:val="1039"/>
        </w:numPr>
        <w:pStyle w:val="Compact"/>
      </w:pPr>
      <w:r>
        <w:t xml:space="preserve">[78] Schleswig-Holstein: €15 Mio. jährliche Einsparungen durch LibreOffice (Dez. 2025): https://itsfoss.com/news/german-state-ditch-microsoft/</w:t>
      </w:r>
    </w:p>
    <w:p>
      <w:pPr>
        <w:numPr>
          <w:ilvl w:val="0"/>
          <w:numId w:val="1039"/>
        </w:numPr>
        <w:pStyle w:val="Compact"/>
      </w:pPr>
      <w:r>
        <w:t xml:space="preserve">[79] Schleswig-Holstein: Deutschland-Stack-Impulspapier (Jan. 2026): https://nextcloud.com/blog/schleswig-holsteins-impulspapier-for-deutschland-stack-vision/</w:t>
      </w:r>
    </w:p>
    <w:p>
      <w:pPr>
        <w:numPr>
          <w:ilvl w:val="0"/>
          <w:numId w:val="1039"/>
        </w:numPr>
        <w:pStyle w:val="Compact"/>
      </w:pPr>
      <w:r>
        <w:t xml:space="preserve">[80] EuroStack Directory: Schleswig-Holstein Open Source Modell (März 2025): https://euro-stack.com/blog/2025/3/schleswig-holstein-open-source-digital-sovereignty</w:t>
      </w:r>
    </w:p>
    <w:p>
      <w:pPr>
        <w:numPr>
          <w:ilvl w:val="0"/>
          <w:numId w:val="1039"/>
        </w:numPr>
        <w:pStyle w:val="Compact"/>
      </w:pPr>
      <w:r>
        <w:t xml:space="preserve">[81] Computerworld: Nextcloud als M365-Alternative — IDC-Analyse (Sept. 2025): https://www.computerworld.com/article/4064116/a-european-alternative-to-m365-nextcloud-looks-to-capitalize-on-digital-sovereignty-interest.html</w:t>
      </w:r>
    </w:p>
    <w:p>
      <w:pPr>
        <w:numPr>
          <w:ilvl w:val="0"/>
          <w:numId w:val="1039"/>
        </w:numPr>
        <w:pStyle w:val="Compact"/>
      </w:pPr>
      <w:r>
        <w:t xml:space="preserve">[82] Mistral AI: Sovereign AI Stack, €1,7 Mrd. Funding (Sept. 2025): https://aibusiness.com/foundation-models/mistral-pioneers-sovereign-ai-in-europe</w:t>
      </w:r>
    </w:p>
    <w:p>
      <w:pPr>
        <w:numPr>
          <w:ilvl w:val="0"/>
          <w:numId w:val="1039"/>
        </w:numPr>
        <w:pStyle w:val="Compact"/>
      </w:pPr>
      <w:r>
        <w:t xml:space="preserve">[83] EuroHPC JU: 19 AI Factories in Europa (Okt. 2025): https://www.eurohpc-ju.europa.eu/eurohpc-ju-selects-six-additional-ai-factories-expand-europes-ai-capabilities-2025-10-10_en</w:t>
      </w:r>
    </w:p>
    <w:p>
      <w:pPr>
        <w:numPr>
          <w:ilvl w:val="0"/>
          <w:numId w:val="1039"/>
        </w:numPr>
        <w:pStyle w:val="Compact"/>
      </w:pPr>
      <w:r>
        <w:t xml:space="preserve">[84] LUMI: TildeOpen 30B-Parameter-Modell auf LUMI trainiert (Sept. 2025): https://lumi-supercomputer.eu/tildeopen/</w:t>
      </w:r>
    </w:p>
    <w:p>
      <w:pPr>
        <w:numPr>
          <w:ilvl w:val="0"/>
          <w:numId w:val="1039"/>
        </w:numPr>
        <w:pStyle w:val="Compact"/>
      </w:pPr>
      <w:r>
        <w:t xml:space="preserve">[85] OpenEuroLLM: Erster strategischer Zugang zu LUMI/Leonardo/JUPITER (Dez. 2025): https://www.ai.se/en/news/openeurollm-takes-next-step-european-ai-sovereignty</w:t>
      </w:r>
    </w:p>
    <w:bookmarkEnd w:id="177"/>
    <w:bookmarkStart w:id="178" w:name="X4eed2fff860a1c26e85afbf2e3e6aff1e03b2bb"/>
    <w:p>
      <w:pPr>
        <w:pStyle w:val="Heading3"/>
      </w:pPr>
      <w:r>
        <w:t xml:space="preserve">US-Beratungspartnerschaften und Interessenkonflikte</w:t>
      </w:r>
    </w:p>
    <w:p>
      <w:pPr>
        <w:numPr>
          <w:ilvl w:val="0"/>
          <w:numId w:val="1040"/>
        </w:numPr>
      </w:pPr>
      <w:r>
        <w:t xml:space="preserve">[86] Avanade GmbH:</w:t>
      </w:r>
      <w:r>
        <w:t xml:space="preserve"> </w:t>
      </w:r>
      <w:r>
        <w:t xml:space="preserve">“</w:t>
      </w:r>
      <w:r>
        <w:t xml:space="preserve">About Avanade — Joint Venture Accenture &amp; Microsoft</w:t>
      </w:r>
      <w:r>
        <w:t xml:space="preserve">”</w:t>
      </w:r>
      <w:r>
        <w:t xml:space="preserve">, avanade.com/en-us/about-avanade, abgerufen April 2026. 50.000 Mitarbeitende, gegründet April 2000.</w:t>
      </w:r>
    </w:p>
    <w:p>
      <w:pPr>
        <w:numPr>
          <w:ilvl w:val="0"/>
          <w:numId w:val="1040"/>
        </w:numPr>
      </w:pPr>
      <w:r>
        <w:t xml:space="preserve">[87] Avanade Wikipedia:</w:t>
      </w:r>
      <w:r>
        <w:t xml:space="preserve"> </w:t>
      </w:r>
      <w:r>
        <w:t xml:space="preserve">“</w:t>
      </w:r>
      <w:r>
        <w:t xml:space="preserve">Avanade</w:t>
      </w:r>
      <w:r>
        <w:t xml:space="preserve">”</w:t>
      </w:r>
      <w:r>
        <w:t xml:space="preserve">, en.wikipedia.org/wiki/Avanade, abgerufen April 2026. Gründung, Eigentümerstruktur, CEO-Wechsel 2026.</w:t>
      </w:r>
    </w:p>
    <w:p>
      <w:pPr>
        <w:numPr>
          <w:ilvl w:val="0"/>
          <w:numId w:val="1040"/>
        </w:numPr>
      </w:pPr>
      <w:r>
        <w:t xml:space="preserve">[88] Microsoft Source Blog:</w:t>
      </w:r>
      <w:r>
        <w:t xml:space="preserve"> </w:t>
      </w:r>
      <w:r>
        <w:t xml:space="preserve">“</w:t>
      </w:r>
      <w:r>
        <w:t xml:space="preserve">Accenture, Microsoft and Avanade help enterprises reinvent business functions with generative AI and Copilot</w:t>
      </w:r>
      <w:r>
        <w:t xml:space="preserve">”</w:t>
      </w:r>
      <w:r>
        <w:t xml:space="preserve">, news.microsoft.com/source, 14. November 2024. 5.000-köpfige Copilot Practice, 50.000+ geschulte Profis, 65.000 Microsoft-zertifizierte Mitarbeitende.</w:t>
      </w:r>
    </w:p>
    <w:p>
      <w:pPr>
        <w:numPr>
          <w:ilvl w:val="0"/>
          <w:numId w:val="1040"/>
        </w:numPr>
      </w:pPr>
      <w:r>
        <w:t xml:space="preserve">[89] Accenture:</w:t>
      </w:r>
      <w:r>
        <w:t xml:space="preserve"> </w:t>
      </w:r>
      <w:r>
        <w:t xml:space="preserve">“</w:t>
      </w:r>
      <w:r>
        <w:t xml:space="preserve">Accenture and Microsoft</w:t>
      </w:r>
      <w:r>
        <w:t xml:space="preserve">”</w:t>
      </w:r>
      <w:r>
        <w:t xml:space="preserve">, accenture.com/us-en/services/ecosystem-partners/microsoft, abgerufen April 2026. 16-facher Global Alliance Partner of the Year, 25-jährige Partnerschaft.</w:t>
      </w:r>
    </w:p>
    <w:p>
      <w:pPr>
        <w:numPr>
          <w:ilvl w:val="0"/>
          <w:numId w:val="1040"/>
        </w:numPr>
      </w:pPr>
      <w:r>
        <w:t xml:space="preserve">[90] Maven Collective Marketing:</w:t>
      </w:r>
      <w:r>
        <w:t xml:space="preserve"> </w:t>
      </w:r>
      <w:r>
        <w:t xml:space="preserve">“</w:t>
      </w:r>
      <w:r>
        <w:t xml:space="preserve">Microsoft Fiscal Year 2025 Updates — Partner Opportunities</w:t>
      </w:r>
      <w:r>
        <w:t xml:space="preserve">”</w:t>
      </w:r>
      <w:r>
        <w:t xml:space="preserve">, mavencollectivemarketing.com, Oktober 2024. Bis zu 120.000 USD pro Kunde für M365 E3-Workloads; 150 Mio. USD Azure Migrate &amp; Modernize Co-Investment.</w:t>
      </w:r>
    </w:p>
    <w:p>
      <w:pPr>
        <w:numPr>
          <w:ilvl w:val="0"/>
          <w:numId w:val="1040"/>
        </w:numPr>
      </w:pPr>
      <w:r>
        <w:t xml:space="preserve">[91] Redmond Channel Partner:</w:t>
      </w:r>
      <w:r>
        <w:t xml:space="preserve"> </w:t>
      </w:r>
      <w:r>
        <w:t xml:space="preserve">“</w:t>
      </w:r>
      <w:r>
        <w:t xml:space="preserve">Microsoft To Pour Millions into Partner Incentives, Azure and Security in FY2025</w:t>
      </w:r>
      <w:r>
        <w:t xml:space="preserve">”</w:t>
      </w:r>
      <w:r>
        <w:t xml:space="preserve">, rcpmag.com, 12. Juli 2024. 90 Mio. USD Sicherheits-Investments, Copilot-Incentives +1.000% gegenüber FY24.</w:t>
      </w:r>
    </w:p>
    <w:p>
      <w:pPr>
        <w:numPr>
          <w:ilvl w:val="0"/>
          <w:numId w:val="1040"/>
        </w:numPr>
      </w:pPr>
      <w:r>
        <w:t xml:space="preserve">[92] VentureBeat:</w:t>
      </w:r>
      <w:r>
        <w:t xml:space="preserve"> </w:t>
      </w:r>
      <w:r>
        <w:t xml:space="preserve">“</w:t>
      </w:r>
      <w:r>
        <w:t xml:space="preserve">KPMG to invest $2 billion in AI in expanded partnership with Microsoft</w:t>
      </w:r>
      <w:r>
        <w:t xml:space="preserve">”</w:t>
      </w:r>
      <w:r>
        <w:t xml:space="preserve">, venturebeat.com, Juli 2023. 5-Jahres-Partnerschaft, 2 Mrd. USD Investment, 12 Mrd. USD erwartetes Wachstumspotenzial.</w:t>
      </w:r>
    </w:p>
    <w:p>
      <w:pPr>
        <w:numPr>
          <w:ilvl w:val="0"/>
          <w:numId w:val="1040"/>
        </w:numPr>
      </w:pPr>
      <w:r>
        <w:t xml:space="preserve">[93] SiliconAngle:</w:t>
      </w:r>
      <w:r>
        <w:t xml:space="preserve"> </w:t>
      </w:r>
      <w:r>
        <w:t xml:space="preserve">“</w:t>
      </w:r>
      <w:r>
        <w:t xml:space="preserve">KPMG invest $2B in AI and cloud as it expands partnership with Microsoft</w:t>
      </w:r>
      <w:r>
        <w:t xml:space="preserve">”</w:t>
      </w:r>
      <w:r>
        <w:t xml:space="preserve">, siliconangle.com, Juli 2023. Alle Big Four haben vergleichbare Microsoft-Partnerschaften.</w:t>
      </w:r>
    </w:p>
    <w:p>
      <w:pPr>
        <w:numPr>
          <w:ilvl w:val="0"/>
          <w:numId w:val="1040"/>
        </w:numPr>
      </w:pPr>
      <w:r>
        <w:t xml:space="preserve">[94] CFO Dive:</w:t>
      </w:r>
      <w:r>
        <w:t xml:space="preserve"> </w:t>
      </w:r>
      <w:r>
        <w:t xml:space="preserve">“</w:t>
      </w:r>
      <w:r>
        <w:t xml:space="preserve">KPMG inks $100M Google Cloud deal</w:t>
      </w:r>
      <w:r>
        <w:t xml:space="preserve">”</w:t>
      </w:r>
      <w:r>
        <w:t xml:space="preserve">, cfodive.com, November 2024. KPMG parallel bei Microsoft (2 Mrd.) und Google (100 Mio.) investiert.</w:t>
      </w:r>
    </w:p>
    <w:p>
      <w:pPr>
        <w:numPr>
          <w:ilvl w:val="0"/>
          <w:numId w:val="1040"/>
        </w:numPr>
      </w:pPr>
      <w:r>
        <w:t xml:space="preserve">[95] McKinsey &amp; Company:</w:t>
      </w:r>
      <w:r>
        <w:t xml:space="preserve"> </w:t>
      </w:r>
      <w:r>
        <w:t xml:space="preserve">“</w:t>
      </w:r>
      <w:r>
        <w:t xml:space="preserve">Amazon McKinsey Group</w:t>
      </w:r>
      <w:r>
        <w:t xml:space="preserve">”</w:t>
      </w:r>
      <w:r>
        <w:t xml:space="preserve">, mckinsey.com/about-us/new-at-mckinsey-blog/mckinsey-and-amazon-launch-amazon-mckinsey-group, 22. Januar 2026. Offizieller Launch AMG.</w:t>
      </w:r>
    </w:p>
    <w:p>
      <w:pPr>
        <w:numPr>
          <w:ilvl w:val="0"/>
          <w:numId w:val="1040"/>
        </w:numPr>
      </w:pPr>
      <w:r>
        <w:t xml:space="preserve">[96] TechInformed:</w:t>
      </w:r>
      <w:r>
        <w:t xml:space="preserve"> </w:t>
      </w:r>
      <w:r>
        <w:t xml:space="preserve">“</w:t>
      </w:r>
      <w:r>
        <w:t xml:space="preserve">McKinsey, AWS launch Amazon McKinsey Group</w:t>
      </w:r>
      <w:r>
        <w:t xml:space="preserve">”</w:t>
      </w:r>
      <w:r>
        <w:t xml:space="preserve">, techinformed.com, 23. Januar 2026. Outcome-basiertes kommerzielles Modell, Ziel &gt;1 Mrd. USD Kundenimpact.</w:t>
      </w:r>
    </w:p>
    <w:p>
      <w:pPr>
        <w:numPr>
          <w:ilvl w:val="0"/>
          <w:numId w:val="1040"/>
        </w:numPr>
      </w:pPr>
      <w:r>
        <w:t xml:space="preserve">[97] McKinsey &amp; Company:</w:t>
      </w:r>
      <w:r>
        <w:t xml:space="preserve"> </w:t>
      </w:r>
      <w:r>
        <w:t xml:space="preserve">“</w:t>
      </w:r>
      <w:r>
        <w:t xml:space="preserve">AWS &amp; McKinsey Alliance</w:t>
      </w:r>
      <w:r>
        <w:t xml:space="preserve">”</w:t>
      </w:r>
      <w:r>
        <w:t xml:space="preserve">, mckinsey.com/about-us/overview/alliances-and-acquisitions/aws, abgerufen April 2026. Strategische Allianz seit 2019, AWS APN Partner.</w:t>
      </w:r>
    </w:p>
    <w:p>
      <w:pPr>
        <w:numPr>
          <w:ilvl w:val="0"/>
          <w:numId w:val="1040"/>
        </w:numPr>
      </w:pPr>
      <w:r>
        <w:t xml:space="preserve">[98] OpenAI:</w:t>
      </w:r>
      <w:r>
        <w:t xml:space="preserve"> </w:t>
      </w:r>
      <w:r>
        <w:t xml:space="preserve">“</w:t>
      </w:r>
      <w:r>
        <w:t xml:space="preserve">Introducing Frontier Alliances</w:t>
      </w:r>
      <w:r>
        <w:t xml:space="preserve">”</w:t>
      </w:r>
      <w:r>
        <w:t xml:space="preserve">, openai.com/index/frontier-alliance-partners/, 23. Februar 2026. Offizielle Ankündigung der Partnerschaften mit BCG, McKinsey, Accenture, Capgemini.</w:t>
      </w:r>
    </w:p>
    <w:p>
      <w:pPr>
        <w:numPr>
          <w:ilvl w:val="0"/>
          <w:numId w:val="1040"/>
        </w:numPr>
      </w:pPr>
      <w:r>
        <w:t xml:space="preserve">[99] Fortune:</w:t>
      </w:r>
      <w:r>
        <w:t xml:space="preserve"> </w:t>
      </w:r>
      <w:r>
        <w:t xml:space="preserve">“</w:t>
      </w:r>
      <w:r>
        <w:t xml:space="preserve">OpenAI partners with McKinsey, BCG, Accenture, and Capgemini to push its Frontier AI agent platform</w:t>
      </w:r>
      <w:r>
        <w:t xml:space="preserve">”</w:t>
      </w:r>
      <w:r>
        <w:t xml:space="preserve">, fortune.com, 23. Februar 2026. Strategische Rollenverteilung der Partner.</w:t>
      </w:r>
    </w:p>
    <w:p>
      <w:pPr>
        <w:numPr>
          <w:ilvl w:val="0"/>
          <w:numId w:val="1040"/>
        </w:numPr>
      </w:pPr>
      <w:r>
        <w:t xml:space="preserve">[100] CNBC:</w:t>
      </w:r>
      <w:r>
        <w:t xml:space="preserve"> </w:t>
      </w:r>
      <w:r>
        <w:t xml:space="preserve">“</w:t>
      </w:r>
      <w:r>
        <w:t xml:space="preserve">OpenAI lands multiyear deals with consulting giants in enterprise push</w:t>
      </w:r>
      <w:r>
        <w:t xml:space="preserve">”</w:t>
      </w:r>
      <w:r>
        <w:t xml:space="preserve">, cnbc.com, 23. Februar 2026. Mehrjährige Partnerschaften, Forward Deployed Engineering Support.</w:t>
      </w:r>
    </w:p>
    <w:p>
      <w:pPr>
        <w:numPr>
          <w:ilvl w:val="0"/>
          <w:numId w:val="1040"/>
        </w:numPr>
      </w:pPr>
      <w:r>
        <w:t xml:space="preserve">[101] Atelier &amp; Avenue:</w:t>
      </w:r>
      <w:r>
        <w:t xml:space="preserve"> </w:t>
      </w:r>
      <w:r>
        <w:t xml:space="preserve">“</w:t>
      </w:r>
      <w:r>
        <w:t xml:space="preserve">The 4 unacceptable Conflicts of Interest of classic consultancies</w:t>
      </w:r>
      <w:r>
        <w:t xml:space="preserve">”</w:t>
      </w:r>
      <w:r>
        <w:t xml:space="preserve">, atelierandavenue.com, 2019. Mechanismus der Provisionszahlungen von Technologieanbietern an Berater.</w:t>
      </w:r>
    </w:p>
    <w:p>
      <w:pPr>
        <w:numPr>
          <w:ilvl w:val="0"/>
          <w:numId w:val="1040"/>
        </w:numPr>
      </w:pPr>
      <w:r>
        <w:t xml:space="preserve">[102] Apotheke Wirtschaft:</w:t>
      </w:r>
      <w:r>
        <w:t xml:space="preserve"> </w:t>
      </w:r>
      <w:r>
        <w:t xml:space="preserve">“</w:t>
      </w:r>
      <w:r>
        <w:t xml:space="preserve">Rien ne va plus — ohne die Riesen im Hintergrund läuft in der TI gar nichts</w:t>
      </w:r>
      <w:r>
        <w:t xml:space="preserve">”</w:t>
      </w:r>
      <w:r>
        <w:t xml:space="preserve">, Heft 16/2025. IBM, Arvato als zentrale TI-Infrastrukturpartner; IBM als Identity Provider zugelassen seit Dezember 2023.</w:t>
      </w:r>
      <w:r>
        <w:t xml:space="preserve"> </w:t>
      </w:r>
      <w:r>
        <w:t xml:space="preserve">### Oracle / Oracle Cerner im deutschen Gesundheitswesen</w:t>
      </w:r>
    </w:p>
    <w:p>
      <w:pPr>
        <w:numPr>
          <w:ilvl w:val="0"/>
          <w:numId w:val="1040"/>
        </w:numPr>
      </w:pPr>
      <w:r>
        <w:t xml:space="preserve">[103] Wikipedia:</w:t>
      </w:r>
      <w:r>
        <w:t xml:space="preserve"> </w:t>
      </w:r>
      <w:r>
        <w:t xml:space="preserve">“</w:t>
      </w:r>
      <w:r>
        <w:t xml:space="preserve">i.s.h.med</w:t>
      </w:r>
      <w:r>
        <w:t xml:space="preserve">”</w:t>
      </w:r>
      <w:r>
        <w:t xml:space="preserve">, de.wikipedia.org/wiki/I.s.h.med, abgerufen April 2026. Geschichte, Eigentümerstruktur, Cerner-Übernahme 2015, Oracle-Übernahme 2022, &gt;500 Installationen weltweit.</w:t>
      </w:r>
    </w:p>
    <w:p>
      <w:pPr>
        <w:numPr>
          <w:ilvl w:val="0"/>
          <w:numId w:val="1040"/>
        </w:numPr>
      </w:pPr>
      <w:r>
        <w:t xml:space="preserve">[104] kma-online.de:</w:t>
      </w:r>
      <w:r>
        <w:t xml:space="preserve"> </w:t>
      </w:r>
      <w:r>
        <w:t xml:space="preserve">“</w:t>
      </w:r>
      <w:r>
        <w:t xml:space="preserve">Gute Aussichten dank SAP — Über Cloud, SaaS und KI: Das planen die Top-Player des KIS-Marktes</w:t>
      </w:r>
      <w:r>
        <w:t xml:space="preserve">”</w:t>
      </w:r>
      <w:r>
        <w:t xml:space="preserve">, April 2024. Oracle Cerner plant OCI-basierte Nachfolgelösung für i.s.h.med; 300 Kliniken vor KIS-Wechsel bis 2030.</w:t>
      </w:r>
    </w:p>
    <w:p>
      <w:pPr>
        <w:numPr>
          <w:ilvl w:val="0"/>
          <w:numId w:val="1040"/>
        </w:numPr>
      </w:pPr>
      <w:r>
        <w:t xml:space="preserve">[105] Krankenhaus-IT Journal:</w:t>
      </w:r>
      <w:r>
        <w:t xml:space="preserve"> </w:t>
      </w:r>
      <w:r>
        <w:t xml:space="preserve">“</w:t>
      </w:r>
      <w:r>
        <w:t xml:space="preserve">Oracle Cerner und SAP-Strategiewechsel</w:t>
      </w:r>
      <w:r>
        <w:t xml:space="preserve">”</w:t>
      </w:r>
      <w:r>
        <w:t xml:space="preserve">, Januar 2024. Einstellung Betreuungsvertrag IS-H RKT durch Oracle Cerner; DSAG-Reaktion.</w:t>
      </w:r>
    </w:p>
    <w:p>
      <w:pPr>
        <w:numPr>
          <w:ilvl w:val="0"/>
          <w:numId w:val="1040"/>
        </w:numPr>
      </w:pPr>
      <w:r>
        <w:t xml:space="preserve">[106] kma-online.de:</w:t>
      </w:r>
      <w:r>
        <w:t xml:space="preserve"> </w:t>
      </w:r>
      <w:r>
        <w:t xml:space="preserve">“</w:t>
      </w:r>
      <w:r>
        <w:t xml:space="preserve">Heftige Turbulenzen im KIS-Markt nach SAP-Ausstieg</w:t>
      </w:r>
      <w:r>
        <w:t xml:space="preserve">”</w:t>
      </w:r>
      <w:r>
        <w:t xml:space="preserve">, April 2023. Oracle-Übernahme von Cerner für 28 Mrd. USD 2022; i.s.h.med in 250 deutschen Kliniken; KIS als</w:t>
      </w:r>
      <w:r>
        <w:t xml:space="preserve"> </w:t>
      </w:r>
      <w:r>
        <w:t xml:space="preserve">“</w:t>
      </w:r>
      <w:r>
        <w:t xml:space="preserve">Beifang</w:t>
      </w:r>
      <w:r>
        <w:t xml:space="preserve">”</w:t>
      </w:r>
      <w:r>
        <w:t xml:space="preserve"> </w:t>
      </w:r>
      <w:r>
        <w:t xml:space="preserve">in Oracle-Zentrale Austin/Texas.</w:t>
      </w:r>
    </w:p>
    <w:p>
      <w:pPr>
        <w:numPr>
          <w:ilvl w:val="0"/>
          <w:numId w:val="1040"/>
        </w:numPr>
      </w:pPr>
      <w:r>
        <w:t xml:space="preserve">[107] rewion.com:</w:t>
      </w:r>
      <w:r>
        <w:t xml:space="preserve"> </w:t>
      </w:r>
      <w:r>
        <w:t xml:space="preserve">“</w:t>
      </w:r>
      <w:r>
        <w:t xml:space="preserve">Krankenhausinformationssystem (KIS): Welche Anbieter gibt es?</w:t>
      </w:r>
      <w:r>
        <w:t xml:space="preserve">”</w:t>
      </w:r>
      <w:r>
        <w:t xml:space="preserve">, Juni 2025. Marktübersicht KIS Deutschland: Oracle Cerner ~250 Installationen; CGM ~850, Dedalus ~830, Meierhofer ~250, Telekom iMedOne ~240.</w:t>
      </w:r>
    </w:p>
    <w:p>
      <w:pPr>
        <w:numPr>
          <w:ilvl w:val="0"/>
          <w:numId w:val="1040"/>
        </w:numPr>
      </w:pPr>
      <w:r>
        <w:t xml:space="preserve">[108] Oracle Blog:</w:t>
      </w:r>
      <w:r>
        <w:t xml:space="preserve"> </w:t>
      </w:r>
      <w:r>
        <w:t xml:space="preserve">“</w:t>
      </w:r>
      <w:r>
        <w:t xml:space="preserve">US CLOUD Act: You have questions and we have answers</w:t>
      </w:r>
      <w:r>
        <w:t xml:space="preserve">”</w:t>
      </w:r>
      <w:r>
        <w:t xml:space="preserve">, oracle.com/cloud-infrastructure, 2022. Oracle-eigene Darstellung des CLOUD-Act-Umgangs, Verschlüsselungsneutralität.</w:t>
      </w:r>
    </w:p>
    <w:p>
      <w:pPr>
        <w:numPr>
          <w:ilvl w:val="0"/>
          <w:numId w:val="1040"/>
        </w:numPr>
      </w:pPr>
      <w:r>
        <w:t xml:space="preserve">[109] Oracle Blog:</w:t>
      </w:r>
      <w:r>
        <w:t xml:space="preserve"> </w:t>
      </w:r>
      <w:r>
        <w:t xml:space="preserve">“</w:t>
      </w:r>
      <w:r>
        <w:t xml:space="preserve">Oracle sovereign cloud solutions: Providing transparent review of data access requests</w:t>
      </w:r>
      <w:r>
        <w:t xml:space="preserve">”</w:t>
      </w:r>
      <w:r>
        <w:t xml:space="preserve">, oracle.com/cloud-infrastructure, 2024. EU Sovereign Cloud Argumentation: Realm-Isolation, EU-Rechtsperson, Widerspruchsmechanismus.</w:t>
      </w:r>
    </w:p>
    <w:p>
      <w:pPr>
        <w:numPr>
          <w:ilvl w:val="0"/>
          <w:numId w:val="1040"/>
        </w:numPr>
      </w:pPr>
      <w:r>
        <w:t xml:space="preserve">[110] Oracle:</w:t>
      </w:r>
      <w:r>
        <w:t xml:space="preserve"> </w:t>
      </w:r>
      <w:r>
        <w:t xml:space="preserve">“</w:t>
      </w:r>
      <w:r>
        <w:t xml:space="preserve">EU Sovereign Cloud FAQ</w:t>
      </w:r>
      <w:r>
        <w:t xml:space="preserve">”</w:t>
      </w:r>
      <w:r>
        <w:t xml:space="preserve">, oracle.com/cloud/eu-sovereign-cloud/faq/, abgerufen April 2026. Frankfurt und Madrid als EU Sovereign Cloud Regionen; EU-ansässiges Personal; Isolation von US-Infrastruktur.</w:t>
      </w:r>
      <w:r>
        <w:t xml:space="preserve"> </w:t>
      </w:r>
      <w:r>
        <w:t xml:space="preserve">### KIS-Marktdaten und Ausschreibungskonzentration</w:t>
      </w:r>
    </w:p>
    <w:p>
      <w:pPr>
        <w:numPr>
          <w:ilvl w:val="0"/>
          <w:numId w:val="1040"/>
        </w:numPr>
      </w:pPr>
      <w:r>
        <w:t xml:space="preserve">[111] kma-online.de:</w:t>
      </w:r>
      <w:r>
        <w:t xml:space="preserve"> </w:t>
      </w:r>
      <w:r>
        <w:t xml:space="preserve">“</w:t>
      </w:r>
      <w:r>
        <w:t xml:space="preserve">KIS-Markt 2025 — das sind die Top-Hersteller</w:t>
      </w:r>
      <w:r>
        <w:t xml:space="preserve">”</w:t>
      </w:r>
      <w:r>
        <w:t xml:space="preserve">, April 2025. CGM: 319 Mio. EUR KIS-Umsatz 2024, ~20% Marktanteil; Dedalus 821 Installationen DE, 930 DACH; Meierhofer ~260 Kunden.</w:t>
      </w:r>
    </w:p>
    <w:p>
      <w:pPr>
        <w:numPr>
          <w:ilvl w:val="0"/>
          <w:numId w:val="1040"/>
        </w:numPr>
      </w:pPr>
      <w:r>
        <w:t xml:space="preserve">[112] kma-online.de:</w:t>
      </w:r>
      <w:r>
        <w:t xml:space="preserve"> </w:t>
      </w:r>
      <w:r>
        <w:t xml:space="preserve">“</w:t>
      </w:r>
      <w:r>
        <w:t xml:space="preserve">KIS-Markt 2026: Trends, Anbieter und Strategien im Überblick</w:t>
      </w:r>
      <w:r>
        <w:t xml:space="preserve">”</w:t>
      </w:r>
      <w:r>
        <w:t xml:space="preserve">, April 2026. NEXUS 326 Installationen DE, 288,6 Mio. EUR Umsatz 2025; CGM veröffentlicht keine aktuellen Installationszahlen; CGM verliert Charité-Ausschreibung gegen Epic.</w:t>
      </w:r>
    </w:p>
    <w:p>
      <w:pPr>
        <w:numPr>
          <w:ilvl w:val="0"/>
          <w:numId w:val="1040"/>
        </w:numPr>
      </w:pPr>
      <w:r>
        <w:t xml:space="preserve">[113] bibliomedmanager.de:</w:t>
      </w:r>
      <w:r>
        <w:t xml:space="preserve"> </w:t>
      </w:r>
      <w:r>
        <w:t xml:space="preserve">“</w:t>
      </w:r>
      <w:r>
        <w:t xml:space="preserve">KI ist für uns ein großes Thema</w:t>
      </w:r>
      <w:r>
        <w:t xml:space="preserve">”</w:t>
      </w:r>
      <w:r>
        <w:t xml:space="preserve">, Oktober 2023. CGM:</w:t>
      </w:r>
      <w:r>
        <w:t xml:space="preserve"> </w:t>
      </w:r>
      <w:r>
        <w:t xml:space="preserve">“</w:t>
      </w:r>
      <w:r>
        <w:t xml:space="preserve">rund 800 Kliniken in Deutschland</w:t>
      </w:r>
      <w:r>
        <w:t xml:space="preserve">”</w:t>
      </w:r>
      <w:r>
        <w:t xml:space="preserve">;</w:t>
      </w:r>
      <w:r>
        <w:t xml:space="preserve"> </w:t>
      </w:r>
      <w:r>
        <w:t xml:space="preserve">“</w:t>
      </w:r>
      <w:r>
        <w:t xml:space="preserve">im Reha-Bereich sogar das KIS mit den meisten Installationen.</w:t>
      </w:r>
      <w:r>
        <w:t xml:space="preserve">”</w:t>
      </w:r>
    </w:p>
    <w:p>
      <w:pPr>
        <w:numPr>
          <w:ilvl w:val="0"/>
          <w:numId w:val="1040"/>
        </w:numPr>
      </w:pPr>
      <w:r>
        <w:t xml:space="preserve">[114] kma-online.de:</w:t>
      </w:r>
      <w:r>
        <w:t xml:space="preserve"> </w:t>
      </w:r>
      <w:r>
        <w:t xml:space="preserve">“</w:t>
      </w:r>
      <w:r>
        <w:t xml:space="preserve">Über Cloud, SaaS und KI: Das planen die Top-Player des KIS-Marktes</w:t>
      </w:r>
      <w:r>
        <w:t xml:space="preserve">”</w:t>
      </w:r>
      <w:r>
        <w:t xml:space="preserve">, April 2024. Direktzitat CGM:</w:t>
      </w:r>
      <w:r>
        <w:t xml:space="preserve"> </w:t>
      </w:r>
      <w:r>
        <w:t xml:space="preserve">“</w:t>
      </w:r>
      <w:r>
        <w:t xml:space="preserve">Über 900 Kliniken in Deutschland setzen ein KIS von CGM ein</w:t>
      </w:r>
      <w:r>
        <w:t xml:space="preserve">”</w:t>
      </w:r>
      <w:r>
        <w:t xml:space="preserve">; Produktlinien inkl. CGM Reha.</w:t>
      </w:r>
    </w:p>
    <w:p>
      <w:pPr>
        <w:numPr>
          <w:ilvl w:val="0"/>
          <w:numId w:val="1040"/>
        </w:numPr>
      </w:pPr>
      <w:r>
        <w:t xml:space="preserve">[115] kma-online.de:</w:t>
      </w:r>
      <w:r>
        <w:t xml:space="preserve"> </w:t>
      </w:r>
      <w:r>
        <w:t xml:space="preserve">“</w:t>
      </w:r>
      <w:r>
        <w:t xml:space="preserve">Das Geschäft brummt wie lange nicht — KIS-Markt 2022</w:t>
      </w:r>
      <w:r>
        <w:t xml:space="preserve">”</w:t>
      </w:r>
      <w:r>
        <w:t xml:space="preserve">, April 2022. CGM 2020: 350 Akut- und 500 Rehakliniken nach Cerner-Übernahme; Kaufpreis 203 Mio. EUR.</w:t>
      </w:r>
    </w:p>
    <w:p>
      <w:pPr>
        <w:numPr>
          <w:ilvl w:val="0"/>
          <w:numId w:val="1040"/>
        </w:numPr>
      </w:pPr>
      <w:r>
        <w:t xml:space="preserve">[116] EY Deutschland:</w:t>
      </w:r>
      <w:r>
        <w:t xml:space="preserve"> </w:t>
      </w:r>
      <w:r>
        <w:t xml:space="preserve">“</w:t>
      </w:r>
      <w:r>
        <w:t xml:space="preserve">Asklepios: So geht digitale Transformation</w:t>
      </w:r>
      <w:r>
        <w:t xml:space="preserve">”</w:t>
      </w:r>
      <w:r>
        <w:t xml:space="preserve">, ey.com/de_de, 2022/2023. Vollständige S/4HANA-Migration aller 170 Asklepios-Einrichtungen; EY als Implementierungspartner seit 2019.</w:t>
      </w:r>
    </w:p>
    <w:p>
      <w:pPr>
        <w:numPr>
          <w:ilvl w:val="0"/>
          <w:numId w:val="1040"/>
        </w:numPr>
      </w:pPr>
      <w:r>
        <w:t xml:space="preserve">[117] EY Deutschland:</w:t>
      </w:r>
      <w:r>
        <w:t xml:space="preserve"> </w:t>
      </w:r>
      <w:r>
        <w:t xml:space="preserve">“</w:t>
      </w:r>
      <w:r>
        <w:t xml:space="preserve">EY unterstützt Asklepios bei der Migration zu S/4HANA</w:t>
      </w:r>
      <w:r>
        <w:t xml:space="preserve">”</w:t>
      </w:r>
      <w:r>
        <w:t xml:space="preserve">, ey.com/de_de, 2022. Go-live Oktober 2022; EY-Partner und EY-Gesundheitsexperte als Projektverantwortliche benannt.</w:t>
      </w:r>
    </w:p>
    <w:p>
      <w:pPr>
        <w:numPr>
          <w:ilvl w:val="0"/>
          <w:numId w:val="1040"/>
        </w:numPr>
      </w:pPr>
      <w:r>
        <w:t xml:space="preserve">[118] Asklepios Geschäftsbericht 2023:</w:t>
      </w:r>
      <w:r>
        <w:t xml:space="preserve"> </w:t>
      </w:r>
      <w:r>
        <w:t xml:space="preserve">“</w:t>
      </w:r>
      <w:r>
        <w:t xml:space="preserve">Daten — Heilmittel der Zukunft</w:t>
      </w:r>
      <w:r>
        <w:t xml:space="preserve">”</w:t>
      </w:r>
      <w:r>
        <w:t xml:space="preserve">, bericht.asklepios.com. Health Data Hub als</w:t>
      </w:r>
      <w:r>
        <w:t xml:space="preserve"> </w:t>
      </w:r>
      <w:r>
        <w:t xml:space="preserve">“</w:t>
      </w:r>
      <w:r>
        <w:t xml:space="preserve">eines der wichtigsten Zukunftsprojekte</w:t>
      </w:r>
      <w:r>
        <w:t xml:space="preserve">”</w:t>
      </w:r>
      <w:r>
        <w:t xml:space="preserve">; Ziel: KI-Lernplattform für alle Einrichtungen.</w:t>
      </w:r>
    </w:p>
    <w:p>
      <w:pPr>
        <w:numPr>
          <w:ilvl w:val="0"/>
          <w:numId w:val="1040"/>
        </w:numPr>
      </w:pPr>
      <w:r>
        <w:t xml:space="preserve">[119] Asklepios:</w:t>
      </w:r>
      <w:r>
        <w:t xml:space="preserve"> </w:t>
      </w:r>
      <w:r>
        <w:t xml:space="preserve">“</w:t>
      </w:r>
      <w:r>
        <w:t xml:space="preserve">Health Data Hub</w:t>
      </w:r>
      <w:r>
        <w:t xml:space="preserve">”</w:t>
      </w:r>
      <w:r>
        <w:t xml:space="preserve">, asklepios.com/konzern/digitalisierung/health-data-hub, abgerufen April 2026. Nutzung anonymisierter Daten mit KI für bessere Abläufe.</w:t>
      </w:r>
    </w:p>
    <w:p>
      <w:pPr>
        <w:numPr>
          <w:ilvl w:val="0"/>
          <w:numId w:val="1040"/>
        </w:numPr>
      </w:pPr>
      <w:r>
        <w:t xml:space="preserve">[120] Deloitte Deutschland:</w:t>
      </w:r>
      <w:r>
        <w:t xml:space="preserve"> </w:t>
      </w:r>
      <w:r>
        <w:t xml:space="preserve">“</w:t>
      </w:r>
      <w:r>
        <w:t xml:space="preserve">Zukunftsprogramm Krankenhäuser — KHZG</w:t>
      </w:r>
      <w:r>
        <w:t xml:space="preserve">”</w:t>
      </w:r>
      <w:r>
        <w:t xml:space="preserve">, deloitte.com/de, 2021/2024. Deloitte-KHZG-Beratungsangebot: 360°-Unterstützung von Identifikation bis Fördermitteladministration.</w:t>
      </w:r>
    </w:p>
    <w:p>
      <w:pPr>
        <w:numPr>
          <w:ilvl w:val="0"/>
          <w:numId w:val="1040"/>
        </w:numPr>
      </w:pPr>
      <w:r>
        <w:t xml:space="preserve">[121] Deloitte Deutschland:</w:t>
      </w:r>
      <w:r>
        <w:t xml:space="preserve"> </w:t>
      </w:r>
      <w:r>
        <w:t xml:space="preserve">“</w:t>
      </w:r>
      <w:r>
        <w:t xml:space="preserve">Studie: Digitalisierung des Gesundheitsmarktes</w:t>
      </w:r>
      <w:r>
        <w:t xml:space="preserve">”</w:t>
      </w:r>
      <w:r>
        <w:t xml:space="preserve">, deloitte.com/de, 2021. Deloitte-Studie im Auftrag des GKV-Spitzenverbandes; institutionelle Positionierung als GKV-Berater.</w:t>
      </w:r>
    </w:p>
    <w:p>
      <w:pPr>
        <w:numPr>
          <w:ilvl w:val="0"/>
          <w:numId w:val="1040"/>
        </w:numPr>
      </w:pPr>
      <w:r>
        <w:t xml:space="preserve">[122] McKinsey &amp; Company:</w:t>
      </w:r>
      <w:r>
        <w:t xml:space="preserve"> </w:t>
      </w:r>
      <w:r>
        <w:t xml:space="preserve">“</w:t>
      </w:r>
      <w:r>
        <w:t xml:space="preserve">Der GKV-Check-up 2025</w:t>
      </w:r>
      <w:r>
        <w:t xml:space="preserve">”</w:t>
      </w:r>
      <w:r>
        <w:t xml:space="preserve">, mckinsey.de/publikationen/gkv-check-up-2025, Mai 2025. Jährliches GKV-Standardwerk; Motto 2025:</w:t>
      </w:r>
      <w:r>
        <w:t xml:space="preserve"> </w:t>
      </w:r>
      <w:r>
        <w:t xml:space="preserve">“</w:t>
      </w:r>
      <w:r>
        <w:t xml:space="preserve">Mit Innovation und Datenanalytik neue Maßstäbe setzen.</w:t>
      </w:r>
      <w:r>
        <w:t xml:space="preserve">”</w:t>
      </w:r>
    </w:p>
    <w:p>
      <w:pPr>
        <w:numPr>
          <w:ilvl w:val="0"/>
          <w:numId w:val="1040"/>
        </w:numPr>
      </w:pPr>
      <w:r>
        <w:t xml:space="preserve">[123] McKinsey &amp; Company:</w:t>
      </w:r>
      <w:r>
        <w:t xml:space="preserve"> </w:t>
      </w:r>
      <w:r>
        <w:t xml:space="preserve">“</w:t>
      </w:r>
      <w:r>
        <w:t xml:space="preserve">Gesundheitswirtschaft Deutschland</w:t>
      </w:r>
      <w:r>
        <w:t xml:space="preserve">”</w:t>
      </w:r>
      <w:r>
        <w:t xml:space="preserve">, mckinsey.de/branchen/gesundheitswirtschaft, abgerufen April 2026. &gt;2.200 Healthcare-Kundenprojekte seit 2000; &gt;200 Mitarbeitende im deutschen Gesundheitssektor.</w:t>
      </w:r>
    </w:p>
    <w:p>
      <w:pPr>
        <w:numPr>
          <w:ilvl w:val="0"/>
          <w:numId w:val="1040"/>
        </w:numPr>
      </w:pPr>
      <w:r>
        <w:t xml:space="preserve">[124] PwC Deutschland:</w:t>
      </w:r>
      <w:r>
        <w:t xml:space="preserve"> </w:t>
      </w:r>
      <w:r>
        <w:t xml:space="preserve">“</w:t>
      </w:r>
      <w:r>
        <w:t xml:space="preserve">Transaktionsmonitor Gesundheitswesen 2023/2024</w:t>
      </w:r>
      <w:r>
        <w:t xml:space="preserve">”</w:t>
      </w:r>
      <w:r>
        <w:t xml:space="preserve">, März 2024. 234 Transaktionen 2023; 13. Ausgabe der jährlichen Analyse; PwC als Standard-Referenzwerk M&amp;A Kliniksektor.</w:t>
      </w:r>
    </w:p>
    <w:p>
      <w:pPr>
        <w:numPr>
          <w:ilvl w:val="0"/>
          <w:numId w:val="1040"/>
        </w:numPr>
      </w:pPr>
      <w:r>
        <w:t xml:space="preserve">[125] ibau.de:</w:t>
      </w:r>
      <w:r>
        <w:t xml:space="preserve"> </w:t>
      </w:r>
      <w:r>
        <w:t xml:space="preserve">“</w:t>
      </w:r>
      <w:r>
        <w:t xml:space="preserve">Wenn Vergabestellen nur erfahrene Unternehmen wollen</w:t>
      </w:r>
      <w:r>
        <w:t xml:space="preserve">”</w:t>
      </w:r>
      <w:r>
        <w:t xml:space="preserve">, August 2024. OLG Schleswig-Holstein, 10.12.2020, 54 Verg 4/20: Mindestanforderungen an Geschäftstätigkeit rechtmäßig, auch wenn neue Unternehmen ausgeschlossen werden.</w:t>
      </w:r>
    </w:p>
    <w:p>
      <w:pPr>
        <w:numPr>
          <w:ilvl w:val="0"/>
          <w:numId w:val="1040"/>
        </w:numPr>
      </w:pPr>
      <w:r>
        <w:t xml:space="preserve">[126] Vergabe24.de:</w:t>
      </w:r>
      <w:r>
        <w:t xml:space="preserve"> </w:t>
      </w:r>
      <w:r>
        <w:t xml:space="preserve">“</w:t>
      </w:r>
      <w:r>
        <w:t xml:space="preserve">Nachweise zur Leistungsfähigkeit, Referenzen und Besonderheiten für Start-ups</w:t>
      </w:r>
      <w:r>
        <w:t xml:space="preserve">”</w:t>
      </w:r>
      <w:r>
        <w:t xml:space="preserve">, 2024. § 45 Abs. 1 VgV: Mindestjahresumsatz bis zum Zweifachen des Auftragswertes zulässig.</w:t>
      </w:r>
    </w:p>
    <w:p>
      <w:pPr>
        <w:numPr>
          <w:ilvl w:val="0"/>
          <w:numId w:val="1040"/>
        </w:numPr>
      </w:pPr>
      <w:r>
        <w:t xml:space="preserve">[127] juniorconsultant.net:</w:t>
      </w:r>
      <w:r>
        <w:t xml:space="preserve"> </w:t>
      </w:r>
      <w:r>
        <w:t xml:space="preserve">“</w:t>
      </w:r>
      <w:r>
        <w:t xml:space="preserve">Managementberater — Wer kommt hinter McKinsey und BCG?</w:t>
      </w:r>
      <w:r>
        <w:t xml:space="preserve">”</w:t>
      </w:r>
      <w:r>
        <w:t xml:space="preserve">, August 2024. Roland Berger: ~500 Mio. EUR Umsatz weltweit, Fokus Restrukturierung/M&amp;A; kein Platz im IT-Implementierungsmarkt.</w:t>
      </w:r>
      <w:r>
        <w:t xml:space="preserve"> </w:t>
      </w:r>
      <w:r>
        <w:t xml:space="preserve">### STACKIT / Schwarz Digits — erweiterte Quellen</w:t>
      </w:r>
    </w:p>
    <w:p>
      <w:pPr>
        <w:numPr>
          <w:ilvl w:val="0"/>
          <w:numId w:val="1040"/>
        </w:numPr>
      </w:pPr>
      <w:r>
        <w:t xml:space="preserve">[128] it-daily.net:</w:t>
      </w:r>
      <w:r>
        <w:t xml:space="preserve"> </w:t>
      </w:r>
      <w:r>
        <w:t xml:space="preserve">“</w:t>
      </w:r>
      <w:r>
        <w:t xml:space="preserve">‘</w:t>
      </w:r>
      <w:r>
        <w:t xml:space="preserve">Einfach mal machen</w:t>
      </w:r>
      <w:r>
        <w:t xml:space="preserve">’</w:t>
      </w:r>
      <w:r>
        <w:t xml:space="preserve">: Stackit will Europas größter Hyperscaler werden</w:t>
      </w:r>
      <w:r>
        <w:t xml:space="preserve">”</w:t>
      </w:r>
      <w:r>
        <w:t xml:space="preserve">, März 2026. 7 RZ in Europa, Expansion 2026 in 3+ Länder; Finanzsektor-Fokus.</w:t>
      </w:r>
    </w:p>
    <w:p>
      <w:pPr>
        <w:numPr>
          <w:ilvl w:val="0"/>
          <w:numId w:val="1040"/>
        </w:numPr>
      </w:pPr>
      <w:r>
        <w:t xml:space="preserve">[129] Silicon Saxony:</w:t>
      </w:r>
      <w:r>
        <w:t xml:space="preserve"> </w:t>
      </w:r>
      <w:r>
        <w:t xml:space="preserve">“</w:t>
      </w:r>
      <w:r>
        <w:t xml:space="preserve">Schwarz Digits: Spatenstich in Lübbenau — 11 Milliarden Euro in Europas digitale Souveränität</w:t>
      </w:r>
      <w:r>
        <w:t xml:space="preserve">”</w:t>
      </w:r>
      <w:r>
        <w:t xml:space="preserve">, 17. November 2025. Vollständige Investitionsdaten, Minister-Statement, Partnerschafts-Ökosystem.</w:t>
      </w:r>
    </w:p>
    <w:p>
      <w:pPr>
        <w:numPr>
          <w:ilvl w:val="0"/>
          <w:numId w:val="1040"/>
        </w:numPr>
      </w:pPr>
      <w:r>
        <w:t xml:space="preserve">[130] niederlausitz-aktuell.de:</w:t>
      </w:r>
      <w:r>
        <w:t xml:space="preserve"> </w:t>
      </w:r>
      <w:r>
        <w:t xml:space="preserve">“</w:t>
      </w:r>
      <w:r>
        <w:t xml:space="preserve">11 Milliarden Investition in Lübbenau: Mega-Rechenzentrum entsteht</w:t>
      </w:r>
      <w:r>
        <w:t xml:space="preserve">”</w:t>
      </w:r>
      <w:r>
        <w:t xml:space="preserve">, November 2025. 6 Module, Baubeginn Oktober 2025, Fertigstellung Ende 2027, Verfügbarkeitsklasse 3.</w:t>
      </w:r>
    </w:p>
    <w:p>
      <w:pPr>
        <w:numPr>
          <w:ilvl w:val="0"/>
          <w:numId w:val="1040"/>
        </w:numPr>
      </w:pPr>
      <w:r>
        <w:t xml:space="preserve">[131] Schwarz Digits Pressemitteilung:</w:t>
      </w:r>
      <w:r>
        <w:t xml:space="preserve"> </w:t>
      </w:r>
      <w:r>
        <w:t xml:space="preserve">“</w:t>
      </w:r>
      <w:r>
        <w:t xml:space="preserve">C5 Type 2 certificate: STACKIT receives confirmation of the highest security standards</w:t>
      </w:r>
      <w:r>
        <w:t xml:space="preserve">”</w:t>
      </w:r>
      <w:r>
        <w:t xml:space="preserve">, 21. August 2024, schwarz-digits.de. C5 Typ 2 Testat August 2024; Gesundheitssektor und öffentliche Verwaltung explizit adressiert.</w:t>
      </w:r>
    </w:p>
    <w:p>
      <w:pPr>
        <w:numPr>
          <w:ilvl w:val="0"/>
          <w:numId w:val="1040"/>
        </w:numPr>
      </w:pPr>
      <w:r>
        <w:t xml:space="preserve">[132] Schwarz Digits Pressemitteilung:</w:t>
      </w:r>
      <w:r>
        <w:t xml:space="preserve"> </w:t>
      </w:r>
      <w:r>
        <w:t xml:space="preserve">“</w:t>
      </w:r>
      <w:r>
        <w:t xml:space="preserve">Sovereign STACKIT Cloud with BSI’s C5, ISAE 3000 (SOC 2) and ISAE 3402 Certified</w:t>
      </w:r>
      <w:r>
        <w:t xml:space="preserve">”</w:t>
      </w:r>
      <w:r>
        <w:t xml:space="preserve">, Januar 2024. C5 Typ 1 Testat Januar 2024; ISO 27001 Rezertifizierung.</w:t>
      </w:r>
    </w:p>
    <w:p>
      <w:pPr>
        <w:numPr>
          <w:ilvl w:val="0"/>
          <w:numId w:val="1040"/>
        </w:numPr>
      </w:pPr>
      <w:r>
        <w:t xml:space="preserve">[133] BSI Pressemitteilung:</w:t>
      </w:r>
      <w:r>
        <w:t xml:space="preserve"> </w:t>
      </w:r>
      <w:r>
        <w:t xml:space="preserve">“</w:t>
      </w:r>
      <w:r>
        <w:t xml:space="preserve">Cloud Computing: BSI und Schwarz Digits planen Kooperation</w:t>
      </w:r>
      <w:r>
        <w:t xml:space="preserve">”</w:t>
      </w:r>
      <w:r>
        <w:t xml:space="preserve">, 18. März 2025, bsi.bund.de. Strategische Kooperation für souveräne Bundesverwaltungs-Cloud, inkl. Geheimhaltungsstufe</w:t>
      </w:r>
      <w:r>
        <w:t xml:space="preserve"> </w:t>
      </w:r>
      <w:r>
        <w:t xml:space="preserve">“</w:t>
      </w:r>
      <w:r>
        <w:t xml:space="preserve">Geheim</w:t>
      </w:r>
      <w:r>
        <w:t xml:space="preserve">”</w:t>
      </w:r>
      <w:r>
        <w:t xml:space="preserve">; BSI-Präsidentin Plattner-Zitat.</w:t>
      </w:r>
    </w:p>
    <w:p>
      <w:pPr>
        <w:numPr>
          <w:ilvl w:val="0"/>
          <w:numId w:val="1040"/>
        </w:numPr>
      </w:pPr>
      <w:r>
        <w:t xml:space="preserve">[134] Behörden Spiegel:</w:t>
      </w:r>
      <w:r>
        <w:t xml:space="preserve"> </w:t>
      </w:r>
      <w:r>
        <w:t xml:space="preserve">“</w:t>
      </w:r>
      <w:r>
        <w:t xml:space="preserve">BSI kooperiert mit STACKIT für souveräne Cloud-Lösungen</w:t>
      </w:r>
      <w:r>
        <w:t xml:space="preserve">”</w:t>
      </w:r>
      <w:r>
        <w:t xml:space="preserve">, 19. März 2025. Bestehende BSI-Kooperationen: SAP, Oracle, Google Cloud; geplant: STACKIT, AWS. Post-Quanten-Kryptographie als Schwerpunkt.</w:t>
      </w:r>
    </w:p>
    <w:p>
      <w:pPr>
        <w:numPr>
          <w:ilvl w:val="0"/>
          <w:numId w:val="1040"/>
        </w:numPr>
      </w:pPr>
      <w:r>
        <w:t xml:space="preserve">[135] Computerwoche:</w:t>
      </w:r>
      <w:r>
        <w:t xml:space="preserve"> </w:t>
      </w:r>
      <w:r>
        <w:t xml:space="preserve">“</w:t>
      </w:r>
      <w:r>
        <w:t xml:space="preserve">BSI und Schwarz Digits kooperieren bei Cloud-Sicherheit</w:t>
      </w:r>
      <w:r>
        <w:t xml:space="preserve">”</w:t>
      </w:r>
      <w:r>
        <w:t xml:space="preserve">, 19. März 2025. Keine Vergabeentscheidung, reine Analysekooperation; BSI-Vizepräsident Caspers-Zitat.</w:t>
      </w:r>
    </w:p>
    <w:p>
      <w:pPr>
        <w:numPr>
          <w:ilvl w:val="0"/>
          <w:numId w:val="1040"/>
        </w:numPr>
      </w:pPr>
      <w:r>
        <w:t xml:space="preserve">[136] Schwarz Digits Wikipedia:</w:t>
      </w:r>
      <w:r>
        <w:t xml:space="preserve"> </w:t>
      </w:r>
      <w:r>
        <w:t xml:space="preserve">“</w:t>
      </w:r>
      <w:r>
        <w:t xml:space="preserve">Schwarz Digits</w:t>
      </w:r>
      <w:r>
        <w:t xml:space="preserve">”</w:t>
      </w:r>
      <w:r>
        <w:t xml:space="preserve">, en.wikipedia.org/wiki/Schwarz_Digits, Stand April 2026. DataHub Europe (Dt. Bahn), AuditGPT produktiv August 2025, SWR-Partnerschaft August 2025, Google Workspace 575.000 MA via STACKIT, 1,9 Mrd. EUR Umsatz 2024/25.</w:t>
      </w:r>
    </w:p>
    <w:p>
      <w:pPr>
        <w:numPr>
          <w:ilvl w:val="0"/>
          <w:numId w:val="1040"/>
        </w:numPr>
      </w:pPr>
      <w:r>
        <w:t xml:space="preserve">[137] CANCOM Newsroom:</w:t>
      </w:r>
      <w:r>
        <w:t xml:space="preserve"> </w:t>
      </w:r>
      <w:r>
        <w:t xml:space="preserve">“</w:t>
      </w:r>
      <w:r>
        <w:t xml:space="preserve">CANCOM integrates STACKIT’s sovereign cloud services into the Cloud Marketplace</w:t>
      </w:r>
      <w:r>
        <w:t xml:space="preserve">”</w:t>
      </w:r>
      <w:r>
        <w:t xml:space="preserve">, November 2025. Explizite CLOUD-Act-Freiheit als Vermarktungsargument; C5 Typ 2, ISO 27001, ISAE 3000/3402 bestätigt.</w:t>
      </w:r>
    </w:p>
    <w:p>
      <w:pPr>
        <w:numPr>
          <w:ilvl w:val="0"/>
          <w:numId w:val="1040"/>
        </w:numPr>
      </w:pPr>
      <w:r>
        <w:t xml:space="preserve">[138] Computerwoche:</w:t>
      </w:r>
      <w:r>
        <w:t xml:space="preserve"> </w:t>
      </w:r>
      <w:r>
        <w:t xml:space="preserve">“</w:t>
      </w:r>
      <w:r>
        <w:t xml:space="preserve">Schwarz Digits bietet deutsche Cloud für SAP-Lösungen</w:t>
      </w:r>
      <w:r>
        <w:t xml:space="preserve">”</w:t>
      </w:r>
      <w:r>
        <w:t xml:space="preserve">, Mai 2025. Wire als BSI-freigegebener VS-NfD-Messenger auf STACKIT; Schwarz Gruppe Gesamtinvestitionen 8,6 Mrd. EUR 2024, 9,6 Mrd. EUR 2025 geplant.</w:t>
      </w:r>
    </w:p>
    <w:p>
      <w:pPr>
        <w:numPr>
          <w:ilvl w:val="0"/>
          <w:numId w:val="1040"/>
        </w:numPr>
      </w:pPr>
      <w:r>
        <w:t xml:space="preserve">[139] xpert.digital:</w:t>
      </w:r>
      <w:r>
        <w:t xml:space="preserve"> </w:t>
      </w:r>
      <w:r>
        <w:t xml:space="preserve">“</w:t>
      </w:r>
      <w:r>
        <w:t xml:space="preserve">From discount retailer to STACKIT Cloud AI hyperscaler</w:t>
      </w:r>
      <w:r>
        <w:t xml:space="preserve">”</w:t>
      </w:r>
      <w:r>
        <w:t xml:space="preserve">, November 2025. AWS Deutschland: 7,8 Mrd. EUR Gesamtinvestition; STACKIT 11 Mrd. EUR nur für Lübbenau; Lübbenau als KI-Gigafactory-Kandidat in Branchendebatten.</w:t>
      </w:r>
    </w:p>
    <w:p>
      <w:pPr>
        <w:numPr>
          <w:ilvl w:val="0"/>
          <w:numId w:val="1040"/>
        </w:numPr>
      </w:pPr>
      <w:r>
        <w:t xml:space="preserve">[140] STACKIT:</w:t>
      </w:r>
      <w:r>
        <w:t xml:space="preserve"> </w:t>
      </w:r>
      <w:r>
        <w:t xml:space="preserve">“</w:t>
      </w:r>
      <w:r>
        <w:t xml:space="preserve">The sovereign cloud for the public sector</w:t>
      </w:r>
      <w:r>
        <w:t xml:space="preserve">”</w:t>
      </w:r>
      <w:r>
        <w:t xml:space="preserve">, stackit.com/en/solutions/industries/public-sector, abgerufen April 2026. DRV Bund Cloud RealLabor; GovTech Campus BMI; Wire VS-NfD-Freigabe.</w:t>
      </w:r>
      <w:r>
        <w:t xml:space="preserve"> </w:t>
      </w:r>
      <w:r>
        <w:t xml:space="preserve">### Enforcement-Gap — neue Quellen</w:t>
      </w:r>
    </w:p>
    <w:p>
      <w:pPr>
        <w:numPr>
          <w:ilvl w:val="0"/>
          <w:numId w:val="1040"/>
        </w:numPr>
      </w:pPr>
      <w:r>
        <w:t xml:space="preserve">[141] DSK-Beschluss:</w:t>
      </w:r>
      <w:r>
        <w:t xml:space="preserve"> </w:t>
      </w:r>
      <w:r>
        <w:t xml:space="preserve">“</w:t>
      </w:r>
      <w:r>
        <w:t xml:space="preserve">Festlegung der Datenschutzkonferenz — Datenschutzkonformer Betrieb von Microsoft 365 nicht nachweisbar</w:t>
      </w:r>
      <w:r>
        <w:t xml:space="preserve">”</w:t>
      </w:r>
      <w:r>
        <w:t xml:space="preserve">, 24. November 2022. Wortlaut:</w:t>
      </w:r>
      <w:r>
        <w:t xml:space="preserve"> </w:t>
      </w:r>
      <w:r>
        <w:t xml:space="preserve">“</w:t>
      </w:r>
      <w:r>
        <w:t xml:space="preserve">Der Nachweis eines datenschutzrechtskonformen Betriebs von Microsoft 365 auf Grundlage des Datenschutznachtrags vom 15.09.2022 kann nicht geführt werden.</w:t>
      </w:r>
      <w:r>
        <w:t xml:space="preserve">”</w:t>
      </w:r>
      <w:r>
        <w:t xml:space="preserve"> </w:t>
      </w:r>
      <w:r>
        <w:t xml:space="preserve">DSK-Mehrheitsbeschluss 9:8 Stimmen.</w:t>
      </w:r>
    </w:p>
    <w:p>
      <w:pPr>
        <w:numPr>
          <w:ilvl w:val="0"/>
          <w:numId w:val="1040"/>
        </w:numPr>
      </w:pPr>
      <w:r>
        <w:t xml:space="preserve">[142] FragDenStaat / DSK: Beschlussentwurf AK Verwaltung zu Microsoft Office 365, September 2020 (fragdenstaat.de/dokumente/7571). Erste DSK-Einstufung:</w:t>
      </w:r>
      <w:r>
        <w:t xml:space="preserve"> </w:t>
      </w:r>
      <w:r>
        <w:t xml:space="preserve">“</w:t>
      </w:r>
      <w:r>
        <w:t xml:space="preserve">kein datenschutzgerechter Einsatz von Microsoft Office 365 möglich.</w:t>
      </w:r>
      <w:r>
        <w:t xml:space="preserve">”</w:t>
      </w:r>
    </w:p>
    <w:p>
      <w:pPr>
        <w:numPr>
          <w:ilvl w:val="0"/>
          <w:numId w:val="1040"/>
        </w:numPr>
      </w:pPr>
      <w:r>
        <w:t xml:space="preserve">[143] Artikel91.eu:</w:t>
      </w:r>
      <w:r>
        <w:t xml:space="preserve"> </w:t>
      </w:r>
      <w:r>
        <w:t xml:space="preserve">“</w:t>
      </w:r>
      <w:r>
        <w:t xml:space="preserve">Aufsichten vs. Microsoft-Cloud: Viel Dialog, (fast) keine Sanktionen</w:t>
      </w:r>
      <w:r>
        <w:t xml:space="preserve">”</w:t>
      </w:r>
      <w:r>
        <w:t xml:space="preserve">, November 2021. Dokumentation: keine systematischen anlasslosen Prüfungen trotz DSK-Beschluss; Hamburger DSB bestätigt rein beratungsbasiertes Vorgehen.</w:t>
      </w:r>
    </w:p>
    <w:p>
      <w:pPr>
        <w:numPr>
          <w:ilvl w:val="0"/>
          <w:numId w:val="1040"/>
        </w:numPr>
      </w:pPr>
      <w:r>
        <w:t xml:space="preserve">[144] dsgvo-portal.de:</w:t>
      </w:r>
      <w:r>
        <w:t xml:space="preserve"> </w:t>
      </w:r>
      <w:r>
        <w:t xml:space="preserve">“</w:t>
      </w:r>
      <w:r>
        <w:t xml:space="preserve">Rückblick DSGVO-Bußgeldverfahren und Datenpannen 2024</w:t>
      </w:r>
      <w:r>
        <w:t xml:space="preserve">”</w:t>
      </w:r>
      <w:r>
        <w:t xml:space="preserve">, Januar 2025. Deutsche Behörden: 266 Bußgelder, ~2,5 Mio. EUR Gesamtvolumen 2024. Höchstbußgeld: 900 Tsd. EUR (Forderungsmanagement, Hamburg). Kein Gesundheitswesen-Cloud-Fall dokumentiert.</w:t>
      </w:r>
    </w:p>
    <w:p>
      <w:pPr>
        <w:numPr>
          <w:ilvl w:val="0"/>
          <w:numId w:val="1040"/>
        </w:numPr>
      </w:pPr>
      <w:r>
        <w:t xml:space="preserve">[145] LfDI Baden-Württemberg:</w:t>
      </w:r>
      <w:r>
        <w:t xml:space="preserve"> </w:t>
      </w:r>
      <w:r>
        <w:t xml:space="preserve">“</w:t>
      </w:r>
      <w:r>
        <w:t xml:space="preserve">Datenschützer verhängen Millionen-Bußgeld gegen AOK Baden-Württemberg</w:t>
      </w:r>
      <w:r>
        <w:t xml:space="preserve">”</w:t>
      </w:r>
      <w:r>
        <w:t xml:space="preserve">, 30. Juni 2020. 1,2 Mio. EUR wegen Gewinnspielmissbrauchs 2015–2019 — nicht wegen Cloud-Nutzung oder DSGVO Art. 48.</w:t>
      </w:r>
    </w:p>
    <w:p>
      <w:pPr>
        <w:numPr>
          <w:ilvl w:val="0"/>
          <w:numId w:val="1040"/>
        </w:numPr>
      </w:pPr>
      <w:r>
        <w:t xml:space="preserve">[146] dsgvo-portal.de:</w:t>
      </w:r>
      <w:r>
        <w:t xml:space="preserve"> </w:t>
      </w:r>
      <w:r>
        <w:t xml:space="preserve">“</w:t>
      </w:r>
      <w:r>
        <w:t xml:space="preserve">Rückblick DSGVO-Bußgeldverfahren und Datenpannen 2025</w:t>
      </w:r>
      <w:r>
        <w:t xml:space="preserve">”</w:t>
      </w:r>
      <w:r>
        <w:t xml:space="preserve">, Februar 2026. Deutsche Behörden: 249 Bußgelder, ~46,9 Mio. EUR (davon 45 Mio. EUR allein Vodafone/BfDI). Kein GKV/Klinik/Cloud-Act-Fall dokumentiert.</w:t>
      </w:r>
      <w:r>
        <w:t xml:space="preserve"> </w:t>
      </w:r>
      <w:r>
        <w:t xml:space="preserve">### Kapitel 13 — erweiterte Marktbeispiele</w:t>
      </w:r>
    </w:p>
    <w:p>
      <w:pPr>
        <w:numPr>
          <w:ilvl w:val="0"/>
          <w:numId w:val="1040"/>
        </w:numPr>
      </w:pPr>
      <w:r>
        <w:t xml:space="preserve">[147] Apotheke Adhoc:</w:t>
      </w:r>
      <w:r>
        <w:t xml:space="preserve"> </w:t>
      </w:r>
      <w:r>
        <w:t xml:space="preserve">“</w:t>
      </w:r>
      <w:r>
        <w:t xml:space="preserve">DAVASO/IQVIA: Kartellamt fragte bei BMG nach</w:t>
      </w:r>
      <w:r>
        <w:t xml:space="preserve">”</w:t>
      </w:r>
      <w:r>
        <w:t xml:space="preserve">, ohne Datum (2023). Kartellamt-Prüfung; BMG, BAS, BfDI einbezogen; Iqvia-Übernahme genehmigt.</w:t>
      </w:r>
    </w:p>
    <w:p>
      <w:pPr>
        <w:numPr>
          <w:ilvl w:val="0"/>
          <w:numId w:val="1040"/>
        </w:numPr>
      </w:pPr>
      <w:r>
        <w:t xml:space="preserve">[148] Apotheke Adhoc:</w:t>
      </w:r>
      <w:r>
        <w:t xml:space="preserve"> </w:t>
      </w:r>
      <w:r>
        <w:t xml:space="preserve">“</w:t>
      </w:r>
      <w:r>
        <w:t xml:space="preserve">Iqvia kauft Retaxfirma Davaso</w:t>
      </w:r>
      <w:r>
        <w:t xml:space="preserve">”</w:t>
      </w:r>
      <w:r>
        <w:t xml:space="preserve">, August 2021. DAVASO: &gt;50 % Apothekenrezepte DE, Abrechnungsvolumen 22 Mrd. EUR, 1.400 MA Leipzig/Taucha/Suhl.</w:t>
      </w:r>
    </w:p>
    <w:p>
      <w:pPr>
        <w:numPr>
          <w:ilvl w:val="0"/>
          <w:numId w:val="1040"/>
        </w:numPr>
      </w:pPr>
      <w:r>
        <w:t xml:space="preserve">[149] Apotheke Adhoc:</w:t>
      </w:r>
      <w:r>
        <w:t xml:space="preserve"> </w:t>
      </w:r>
      <w:r>
        <w:t xml:space="preserve">“</w:t>
      </w:r>
      <w:r>
        <w:t xml:space="preserve">Retax: Davaso wird Iqvia</w:t>
      </w:r>
      <w:r>
        <w:t xml:space="preserve">”</w:t>
      </w:r>
      <w:r>
        <w:t xml:space="preserve">, März 2026. Umbenennung DAVASO → IQVIA Health System Services (IQVIA HSS).</w:t>
      </w:r>
    </w:p>
    <w:p>
      <w:pPr>
        <w:numPr>
          <w:ilvl w:val="0"/>
          <w:numId w:val="1040"/>
        </w:numPr>
      </w:pPr>
      <w:r>
        <w:t xml:space="preserve">[150] Doctolib Datenschutzhinweise: help.doctolib.de, abgerufen April 2026. Patientendaten: AWS Frankfurt (primär), AWS Paris (Spiegelung).</w:t>
      </w:r>
    </w:p>
    <w:p>
      <w:pPr>
        <w:numPr>
          <w:ilvl w:val="0"/>
          <w:numId w:val="1040"/>
        </w:numPr>
      </w:pPr>
      <w:r>
        <w:t xml:space="preserve">[151] kuketz-blog.de:</w:t>
      </w:r>
      <w:r>
        <w:t xml:space="preserve"> </w:t>
      </w:r>
      <w:r>
        <w:t xml:space="preserve">“</w:t>
      </w:r>
      <w:r>
        <w:t xml:space="preserve">Datenschutz: Was Patienten zu Doctolib und ihren Rechten wissen müssen</w:t>
      </w:r>
      <w:r>
        <w:t xml:space="preserve">”</w:t>
      </w:r>
      <w:r>
        <w:t xml:space="preserve">, November 2024. Stammdatensatz-Import bei jeder Praxisanbindung.</w:t>
      </w:r>
    </w:p>
    <w:p>
      <w:pPr>
        <w:numPr>
          <w:ilvl w:val="0"/>
          <w:numId w:val="1040"/>
        </w:numPr>
      </w:pPr>
      <w:r>
        <w:t xml:space="preserve">[152] netzpolitik.org:</w:t>
      </w:r>
      <w:r>
        <w:t xml:space="preserve"> </w:t>
      </w:r>
      <w:r>
        <w:t xml:space="preserve">“</w:t>
      </w:r>
      <w:r>
        <w:t xml:space="preserve">Doctolib: Wachsender Riese im Gesundheitsdatenmarkt</w:t>
      </w:r>
      <w:r>
        <w:t xml:space="preserve">”</w:t>
      </w:r>
      <w:r>
        <w:t xml:space="preserve">, April 2024. Doppelrolle als Auftragsverarbeiter und eigenverantwortlich.</w:t>
      </w:r>
    </w:p>
    <w:p>
      <w:pPr>
        <w:numPr>
          <w:ilvl w:val="0"/>
          <w:numId w:val="1040"/>
        </w:numPr>
      </w:pPr>
      <w:r>
        <w:t xml:space="preserve">[153] HNO Nachrichten/Springer:</w:t>
      </w:r>
      <w:r>
        <w:t xml:space="preserve"> </w:t>
      </w:r>
      <w:r>
        <w:t xml:space="preserve">“</w:t>
      </w:r>
      <w:r>
        <w:t xml:space="preserve">Patientendaten sind in Doctolib-Cloud sicher</w:t>
      </w:r>
      <w:r>
        <w:t xml:space="preserve">”</w:t>
      </w:r>
      <w:r>
        <w:t xml:space="preserve">, Dezember 2025. C5 Typ 2 Testat Doctolib 2025; 12 Monate Audit.</w:t>
      </w:r>
    </w:p>
    <w:p>
      <w:pPr>
        <w:numPr>
          <w:ilvl w:val="0"/>
          <w:numId w:val="1040"/>
        </w:numPr>
      </w:pPr>
      <w:r>
        <w:t xml:space="preserve">[154] netzpolitik.org:</w:t>
      </w:r>
      <w:r>
        <w:t xml:space="preserve"> </w:t>
      </w:r>
      <w:r>
        <w:t xml:space="preserve">“</w:t>
      </w:r>
      <w:r>
        <w:t xml:space="preserve">Neue Datenschutzhinweise: Doctolib will KI-Modelle mit Gesundheitsdaten trainieren</w:t>
      </w:r>
      <w:r>
        <w:t xml:space="preserve">”</w:t>
      </w:r>
      <w:r>
        <w:t xml:space="preserve">, Januar 2025.</w:t>
      </w:r>
    </w:p>
    <w:p>
      <w:pPr>
        <w:numPr>
          <w:ilvl w:val="0"/>
          <w:numId w:val="1040"/>
        </w:numPr>
      </w:pPr>
      <w:r>
        <w:t xml:space="preserve">[155] NOVENTI expopharm 2024: Pressemitteilung Oktober 2024. TIaaS, PROKAS Evolution, eigene RZ, apothekereigenes Unternehmen (FSA e.V.).</w:t>
      </w:r>
    </w:p>
    <w:p>
      <w:pPr>
        <w:numPr>
          <w:ilvl w:val="0"/>
          <w:numId w:val="1040"/>
        </w:numPr>
      </w:pPr>
      <w:r>
        <w:t xml:space="preserve">[156] CGM Wikipedia:</w:t>
      </w:r>
      <w:r>
        <w:t xml:space="preserve"> </w:t>
      </w:r>
      <w:r>
        <w:t xml:space="preserve">“</w:t>
      </w:r>
      <w:r>
        <w:t xml:space="preserve">CompuGroup Medical</w:t>
      </w:r>
      <w:r>
        <w:t xml:space="preserve">”</w:t>
      </w:r>
      <w:r>
        <w:t xml:space="preserve">, en.wikipedia.org, Stand April 2026. CVC Capital Partners ~28 % seit Juni 2025, Delisting TecDAX; 30 % aller deutschen E-Rezepte über CGM.</w:t>
      </w:r>
    </w:p>
    <w:p>
      <w:pPr>
        <w:numPr>
          <w:ilvl w:val="0"/>
          <w:numId w:val="1040"/>
        </w:numPr>
      </w:pPr>
      <w:r>
        <w:t xml:space="preserve">[157] bibliomedmanager.de:</w:t>
      </w:r>
      <w:r>
        <w:t xml:space="preserve"> </w:t>
      </w:r>
      <w:r>
        <w:t xml:space="preserve">“</w:t>
      </w:r>
      <w:r>
        <w:t xml:space="preserve">CGM-Umsatz 2025: Wachstum durch Cloud und KI</w:t>
      </w:r>
      <w:r>
        <w:t xml:space="preserve">”</w:t>
      </w:r>
      <w:r>
        <w:t xml:space="preserve">, Februar 2026. Gesamtumsatz 1,213 Mrd. EUR; KH-Segment +10 % auf 353 Mio. EUR.</w:t>
      </w:r>
    </w:p>
    <w:p>
      <w:pPr>
        <w:numPr>
          <w:ilvl w:val="0"/>
          <w:numId w:val="1040"/>
        </w:numPr>
      </w:pPr>
      <w:r>
        <w:t xml:space="preserve">[158] CGM Pressemitteilung:</w:t>
      </w:r>
      <w:r>
        <w:t xml:space="preserve"> </w:t>
      </w:r>
      <w:r>
        <w:t xml:space="preserve">“</w:t>
      </w:r>
      <w:r>
        <w:t xml:space="preserve">Entwicklungspartnerschaft CGM / UKH Heidelberg zur SAP IS-H-Nachfolge</w:t>
      </w:r>
      <w:r>
        <w:t xml:space="preserve">”</w:t>
      </w:r>
      <w:r>
        <w:t xml:space="preserve">, April 2024. CGM CLINICAL als IS-H-Nachfolge; private Cloud-Option.</w:t>
      </w:r>
    </w:p>
    <w:p>
      <w:pPr>
        <w:numPr>
          <w:ilvl w:val="0"/>
          <w:numId w:val="1040"/>
        </w:numPr>
      </w:pPr>
      <w:r>
        <w:t xml:space="preserve">[159] Arvato Systems:</w:t>
      </w:r>
      <w:r>
        <w:t xml:space="preserve"> </w:t>
      </w:r>
      <w:r>
        <w:t xml:space="preserve">“</w:t>
      </w:r>
      <w:r>
        <w:t xml:space="preserve">Cloud migration for kubus IT</w:t>
      </w:r>
      <w:r>
        <w:t xml:space="preserve">”</w:t>
      </w:r>
      <w:r>
        <w:t xml:space="preserve">, us.arvato-systems.com/more/about-arvato-systems/references/kubus-it, abgerufen April 2026. Vollmigration Kubus IT → Arvato Systems RZ; 17.500 IT-Nutzer; Google Cloud als Hyperscaler-Option.</w:t>
      </w:r>
    </w:p>
    <w:p>
      <w:pPr>
        <w:numPr>
          <w:ilvl w:val="0"/>
          <w:numId w:val="1040"/>
        </w:numPr>
      </w:pPr>
      <w:r>
        <w:t xml:space="preserve">[160] Arvato Systems Blog:</w:t>
      </w:r>
      <w:r>
        <w:t xml:space="preserve"> </w:t>
      </w:r>
      <w:r>
        <w:t xml:space="preserve">“</w:t>
      </w:r>
      <w:r>
        <w:t xml:space="preserve">Digitalization for health insurers: at the Google Cloud Summit South</w:t>
      </w:r>
      <w:r>
        <w:t xml:space="preserve">”</w:t>
      </w:r>
      <w:r>
        <w:t xml:space="preserve">, Juni 2024. Kubus IT als Nachweis Google Cloud + souveräne GKV-IT; Sovereign Cloud Diskussion; Panel Google Cloud Summit München Juni 2024.</w:t>
      </w:r>
    </w:p>
    <w:p>
      <w:pPr>
        <w:numPr>
          <w:ilvl w:val="0"/>
          <w:numId w:val="1040"/>
        </w:numPr>
      </w:pPr>
      <w:r>
        <w:t xml:space="preserve">[161] e-health-com.de:</w:t>
      </w:r>
      <w:r>
        <w:t xml:space="preserve"> </w:t>
      </w:r>
      <w:r>
        <w:t xml:space="preserve">“</w:t>
      </w:r>
      <w:r>
        <w:t xml:space="preserve">adesso wird Cloud-Transformationspartner für das ITSC</w:t>
      </w:r>
      <w:r>
        <w:t xml:space="preserve">”</w:t>
      </w:r>
      <w:r>
        <w:t xml:space="preserve">, 2024. ITSC → OVHcloud (FR, EU-souverän); Projektstart Mai 2024; siebenstelliges Budget; adesso als Migrationspartner.</w:t>
      </w:r>
    </w:p>
    <w:bookmarkEnd w:id="178"/>
    <w:bookmarkStart w:id="179" w:name="us-sanktionen-und-digitale-abhängigkeit"/>
    <w:p>
      <w:pPr>
        <w:pStyle w:val="Heading3"/>
      </w:pPr>
      <w:r>
        <w:t xml:space="preserve">US-Sanktionen und digitale Abhängigkeit</w:t>
      </w:r>
    </w:p>
    <w:p>
      <w:pPr>
        <w:numPr>
          <w:ilvl w:val="0"/>
          <w:numId w:val="1041"/>
        </w:numPr>
        <w:pStyle w:val="Compact"/>
      </w:pPr>
      <w:r>
        <w:t xml:space="preserve">[162] HateAid: Pressemitteilung, 14. Januar 2026. US-Sanktionierung der HateAid-Geschäftsführerinnen Josephine Ballon und Anna-Lena von Hodenberg durch US-Außenminister Rubio.</w:t>
      </w:r>
    </w:p>
    <w:p>
      <w:pPr>
        <w:numPr>
          <w:ilvl w:val="0"/>
          <w:numId w:val="1041"/>
        </w:numPr>
        <w:pStyle w:val="Compact"/>
      </w:pPr>
      <w:r>
        <w:t xml:space="preserve">[163] CNN:</w:t>
      </w:r>
      <w:r>
        <w:t xml:space="preserve"> </w:t>
      </w:r>
      <w:r>
        <w:t xml:space="preserve">“</w:t>
      </w:r>
      <w:r>
        <w:t xml:space="preserve">US sanctions European officials and activists over online censorship concerns</w:t>
      </w:r>
      <w:r>
        <w:t xml:space="preserve">”</w:t>
      </w:r>
      <w:r>
        <w:t xml:space="preserve">, 24. Dezember 2025. Berichterstattung zur HateAid-Sanktionierung, EU-Kommissar Breton, britische Anti-Desinformations-Organisationen.</w:t>
      </w:r>
    </w:p>
    <w:p>
      <w:pPr>
        <w:numPr>
          <w:ilvl w:val="0"/>
          <w:numId w:val="1041"/>
        </w:numPr>
        <w:pStyle w:val="Compact"/>
      </w:pPr>
      <w:r>
        <w:t xml:space="preserve">[164] The Local:</w:t>
      </w:r>
      <w:r>
        <w:t xml:space="preserve"> </w:t>
      </w:r>
      <w:r>
        <w:t xml:space="preserve">“</w:t>
      </w:r>
      <w:r>
        <w:t xml:space="preserve">US sanctions two German anti-hate speech activists</w:t>
      </w:r>
      <w:r>
        <w:t xml:space="preserve">”</w:t>
      </w:r>
      <w:r>
        <w:t xml:space="preserve">, 24. Dezember 2025. Reaktion Bundesregierung; Bundestags-Vizepräsident Nouripour fordert Einbestellung des US-Geschäftsträgers.</w:t>
      </w:r>
    </w:p>
    <w:p>
      <w:pPr>
        <w:numPr>
          <w:ilvl w:val="0"/>
          <w:numId w:val="1041"/>
        </w:numPr>
        <w:pStyle w:val="Compact"/>
      </w:pPr>
      <w:r>
        <w:t xml:space="preserve">[165] MIT Technology Review:</w:t>
      </w:r>
      <w:r>
        <w:t xml:space="preserve"> </w:t>
      </w:r>
      <w:r>
        <w:t xml:space="preserve">“</w:t>
      </w:r>
      <w:r>
        <w:t xml:space="preserve">What happens when the US sanctions you — and you depend on US tech</w:t>
      </w:r>
      <w:r>
        <w:t xml:space="preserve">”</w:t>
      </w:r>
      <w:r>
        <w:t xml:space="preserve">, 19. Januar 2026. Fallstudie ICC-Richter: Verlust des Zugangs zu Microsoft, Amazon, Gmail, Visa, Mastercard nach Sanktionierung.</w:t>
      </w:r>
    </w:p>
    <w:bookmarkEnd w:id="179"/>
    <w:bookmarkStart w:id="180" w:name="gkv-kv-infrastruktur-und-ausschreibungen"/>
    <w:p>
      <w:pPr>
        <w:pStyle w:val="Heading3"/>
      </w:pPr>
      <w:r>
        <w:t xml:space="preserve">GKV-/KV-Infrastruktur und Ausschreibungen</w:t>
      </w:r>
    </w:p>
    <w:p>
      <w:pPr>
        <w:numPr>
          <w:ilvl w:val="0"/>
          <w:numId w:val="1042"/>
        </w:numPr>
        <w:pStyle w:val="Compact"/>
      </w:pPr>
      <w:r>
        <w:t xml:space="preserve">[166] govdigital.de:</w:t>
      </w:r>
      <w:r>
        <w:t xml:space="preserve"> </w:t>
      </w:r>
      <w:r>
        <w:t xml:space="preserve">“</w:t>
      </w:r>
      <w:r>
        <w:t xml:space="preserve">BITMARCK tritt govdigital bei</w:t>
      </w:r>
      <w:r>
        <w:t xml:space="preserve">”</w:t>
      </w:r>
      <w:r>
        <w:t xml:space="preserve">, Oktober 2024. BITMARCK govdigital-Beitritt; Kontext BITMARCK-all-in-ONE-Programm.</w:t>
      </w:r>
    </w:p>
    <w:p>
      <w:pPr>
        <w:numPr>
          <w:ilvl w:val="0"/>
          <w:numId w:val="1042"/>
        </w:numPr>
        <w:pStyle w:val="Compact"/>
      </w:pPr>
      <w:r>
        <w:t xml:space="preserve">[167] BITMARCK: Kundentag 2025. Strategiepräsentation Cloud-Migration und SAP S/4HANA-Roadmap.</w:t>
      </w:r>
    </w:p>
    <w:p>
      <w:pPr>
        <w:numPr>
          <w:ilvl w:val="0"/>
          <w:numId w:val="1042"/>
        </w:numPr>
        <w:pStyle w:val="Compact"/>
      </w:pPr>
      <w:r>
        <w:t xml:space="preserve">[168] kvno.de:</w:t>
      </w:r>
      <w:r>
        <w:t xml:space="preserve"> </w:t>
      </w:r>
      <w:r>
        <w:t xml:space="preserve">“</w:t>
      </w:r>
      <w:r>
        <w:t xml:space="preserve">KV-IT GmbH</w:t>
      </w:r>
      <w:r>
        <w:t xml:space="preserve">”</w:t>
      </w:r>
      <w:r>
        <w:t xml:space="preserve">, kvno.de/kv-it-gmbh, abgerufen April 2026. Gemeinsame IT-Gesellschaft KVWL/KVNO in Düsseldorf/Dortmund.</w:t>
      </w:r>
    </w:p>
    <w:p>
      <w:pPr>
        <w:numPr>
          <w:ilvl w:val="0"/>
          <w:numId w:val="1042"/>
        </w:numPr>
        <w:pStyle w:val="Compact"/>
      </w:pPr>
      <w:r>
        <w:t xml:space="preserve">[169] TED: Ausschreibung 98706-2026, EU-Amtsblatt S 29/2026, 11. Februar 2026. KVNO-Ausschreibung X-KVNO-2025-0023:</w:t>
      </w:r>
      <w:r>
        <w:t xml:space="preserve"> </w:t>
      </w:r>
      <w:r>
        <w:t xml:space="preserve">“</w:t>
      </w:r>
      <w:r>
        <w:t xml:space="preserve">Entwicklung und Betrieb einer KI-Plattform als PaaS-Lösung</w:t>
      </w:r>
      <w:r>
        <w:t xml:space="preserve">”</w:t>
      </w:r>
      <w:r>
        <w:t xml:space="preserve"> </w:t>
      </w:r>
      <w:r>
        <w:t xml:space="preserve">auf Azure Cloud.</w:t>
      </w:r>
    </w:p>
    <w:p>
      <w:pPr>
        <w:numPr>
          <w:ilvl w:val="0"/>
          <w:numId w:val="1042"/>
        </w:numPr>
        <w:pStyle w:val="Compact"/>
      </w:pPr>
      <w:r>
        <w:t xml:space="preserve">[170] BMG: Pressemitteilung, Oktober 2025. FDZ Gesundheit beim BfArM: Betriebsstart, GKV-Abrechnungsdaten 2009–2023 von 73 Mio. Versicherten.</w:t>
      </w:r>
    </w:p>
    <w:bookmarkEnd w:id="180"/>
    <w:bookmarkStart w:id="181" w:name="weitere-marktbeispiele"/>
    <w:p>
      <w:pPr>
        <w:pStyle w:val="Heading3"/>
      </w:pPr>
      <w:r>
        <w:t xml:space="preserve">Weitere Marktbeispiele</w:t>
      </w:r>
    </w:p>
    <w:p>
      <w:pPr>
        <w:numPr>
          <w:ilvl w:val="0"/>
          <w:numId w:val="1043"/>
        </w:numPr>
        <w:pStyle w:val="Compact"/>
      </w:pPr>
      <w:r>
        <w:t xml:space="preserve">[171] zaronews.world: Pressemitteilung HBSN AG, Juni 2018. MDK-Gemeinschaft: europaweites Vergabeverfahren, Konsortium HBSN/EWERK RZ/MOBIL ISC.</w:t>
      </w:r>
    </w:p>
    <w:p>
      <w:pPr>
        <w:numPr>
          <w:ilvl w:val="0"/>
          <w:numId w:val="1043"/>
        </w:numPr>
        <w:pStyle w:val="Compact"/>
      </w:pPr>
      <w:r>
        <w:t xml:space="preserve">[172] Charité — Universitätsmedizin Berlin: Pressemitteilung, Dezember 2025. Vergabe KIS-Neubeschaffung an Epic Systems (Verona, WI); 200 Mio. EUR / 10 Jahre; Implementierung bis Ende 2029.</w:t>
      </w:r>
    </w:p>
    <w:p>
      <w:pPr>
        <w:numPr>
          <w:ilvl w:val="0"/>
          <w:numId w:val="1043"/>
        </w:numPr>
        <w:pStyle w:val="Compact"/>
      </w:pPr>
      <w:r>
        <w:t xml:space="preserve">[173] Energieforen Leipzig / EWERK: Zertifizierungsseite, abgerufen April 2026. EWERK ISO 27001, ISO 20000, ISAE 3402 Typ II; BSI C5 Typ 2 in Vorbereitung. Ergänzend: Trusted Cloud, EWERK Digital Profil.</w:t>
      </w:r>
    </w:p>
    <w:bookmarkEnd w:id="181"/>
    <w:bookmarkStart w:id="182" w:name="secnumcloud-eucs-und-cloud-souveränität"/>
    <w:p>
      <w:pPr>
        <w:pStyle w:val="Heading3"/>
      </w:pPr>
      <w:r>
        <w:t xml:space="preserve">SecNumCloud, EUCS und Cloud-Souveränität</w:t>
      </w:r>
    </w:p>
    <w:p>
      <w:pPr>
        <w:numPr>
          <w:ilvl w:val="0"/>
          <w:numId w:val="1044"/>
        </w:numPr>
        <w:pStyle w:val="Compact"/>
      </w:pPr>
      <w:r>
        <w:t xml:space="preserve">[174] Ifri: Digital Sovereignty — Review of Macron’s Term and Debates in the 2022 Presidential Campaign, 2022. Pierre Bellanger,</w:t>
      </w:r>
      <w:r>
        <w:t xml:space="preserve"> </w:t>
      </w:r>
      <w:r>
        <w:rPr>
          <w:iCs/>
          <w:i/>
        </w:rPr>
        <w:t xml:space="preserve">Souveraineté Numérique</w:t>
      </w:r>
      <w:r>
        <w:t xml:space="preserve"> </w:t>
      </w:r>
      <w:r>
        <w:t xml:space="preserve">(2014); Institut de la Souveraineté Numérique gegründet nach drei nationalen Gipfeltreffen 2014–2017: https://www.ifri.org/en/memos/digital-sovereignty-review-macrons-term-and-debates-2022-presidential-campaign</w:t>
      </w:r>
    </w:p>
    <w:p>
      <w:pPr>
        <w:numPr>
          <w:ilvl w:val="0"/>
          <w:numId w:val="1044"/>
        </w:numPr>
        <w:pStyle w:val="Compact"/>
      </w:pPr>
      <w: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numPr>
          <w:ilvl w:val="0"/>
          <w:numId w:val="1044"/>
        </w:numPr>
        <w:pStyle w:val="Compact"/>
      </w:pPr>
      <w:r>
        <w:t xml:space="preserve">[176] numerique.gouv.fr: Doctrine</w:t>
      </w:r>
      <w:r>
        <w:t xml:space="preserve"> </w:t>
      </w:r>
      <w:r>
        <w:t xml:space="preserve">“</w:t>
      </w:r>
      <w:r>
        <w:t xml:space="preserve">Cloud au centre</w:t>
      </w:r>
      <w:r>
        <w:t xml:space="preserve">”</w:t>
      </w:r>
      <w:r>
        <w:t xml:space="preserve"> </w:t>
      </w:r>
      <w:r>
        <w:t xml:space="preserve">— Rundschreiben des Premierministers vom 5. Juli 2021, aktualisiert 31. Mai 2023. SecNumCloud-Qualifizierung verpflichtend für sensible Daten des Staates: https://www.numerique.gouv.fr/services/cloud/doctrine/</w:t>
      </w:r>
    </w:p>
    <w:p>
      <w:pPr>
        <w:numPr>
          <w:ilvl w:val="0"/>
          <w:numId w:val="1044"/>
        </w:numPr>
        <w:pStyle w:val="Compact"/>
      </w:pPr>
      <w: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numPr>
          <w:ilvl w:val="0"/>
          <w:numId w:val="1044"/>
        </w:numPr>
        <w:pStyle w:val="Compact"/>
      </w:pPr>
      <w: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numPr>
          <w:ilvl w:val="0"/>
          <w:numId w:val="1044"/>
        </w:numPr>
        <w:pStyle w:val="Compact"/>
      </w:pPr>
      <w:r>
        <w:t xml:space="preserve">[179] The Register: US lobbyists pay for report critical of EU cloud regulation, März 2023. ITIF-Studie gegen EU-Souveränitätsanforderungen von US-Lobbyisten finanziert: https://www.theregister.com/2023/03/06/proposed_eu_cloud_regulation/</w:t>
      </w:r>
    </w:p>
    <w:p>
      <w:pPr>
        <w:numPr>
          <w:ilvl w:val="0"/>
          <w:numId w:val="1044"/>
        </w:numPr>
        <w:pStyle w:val="Compact"/>
      </w:pPr>
      <w: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numPr>
          <w:ilvl w:val="0"/>
          <w:numId w:val="1044"/>
        </w:numPr>
        <w:pStyle w:val="Compact"/>
      </w:pPr>
      <w:r>
        <w:t xml:space="preserve">[181] European Business Review: France and Germany increasingly drift apart on digital sovereignty of cloud sector. Divergierende Positionen bei EUCS und Cloud-Souveränität: https://www.europeanbusinessreview.eu/page.asp?pid=6989</w:t>
      </w:r>
    </w:p>
    <w:p>
      <w:pPr>
        <w:numPr>
          <w:ilvl w:val="0"/>
          <w:numId w:val="1044"/>
        </w:numPr>
        <w:pStyle w:val="Compact"/>
      </w:pPr>
      <w: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numPr>
          <w:ilvl w:val="0"/>
          <w:numId w:val="1044"/>
        </w:numPr>
        <w:pStyle w:val="Compact"/>
      </w:pPr>
      <w: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numPr>
          <w:ilvl w:val="0"/>
          <w:numId w:val="1044"/>
        </w:numPr>
        <w:pStyle w:val="Compact"/>
      </w:pPr>
      <w: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numPr>
          <w:ilvl w:val="0"/>
          <w:numId w:val="1044"/>
        </w:numPr>
        <w:pStyle w:val="Compact"/>
      </w:pPr>
      <w: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numPr>
          <w:ilvl w:val="0"/>
          <w:numId w:val="1044"/>
        </w:numPr>
        <w:pStyle w:val="Compact"/>
      </w:pPr>
      <w:r>
        <w:t xml:space="preserve">[186] BSI: C5:2026 — Kriterienkatalog für Cloud Computing (finale Version, veröffentlicht 7. April 2026). Souveränitätskriterien als separates Dokument angekündigt (</w:t>
      </w:r>
      <w:r>
        <w:t xml:space="preserve">“</w:t>
      </w:r>
      <w:r>
        <w:t xml:space="preserve">in Kürze</w:t>
      </w:r>
      <w:r>
        <w:t xml:space="preserve">”</w:t>
      </w:r>
      <w:r>
        <w:t xml:space="preserve">), nicht in C5:2026 integriert: https://www.bsi.bund.de/DE/Themen/Unternehmen-und-Organisationen/Informationen-und-Empfehlungen/Empfehlungen-nach-Angriffszielen/Cloud-Computing/Kriterienkatalog-C5/C5_2025/C5_2025_node.html</w:t>
      </w:r>
    </w:p>
    <w:p>
      <w:pPr>
        <w:numPr>
          <w:ilvl w:val="0"/>
          <w:numId w:val="1044"/>
        </w:numPr>
        <w:pStyle w:val="Compact"/>
      </w:pPr>
      <w: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numPr>
          <w:ilvl w:val="0"/>
          <w:numId w:val="1044"/>
        </w:numPr>
        <w:pStyle w:val="Compact"/>
      </w:pPr>
      <w:r>
        <w:t xml:space="preserve">[188] BSI Pressemitteilung:</w:t>
      </w:r>
      <w:r>
        <w:t xml:space="preserve"> </w:t>
      </w:r>
      <w:r>
        <w:t xml:space="preserve">“</w:t>
      </w:r>
      <w:r>
        <w:t xml:space="preserve">Sicheres Cloud-Computing: BSI veröffentlicht C5:2026</w:t>
      </w:r>
      <w:r>
        <w:t xml:space="preserve">”</w:t>
      </w:r>
      <w:r>
        <w:t xml:space="preserve">,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numPr>
          <w:ilvl w:val="0"/>
          <w:numId w:val="1044"/>
        </w:numPr>
        <w:pStyle w:val="Compact"/>
      </w:pPr>
      <w: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numPr>
          <w:ilvl w:val="0"/>
          <w:numId w:val="1044"/>
        </w:numPr>
        <w:pStyle w:val="Compact"/>
      </w:pPr>
      <w:r>
        <w:t xml:space="preserve">[190] DSK: Beschluss Positionspapier zu cloudbasierten digitalen Gesundheitsanwendungen, 06. November 2023. Cloud-Funktionen standardmäßig deaktiviert; Privacy by Default; BSI-TR als Maßstab: https://www.datenschutzkonferenz-online.de/media/dskb/2023_11_06_Beschluss_cloudbasierte_digitale_Gesundheitsanwendungen.pdf</w:t>
      </w:r>
    </w:p>
    <w:p>
      <w:pPr>
        <w:numPr>
          <w:ilvl w:val="0"/>
          <w:numId w:val="1044"/>
        </w:numPr>
        <w:pStyle w:val="Compact"/>
      </w:pPr>
      <w:r>
        <w:t xml:space="preserve">[191] DSK: Entschließung zu Confidential Cloud Computing, 16. Juni 2025. Cloud-Betreiber behalten umfassenden physischen und technischen Zugriff; Marketingversprechen halten regelmäßig einer Prüfung nicht stand: https://www.datenschutz-berlin.de/fileadmin/user_upload/pdf/publikationen/DSK/2025/20250617-DSK-Entschliessung_Confidential-Cloud-Computing.pdf</w:t>
      </w:r>
    </w:p>
    <w:p>
      <w:pPr>
        <w:numPr>
          <w:ilvl w:val="0"/>
          <w:numId w:val="1044"/>
        </w:numPr>
        <w:pStyle w:val="Compact"/>
      </w:pPr>
      <w:r>
        <w:t xml:space="preserve">[192] DSK: Orientierungshilfe zu empfohlenen technischen und organisatorischen Maßnahmen bei der Entwicklung und beim Betrieb von KI-Systemen, Mai/Juni 2025. Erste koordinierte KI-Orientierungshilfe aller Aufsichtsbehörden; DSFA für LLMs erforderlich: https://www.lfd.niedersachsen.de/dsk-ki</w:t>
      </w:r>
    </w:p>
    <w:p>
      <w:pPr>
        <w:numPr>
          <w:ilvl w:val="0"/>
          <w:numId w:val="1044"/>
        </w:numPr>
        <w:pStyle w:val="Compact"/>
      </w:pPr>
      <w:r>
        <w:t xml:space="preserve">[193] DSK: Positionspapier Datenschutz bei der Terminverwaltung durch Heilberufspraxen, 16. Juni 2025. Patientenstammdaten nicht pauschal an Cloud-Termindienstleister übermitteln: https://www.datenschutzkonferenz-online.de/media/dskb/DSK-Beschluss_Positionspapier_Terminverwaltungsunternehmen.pdf</w:t>
      </w:r>
    </w:p>
    <w:p>
      <w:pPr>
        <w:numPr>
          <w:ilvl w:val="0"/>
          <w:numId w:val="1044"/>
        </w:numPr>
        <w:pStyle w:val="Compact"/>
      </w:pPr>
      <w:r>
        <w:t xml:space="preserve">[194] BfDI:</w:t>
      </w:r>
      <w:r>
        <w:t xml:space="preserve"> </w:t>
      </w:r>
      <w:r>
        <w:t xml:space="preserve">“</w:t>
      </w:r>
      <w:r>
        <w:t xml:space="preserve">KI in Behörden — Datenschutz von Anfang an mitdenken</w:t>
      </w:r>
      <w:r>
        <w:t xml:space="preserve">”</w:t>
      </w:r>
      <w:r>
        <w:t xml:space="preserve">, KI-Handreichung für die Bundesverwaltung, 22. Dezember 2025: https://www.bfdi.bund.de/SharedDocs/Downloads/DE/DokumenteBfDI/Dokumente-allg/2025/Handreichung-KI.pdf</w:t>
      </w:r>
    </w:p>
    <w:p>
      <w:pPr>
        <w:numPr>
          <w:ilvl w:val="0"/>
          <w:numId w:val="1044"/>
        </w:numPr>
        <w:pStyle w:val="Compact"/>
      </w:pPr>
      <w:r>
        <w:t xml:space="preserve">[195] LfDI Baden-Württemberg: Diskussionspapier</w:t>
      </w:r>
      <w:r>
        <w:t xml:space="preserve"> </w:t>
      </w:r>
      <w:r>
        <w:t xml:space="preserve">“</w:t>
      </w:r>
      <w:r>
        <w:t xml:space="preserve">Rechtsgrundlagen im Datenschutz beim Einsatz von Künstlicher Intelligenz</w:t>
      </w:r>
      <w:r>
        <w:t xml:space="preserve">”</w:t>
      </w:r>
      <w:r>
        <w:t xml:space="preserve">, Version 2.0, 17. Oktober 2024. Rechtsgrundlage für jede KI-Phase separat; EHDS-VO referenziert: https://www.baden-wuerttemberg.datenschutz.de/rechtsgrundlagen-datenschutz-ki/</w:t>
      </w:r>
    </w:p>
    <w:p>
      <w:pPr>
        <w:numPr>
          <w:ilvl w:val="0"/>
          <w:numId w:val="1044"/>
        </w:numPr>
        <w:pStyle w:val="Compact"/>
      </w:pPr>
      <w:r>
        <w:t xml:space="preserve">[196] BayLDA: Checkliste</w:t>
      </w:r>
      <w:r>
        <w:t xml:space="preserve"> </w:t>
      </w:r>
      <w:r>
        <w:t xml:space="preserve">“</w:t>
      </w:r>
      <w:r>
        <w:t xml:space="preserve">Datenschutz und KI</w:t>
      </w:r>
      <w:r>
        <w:t xml:space="preserve">”</w:t>
      </w:r>
      <w:r>
        <w:t xml:space="preserve"> </w:t>
      </w:r>
      <w:r>
        <w:t xml:space="preserve">(Konsultationsentwurf) + Flyer</w:t>
      </w:r>
      <w:r>
        <w:t xml:space="preserve"> </w:t>
      </w:r>
      <w:r>
        <w:t xml:space="preserve">“</w:t>
      </w:r>
      <w:r>
        <w:t xml:space="preserve">Next-Level-Bausteine für KI</w:t>
      </w:r>
      <w:r>
        <w:t xml:space="preserve">”</w:t>
      </w:r>
      <w:r>
        <w:t xml:space="preserve">, 2024/2025. AI-as-a-Service = Auftragsverarbeitung; Drittlandstransfer prüfen: https://www.lda.bayern.de/de/ki.html</w:t>
      </w:r>
    </w:p>
    <w:p>
      <w:pPr>
        <w:numPr>
          <w:ilvl w:val="0"/>
          <w:numId w:val="1044"/>
        </w:numPr>
        <w:pStyle w:val="Compact"/>
      </w:pPr>
      <w:r>
        <w:t xml:space="preserve">[197] LfDI Rheinland-Pfalz: Aktive KI-Prüfung im Gesundheitswesen — Auskunftsersuchen nach Art. 58 Abs. 1 lit. a DSGVO, März 2026. Erste dokumentierte Enforcement-Aktion KI + Gesundheitswesen: https://www.bublitzpeters.de/2026/03/12/datenschutzaufsicht-prueft-ki-einsatz-im-gesundheitswesen/</w:t>
      </w:r>
    </w:p>
    <w:p>
      <w:pPr>
        <w:numPr>
          <w:ilvl w:val="0"/>
          <w:numId w:val="1044"/>
        </w:numPr>
        <w:pStyle w:val="Compact"/>
      </w:pPr>
      <w:r>
        <w:t xml:space="preserve">[198] EDPB: Report on Coordinated Enforcement Framework — Use of cloud-based services by the public sector, 2023. 7 deutsche Landesbehörden beteiligt; nur 32 von 86 geprüften Stellen hatten DSFA vor Cloud-Einsatz durchgeführt: https://www.edpb.europa.eu/system/files/2023-01/edpb_20230118_cef_cloud-basedservices_publicsector_en.pdf</w:t>
      </w:r>
    </w:p>
    <w:p>
      <w:pPr>
        <w:numPr>
          <w:ilvl w:val="0"/>
          <w:numId w:val="1044"/>
        </w:numPr>
        <w:pStyle w:val="Compact"/>
      </w:pPr>
      <w:r>
        <w:t xml:space="preserve">[199] DSK: Positionspapier</w:t>
      </w:r>
      <w:r>
        <w:t xml:space="preserve"> </w:t>
      </w:r>
      <w:r>
        <w:t xml:space="preserve">“</w:t>
      </w:r>
      <w:r>
        <w:t xml:space="preserve">Kriterien für Souveräne Clouds</w:t>
      </w:r>
      <w:r>
        <w:t xml:space="preserve">”</w:t>
      </w:r>
      <w:r>
        <w:t xml:space="preserve">, 11. Mai 2023. Drittlandszugriffsrisiko muss ausgeschlossen sein; Open-Source-Basis empfohlen: https://www.datenschutzkonferenz-online.de/media/weitere_dokumente/2023-05-11_DSK-Positionspapier_Kritierien-Souv-Clouds.pdf</w:t>
      </w:r>
    </w:p>
    <w:p>
      <w:pPr>
        <w:numPr>
          <w:ilvl w:val="0"/>
          <w:numId w:val="1044"/>
        </w:numPr>
        <w:pStyle w:val="Compact"/>
      </w:pPr>
      <w:r>
        <w:t xml:space="preserve">[200] LfDI Baden-Württemberg: Empfehlungen zum Einsatz von KI-Anwendungen von Anbietern außerhalb der EU, 2025. Warnung vor KI-Anbietern ohne Art.-27-DSGVO-Vertreter; koordiniertes Verfahren gegen DeepSeek: https://www.baden-wuerttemberg.datenschutz.de/drittstaaten-ki/</w:t>
      </w:r>
    </w:p>
    <w:p>
      <w:pPr>
        <w:numPr>
          <w:ilvl w:val="0"/>
          <w:numId w:val="1044"/>
        </w:numPr>
        <w:pStyle w:val="Compact"/>
      </w:pPr>
      <w:r>
        <w:t xml:space="preserve">[201] BayLfD: Orientierungshilfe zum Gesundheitsdatennutzungsgesetz (GDNG), Januar 2026. §§ 5 und 6 GDNG und EHDS; Muster-Einwilligung: https://www.datenschutz-bayern.de/infothek/OH_GDNG.pdf</w:t>
      </w:r>
    </w:p>
    <w:p>
      <w:pPr>
        <w:numPr>
          <w:ilvl w:val="0"/>
          <w:numId w:val="1044"/>
        </w:numPr>
        <w:pStyle w:val="Compact"/>
      </w:pPr>
      <w:r>
        <w:t xml:space="preserve">[202] HBDI / DGIM: Leitfaden für Datenschutz in der medizinischen Forschung, Dezember 2025. Vier Use Cases; Pseudonymisierung; föderierte Datenmodelle: https://datenschutz.hessen.de/sites/datenschutz.hessen.de/files/2025-12/20251028_dgim_hbdi_leifaden_datenschutz_1.01.pdf</w:t>
      </w:r>
    </w:p>
    <w:p>
      <w:pPr>
        <w:numPr>
          <w:ilvl w:val="0"/>
          <w:numId w:val="1044"/>
        </w:numPr>
        <w:pStyle w:val="Compact"/>
      </w:pPr>
      <w:r>
        <w:t xml:space="preserve">[203] BAS: Rundschreiben</w:t>
      </w:r>
      <w:r>
        <w:t xml:space="preserve"> </w:t>
      </w:r>
      <w:r>
        <w:t xml:space="preserve">“</w:t>
      </w:r>
      <w:r>
        <w:t xml:space="preserve">Wesentliche Anforderungen an Cloud-basierte IT-Lösungen in der Sozialversicherung</w:t>
      </w:r>
      <w:r>
        <w:t xml:space="preserve">”</w:t>
      </w:r>
      <w:r>
        <w:t xml:space="preserve">, 14. März 2018 (aktualisiert). Datenortung EU/EWR, AVV-Pflicht: https://www.bundesamtsozialesicherung.de/de/service/rundschreiben/detail/wesentliche-anforderungen-an-cloud-basierte-it-loesungen-in-der-sozialversicherung/</w:t>
      </w:r>
    </w:p>
    <w:p>
      <w:pPr>
        <w:numPr>
          <w:ilvl w:val="0"/>
          <w:numId w:val="1044"/>
        </w:numPr>
        <w:pStyle w:val="Compact"/>
      </w:pPr>
      <w:r>
        <w:t xml:space="preserve">[204] BAS: Digitalausschuss — Cloud Computing, KI und automatisierte Bearbeitung in der Sozialversicherung. Sondervereinbarung Microsoft; KI-Systeme zur Fehlverhaltensbekämpfung: https://www.bundesamtsozialesicherung.de/de/themen/digitalausschuss/ki-big-data-cloud-computing-und-automatisierte-bearbeitung/cloud-computing/</w:t>
      </w:r>
    </w:p>
    <w:p>
      <w:pPr>
        <w:numPr>
          <w:ilvl w:val="0"/>
          <w:numId w:val="1044"/>
        </w:numPr>
        <w:pStyle w:val="Compact"/>
      </w:pPr>
      <w:r>
        <w:t xml:space="preserve">[205] KBV: IT-Sicherheitsrichtlinie nach § 390 SGB V, verpflichtend ab Oktober 2025. Cloud-Apps nur mit C5; Microsoft-Cloud-Sync deaktivieren: https://www.kbv.de/html/it-sicherheit.php</w:t>
      </w:r>
    </w:p>
    <w:p>
      <w:pPr>
        <w:numPr>
          <w:ilvl w:val="0"/>
          <w:numId w:val="1044"/>
        </w:numPr>
        <w:pStyle w:val="Compact"/>
      </w:pPr>
      <w:r>
        <w:t xml:space="preserve">[206] KBV: PraxisWissen</w:t>
      </w:r>
      <w:r>
        <w:t xml:space="preserve"> </w:t>
      </w:r>
      <w:r>
        <w:t xml:space="preserve">“</w:t>
      </w:r>
      <w:r>
        <w:t xml:space="preserve">Künstliche Intelligenz — Hinweise zum Einsatz in Praxen</w:t>
      </w:r>
      <w:r>
        <w:t xml:space="preserve">”</w:t>
      </w:r>
      <w:r>
        <w:t xml:space="preserve">, 28. Mai 2025. KI = Cloud-Anwendung mit C5-Pflicht; Patienteneinwilligung bei KI-Transkription: https://www.kbv.de/documents/infothek/publikationen/praxiswissen/praxiswissen-ki.pdf</w:t>
      </w:r>
    </w:p>
    <w:p>
      <w:pPr>
        <w:numPr>
          <w:ilvl w:val="0"/>
          <w:numId w:val="1044"/>
        </w:numPr>
        <w:pStyle w:val="Compact"/>
      </w:pPr>
      <w:r>
        <w:t xml:space="preserve">[207] gematik: Impulspapier</w:t>
      </w:r>
      <w:r>
        <w:t xml:space="preserve"> </w:t>
      </w:r>
      <w:r>
        <w:t xml:space="preserve">“</w:t>
      </w:r>
      <w:r>
        <w:t xml:space="preserve">Künstliche Intelligenz im Gesundheitswesen</w:t>
      </w:r>
      <w:r>
        <w:t xml:space="preserve">”</w:t>
      </w:r>
      <w:r>
        <w:t xml:space="preserve">, Juli 2025. FHIR-Starter; KI für Datenstrukturierung: https://www.gematik.de/media/gematik/Medien/Telematikinfrastruktur/gematik_Impulspapier_KI_Juli_2025.pdf</w:t>
      </w:r>
    </w:p>
    <w:p>
      <w:pPr>
        <w:numPr>
          <w:ilvl w:val="0"/>
          <w:numId w:val="1044"/>
        </w:numPr>
        <w:pStyle w:val="Compact"/>
      </w:pPr>
      <w:r>
        <w:t xml:space="preserve">[208] BMG: C5-Äquivalenzverordnung Referentenentwurf, 6. Januar 2025. Definiert C5-äquivalente Sicherheitsstandards: https://www.bundesgesundheitsministerium.de/fileadmin/Dateien/3_Downloads/Gesetze_und_Verordnungen/GuV/C/C5-AequivalenzVO_RefE.pdf</w:t>
      </w:r>
    </w:p>
    <w:p>
      <w:pPr>
        <w:numPr>
          <w:ilvl w:val="0"/>
          <w:numId w:val="1044"/>
        </w:numPr>
        <w:pStyle w:val="Compact"/>
      </w:pPr>
      <w:r>
        <w:t xml:space="preserve">[209] DKG: Positionspapier</w:t>
      </w:r>
      <w:r>
        <w:t xml:space="preserve"> </w:t>
      </w:r>
      <w:r>
        <w:t xml:space="preserve">“</w:t>
      </w:r>
      <w:r>
        <w:t xml:space="preserve">Nutzung von Künstlicher Intelligenz (KI) im Krankenhaus</w:t>
      </w:r>
      <w:r>
        <w:t xml:space="preserve">”</w:t>
      </w:r>
      <w:r>
        <w:t xml:space="preserve">, 23. Oktober 2025. Cloud-Betrieb für KI als Notwendigkeit; KHZG 2.0 gefordert: https://www.dkgev.de/fileadmin/default/Mediapool/1_DKG/1.3_Politik/Positionen/2025-10-23_DKG-Positionspapier_KI_im_Krankenhaus.pdf</w:t>
      </w:r>
    </w:p>
    <w:p>
      <w:pPr>
        <w:numPr>
          <w:ilvl w:val="0"/>
          <w:numId w:val="1044"/>
        </w:numPr>
        <w:pStyle w:val="Compact"/>
      </w:pPr>
      <w:r>
        <w:t xml:space="preserve">[210] AWS: Lobbyregister Bundestag, Regelungsvorhaben RV0008560 — Lobbytätigkeit zu § 393 SGB V / Digital-Gesetz: https://www.lobbyregister.bundestag.de/inhalte-der-interessenvertretung/regelungsvorhabensuche/RV0008560/8636</w:t>
      </w:r>
    </w:p>
    <w:p>
      <w:pPr>
        <w:numPr>
          <w:ilvl w:val="0"/>
          <w:numId w:val="1044"/>
        </w:numPr>
        <w:pStyle w:val="Compact"/>
      </w:pPr>
      <w:r>
        <w:t xml:space="preserve">[211] Corporate Europe Observatory:</w:t>
      </w:r>
      <w:r>
        <w:t xml:space="preserve"> </w:t>
      </w:r>
      <w:r>
        <w:t xml:space="preserve">“</w:t>
      </w:r>
      <w:r>
        <w:t xml:space="preserve">Article by article, how Big Tech shaped the EU’s roll-back of digital rights</w:t>
      </w:r>
      <w:r>
        <w:t xml:space="preserve">”</w:t>
      </w:r>
      <w:r>
        <w:t xml:space="preserve">, Januar 2026. Dokumentiert 7 Fälle deckungsgleicher Übernahme von Big-Tech-Lobbyforderungen in den Digital Omnibus: https://corporateeurope.org/en/2026/01/article-article-how-big-tech-shaped-eus-roll-back-digital-rights</w:t>
      </w:r>
    </w:p>
    <w:p>
      <w:pPr>
        <w:numPr>
          <w:ilvl w:val="0"/>
          <w:numId w:val="1044"/>
        </w:numPr>
        <w:pStyle w:val="Compact"/>
      </w:pPr>
      <w:r>
        <w:t xml:space="preserve">[212] Corporate Europe Observatory / LobbyControl:</w:t>
      </w:r>
      <w:r>
        <w:t xml:space="preserve"> </w:t>
      </w:r>
      <w:r>
        <w:t xml:space="preserve">“</w:t>
      </w:r>
      <w:r>
        <w:t xml:space="preserve">Tech industry now spending record €151 million on lobbying the EU</w:t>
      </w:r>
      <w:r>
        <w:t xml:space="preserve">”</w:t>
      </w:r>
      <w:r>
        <w:t xml:space="preserve">, Oktober 2025. 890 Lobbyisten, 437 Parlamentsausweise, 3 Treffen/Tag: https://corporateeurope.org/en/2025/10/revealed-tech-industry-now-spending-record-eu151-million-lobbying-eu</w:t>
      </w:r>
    </w:p>
    <w:p>
      <w:pPr>
        <w:numPr>
          <w:ilvl w:val="0"/>
          <w:numId w:val="1044"/>
        </w:numPr>
        <w:pStyle w:val="Compact"/>
      </w:pPr>
      <w:r>
        <w:t xml:space="preserve">[213] noyb:</w:t>
      </w:r>
      <w:r>
        <w:t xml:space="preserve"> </w:t>
      </w:r>
      <w:r>
        <w:t xml:space="preserve">“</w:t>
      </w:r>
      <w:r>
        <w:t xml:space="preserve">Digital Omnibus: EU Commission wants to wreck core GDPR principles</w:t>
      </w:r>
      <w:r>
        <w:t xml:space="preserve">”</w:t>
      </w:r>
      <w:r>
        <w:t xml:space="preserve">, 2025. Analyse der DSGVO-Aufweichungen im Digital Omnibus: https://noyb.eu/en/digital-omnibus-eu-commission-wants-wreck-core-gdpr-principles</w:t>
      </w:r>
    </w:p>
    <w:p>
      <w:pPr>
        <w:numPr>
          <w:ilvl w:val="0"/>
          <w:numId w:val="1044"/>
        </w:numPr>
        <w:pStyle w:val="Compact"/>
      </w:pPr>
      <w:r>
        <w:t xml:space="preserve">[214] netzpolitik.org:</w:t>
      </w:r>
      <w:r>
        <w:t xml:space="preserve"> </w:t>
      </w:r>
      <w:r>
        <w:t xml:space="preserve">“</w:t>
      </w:r>
      <w:r>
        <w:t xml:space="preserve">Datenschutzkritik: Jens Spahn versucht, sein eigenes Versagen zu verschleiern</w:t>
      </w:r>
      <w:r>
        <w:t xml:space="preserve">”</w:t>
      </w:r>
      <w:r>
        <w:t xml:space="preserve">, 2021. Spahn-Narrativ</w:t>
      </w:r>
      <w:r>
        <w:t xml:space="preserve"> </w:t>
      </w:r>
      <w:r>
        <w:t xml:space="preserve">“</w:t>
      </w:r>
      <w:r>
        <w:t xml:space="preserve">Datenschutz ist etwas für Gesunde</w:t>
      </w:r>
      <w:r>
        <w:t xml:space="preserve">”</w:t>
      </w:r>
      <w:r>
        <w:t xml:space="preserve">: https://netzpolitik.org/2021/datenschutzkritik-jens-spahn-versucht-sein-eigenes-versagen-zu-verschleiern/</w:t>
      </w:r>
    </w:p>
    <w:p>
      <w:r>
        <w:pict>
          <v:rect style="width:0;height:1.5pt" o:hralign="center" o:hrstd="t" o:hr="t"/>
        </w:pict>
      </w:r>
    </w:p>
    <w:p>
      <w:pPr>
        <w:pStyle w:val="FirstParagraph"/>
      </w:pPr>
      <w:r>
        <w:rPr>
          <w:iCs/>
          <w:i/>
        </w:rPr>
        <w:t xml:space="preserve">Dieses Dokument basiert ausschließlich auf öffentlich zugänglichen Quellen, wurde mit Claude (Anthropic) erstellt. Version 22.0, April 2026. 214 Quellen. 19 Kapitel. Es stellt keine Rechtsberatung dar.</w:t>
      </w:r>
    </w:p>
    <w:bookmarkEnd w:id="182"/>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CLOUD Act &amp; Deutsche Datensouver��nit��t</dc:title>
  <dc:creator>Bj��rn Degenkolbe, 4K Analytics GmbH / HIGL</dc:creator>
  <cp:keywords/>
  <dcterms:created xsi:type="dcterms:W3CDTF">2026-04-10T10:38:10Z</dcterms:created>
  <dcterms:modified xsi:type="dcterms:W3CDTF">2026-04-10T10:38:10Z</dcterms:modified>
</cp:coreProperties>
</file>

<file path=docProps/custom.xml><?xml version="1.0" encoding="utf-8"?>
<Properties xmlns="http://schemas.openxmlformats.org/officeDocument/2006/custom-properties" xmlns:vt="http://schemas.openxmlformats.org/officeDocument/2006/docPropsVTypes"/>
</file>