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22.0 — April 2026 · 214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d0e28e2283a07b54469f059c06d17bc3925b817"/>
    <w:p>
      <w:pPr>
        <w:pStyle w:val="Heading4"/>
      </w:pPr>
      <w:r>
        <w:t xml:space="preserve">1.2.1 Pragmatismus — Service-Tiefe und Ökosystem-Sogwirkung</w:t>
      </w:r>
    </w:p>
    <w:p>
      <w:pPr>
        <w:pStyle w:val="FirstParagraph"/>
      </w:pPr>
      <w:r>
        <w:t xml:space="preserve">Azure und AWS bieten je über 200 verwaltete Dienste — EU-Anbieter wie STACKIT 40–60. Für eine GKV oder Klinik, die erstmals eine Cloud-basierte KI-Plattform, ein Analytics-System oder eine moderne Collaboration-Umgebung aufbaut, ist ein US-Hyperscaler schlicht der Weg des geringsten Widerstands: ein Anbieter, ein Vertrag, ein integriertes Ökosystem. Die CLOUD-Act-Frage stellt sich im Beschaffungsprozess nicht, weil § 393 SGB V mit C5-Testat die formale Erlaubnis gibt und die Jurisdiktionsprüfung kein Vergabekriterium ist. Details in Kapitel 7 und 8.</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 und Deregulierungs-Narrative</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 Dahinter steht ein Set wiederkehrender Lobby-Narrative, die in Positionspapieren, Konferenzbeiträgen und politischen Beratungen systematisch eingesetzt werden: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Narrativ</w:t>
            </w:r>
          </w:p>
        </w:tc>
        <w:tc>
          <w:tcPr/>
          <w:p>
            <w:pPr>
              <w:pStyle w:val="Compact"/>
              <w:jc w:val="left"/>
            </w:pPr>
            <w:r>
              <w:t xml:space="preserve">Wer es nutzt</w:t>
            </w:r>
          </w:p>
        </w:tc>
        <w:tc>
          <w:tcPr/>
          <w:p>
            <w:pPr>
              <w:pStyle w:val="Compact"/>
              <w:jc w:val="left"/>
            </w:pPr>
            <w:r>
              <w:t xml:space="preserve">Was es bezweckt</w:t>
            </w:r>
          </w:p>
        </w:tc>
      </w:tr>
      <w:tr>
        <w:tc>
          <w:tcPr/>
          <w:p>
            <w:pPr>
              <w:pStyle w:val="Compact"/>
              <w:jc w:val="left"/>
            </w:pPr>
            <w:r>
              <w:rPr>
                <w:bCs/>
                <w:b/>
              </w:rPr>
              <w:t xml:space="preserve">“</w:t>
            </w:r>
            <w:r>
              <w:rPr>
                <w:bCs/>
                <w:b/>
              </w:rPr>
              <w:t xml:space="preserve">Datenschutz ist etwas für Gesunde</w:t>
            </w:r>
            <w:r>
              <w:rPr>
                <w:bCs/>
                <w:b/>
              </w:rPr>
              <w:t xml:space="preserve">”</w:t>
            </w:r>
          </w:p>
        </w:tc>
        <w:tc>
          <w:tcPr/>
          <w:p>
            <w:pPr>
              <w:pStyle w:val="Compact"/>
              <w:jc w:val="left"/>
            </w:pPr>
            <w:r>
              <w:t xml:space="preserve">Jens Spahn (2016, als Staatssekretär BMF); Brainlab-CEO Stefan Vilsmeier:</w:t>
            </w:r>
            <w:r>
              <w:t xml:space="preserve"> </w:t>
            </w:r>
            <w:r>
              <w:t xml:space="preserve">“</w:t>
            </w:r>
            <w:r>
              <w:t xml:space="preserve">Daten nicht zu nutzen tötet Patienten im großen Stil</w:t>
            </w:r>
            <w:r>
              <w:t xml:space="preserve">”</w:t>
            </w:r>
          </w:p>
        </w:tc>
        <w:tc>
          <w:tcPr/>
          <w:p>
            <w:pPr>
              <w:pStyle w:val="Compact"/>
              <w:jc w:val="left"/>
            </w:pPr>
            <w:r>
              <w:t xml:space="preserve">Datenschutz als Hindernis für Gesundheitsforschung framen; emotionale Druckkulisse für Lockerung von Art. 9 DSGVO</w:t>
            </w:r>
          </w:p>
        </w:tc>
      </w:tr>
      <w:tr>
        <w:tc>
          <w:tcPr/>
          <w:p>
            <w:pPr>
              <w:pStyle w:val="Compact"/>
              <w:jc w:val="left"/>
            </w:pPr>
            <w:r>
              <w:rPr>
                <w:bCs/>
                <w:b/>
              </w:rPr>
              <w:t xml:space="preserve">“</w:t>
            </w:r>
            <w:r>
              <w:rPr>
                <w:bCs/>
                <w:b/>
              </w:rPr>
              <w:t xml:space="preserve">DSGVO als Innovationskiller</w:t>
            </w:r>
            <w:r>
              <w:rPr>
                <w:bCs/>
                <w:b/>
              </w:rPr>
              <w:t xml:space="preserve">”</w:t>
            </w:r>
          </w:p>
        </w:tc>
        <w:tc>
          <w:tcPr/>
          <w:p>
            <w:pPr>
              <w:pStyle w:val="Compact"/>
              <w:jc w:val="left"/>
            </w:pPr>
            <w:r>
              <w:t xml:space="preserve">Mario Draghi (EU-Berater, 2025); DigitalEurope; CCIA</w:t>
            </w:r>
          </w:p>
        </w:tc>
        <w:tc>
          <w:tcPr/>
          <w:p>
            <w:pPr>
              <w:pStyle w:val="Compact"/>
              <w:jc w:val="left"/>
            </w:pPr>
            <w:r>
              <w:t xml:space="preserve">Falsche Dichotomie Regulierung vs. Innovation; verschweigt, dass regulierte Märkte (Pharma, Finanzsektor) Innovationsführer sind</w:t>
            </w:r>
          </w:p>
        </w:tc>
      </w:tr>
      <w:tr>
        <w:tc>
          <w:tcPr/>
          <w:p>
            <w:pPr>
              <w:pStyle w:val="Compact"/>
              <w:jc w:val="left"/>
            </w:pPr>
            <w:r>
              <w:rPr>
                <w:bCs/>
                <w:b/>
              </w:rPr>
              <w:t xml:space="preserve">“</w:t>
            </w:r>
            <w:r>
              <w:rPr>
                <w:bCs/>
                <w:b/>
              </w:rPr>
              <w:t xml:space="preserve">Europa fällt zurück</w:t>
            </w:r>
            <w:r>
              <w:rPr>
                <w:bCs/>
                <w:b/>
              </w:rPr>
              <w:t xml:space="preserve">”</w:t>
            </w:r>
          </w:p>
        </w:tc>
        <w:tc>
          <w:tcPr/>
          <w:p>
            <w:pPr>
              <w:pStyle w:val="Compact"/>
              <w:jc w:val="left"/>
            </w:pPr>
            <w:r>
              <w:t xml:space="preserve">Meta:</w:t>
            </w:r>
            <w:r>
              <w:t xml:space="preserve"> </w:t>
            </w:r>
            <w:r>
              <w:t xml:space="preserve">“</w:t>
            </w:r>
            <w:r>
              <w:t xml:space="preserve">Critical to first pause the implementation and enforcement of the AI Act…risking the EU falling behind in the global AI race</w:t>
            </w:r>
            <w:r>
              <w:t xml:space="preserve">”</w:t>
            </w:r>
          </w:p>
        </w:tc>
        <w:tc>
          <w:tcPr/>
          <w:p>
            <w:pPr>
              <w:pStyle w:val="Compact"/>
              <w:jc w:val="left"/>
            </w:pPr>
            <w:r>
              <w:t xml:space="preserve">Geopolitische Angst als Hebel für Deregulierung; verschweigt, dass US-Tech-Konzerne</w:t>
            </w:r>
            <w:r>
              <w:t xml:space="preserve"> </w:t>
            </w:r>
            <w:r>
              <w:rPr>
                <w:bCs/>
                <w:b/>
              </w:rPr>
              <w:t xml:space="preserve">in</w:t>
            </w:r>
            <w:r>
              <w:t xml:space="preserve"> </w:t>
            </w:r>
            <w:r>
              <w:t xml:space="preserve">Europa reguliert werden wollen, nicht</w:t>
            </w:r>
            <w:r>
              <w:t xml:space="preserve"> </w:t>
            </w:r>
            <w:r>
              <w:rPr>
                <w:bCs/>
                <w:b/>
              </w:rPr>
              <w:t xml:space="preserve">von</w:t>
            </w:r>
            <w:r>
              <w:t xml:space="preserve"> </w:t>
            </w:r>
            <w:r>
              <w:t xml:space="preserve">Europa</w:t>
            </w:r>
          </w:p>
        </w:tc>
      </w:tr>
      <w:tr>
        <w:tc>
          <w:tcPr/>
          <w:p>
            <w:pPr>
              <w:pStyle w:val="Compact"/>
              <w:jc w:val="left"/>
            </w:pPr>
            <w:r>
              <w:rPr>
                <w:bCs/>
                <w:b/>
              </w:rPr>
              <w:t xml:space="preserve">“</w:t>
            </w:r>
            <w:r>
              <w:rPr>
                <w:bCs/>
                <w:b/>
              </w:rPr>
              <w:t xml:space="preserve">Legitimate Interest reicht für KI</w:t>
            </w:r>
            <w:r>
              <w:rPr>
                <w:bCs/>
                <w:b/>
              </w:rPr>
              <w:t xml:space="preserve">”</w:t>
            </w:r>
          </w:p>
        </w:tc>
        <w:tc>
          <w:tcPr/>
          <w:p>
            <w:pPr>
              <w:pStyle w:val="Compact"/>
              <w:jc w:val="left"/>
            </w:pPr>
            <w:r>
              <w:t xml:space="preserve">DigitalEurope:</w:t>
            </w:r>
            <w:r>
              <w:t xml:space="preserve"> </w:t>
            </w:r>
            <w:r>
              <w:t xml:space="preserve">“</w:t>
            </w:r>
            <w:r>
              <w:t xml:space="preserve">Reinforce the use of</w:t>
            </w:r>
            <w:r>
              <w:t xml:space="preserve"> </w:t>
            </w:r>
            <w:r>
              <w:t xml:space="preserve">‘</w:t>
            </w:r>
            <w:r>
              <w:t xml:space="preserve">legitimate interest</w:t>
            </w:r>
            <w:r>
              <w:t xml:space="preserve">’</w:t>
            </w:r>
            <w:r>
              <w:t xml:space="preserve"> </w:t>
            </w:r>
            <w:r>
              <w:t xml:space="preserve">as a ground to process personal data for key use cases such as product development — including of AI models</w:t>
            </w:r>
            <w:r>
              <w:t xml:space="preserve">”</w:t>
            </w:r>
            <w:r>
              <w:t xml:space="preserve">; CCIA</w:t>
            </w:r>
          </w:p>
        </w:tc>
        <w:tc>
          <w:tcPr/>
          <w:p>
            <w:pPr>
              <w:pStyle w:val="Compact"/>
              <w:jc w:val="left"/>
            </w:pPr>
            <w:r>
              <w:t xml:space="preserve">Art. 6 Abs. 1 lit. f DSGVO als Universalschlüssel für KI-Training mit personenbezogenen Daten; untergräbt Art. 9 (Gesundheitsdaten)</w:t>
            </w:r>
          </w:p>
        </w:tc>
      </w:tr>
      <w:tr>
        <w:tc>
          <w:tcPr/>
          <w:p>
            <w:pPr>
              <w:pStyle w:val="Compact"/>
              <w:jc w:val="left"/>
            </w:pPr>
            <w:r>
              <w:rPr>
                <w:bCs/>
                <w:b/>
              </w:rPr>
              <w:t xml:space="preserve">“</w:t>
            </w:r>
            <w:r>
              <w:rPr>
                <w:bCs/>
                <w:b/>
              </w:rPr>
              <w:t xml:space="preserve">Art. 9 DSGVO behindert KI im Gesundheitswesen</w:t>
            </w:r>
            <w:r>
              <w:rPr>
                <w:bCs/>
                <w:b/>
              </w:rPr>
              <w:t xml:space="preserve">”</w:t>
            </w:r>
          </w:p>
        </w:tc>
        <w:tc>
          <w:tcPr/>
          <w:p>
            <w:pPr>
              <w:pStyle w:val="Compact"/>
              <w:jc w:val="left"/>
            </w:pPr>
            <w:r>
              <w:t xml:space="preserve">Dot Europe (Big-Tech-Lobbyorganisation) an dänische Regierung:</w:t>
            </w:r>
            <w:r>
              <w:t xml:space="preserve"> </w:t>
            </w:r>
            <w:r>
              <w:t xml:space="preserve">“</w:t>
            </w:r>
            <w:r>
              <w:t xml:space="preserve">GDPR Article 9 strictly limits the processing of special category data…posing challenges for AI development, particularly in healthcare</w:t>
            </w:r>
            <w:r>
              <w:t xml:space="preserve">”</w:t>
            </w:r>
          </w:p>
        </w:tc>
        <w:tc>
          <w:tcPr/>
          <w:p>
            <w:pPr>
              <w:pStyle w:val="Compact"/>
              <w:jc w:val="left"/>
            </w:pPr>
            <w:r>
              <w:t xml:space="preserve">Direkte Forderung nach Lockerung des Schutzes für Gesundheitsdaten; verpackt als KI-Qualitätssicherung</w:t>
            </w:r>
          </w:p>
        </w:tc>
      </w:tr>
      <w:tr>
        <w:tc>
          <w:tcPr/>
          <w:p>
            <w:pPr>
              <w:pStyle w:val="Compact"/>
              <w:jc w:val="left"/>
            </w:pPr>
            <w:r>
              <w:rPr>
                <w:bCs/>
                <w:b/>
              </w:rPr>
              <w:t xml:space="preserve">“</w:t>
            </w:r>
            <w:r>
              <w:rPr>
                <w:bCs/>
                <w:b/>
              </w:rPr>
              <w:t xml:space="preserve">Vereinfachung</w:t>
            </w:r>
            <w:r>
              <w:rPr>
                <w:bCs/>
                <w:b/>
              </w:rPr>
              <w:t xml:space="preserve">”</w:t>
            </w:r>
            <w:r>
              <w:rPr>
                <w:bCs/>
                <w:b/>
              </w:rPr>
              <w:t xml:space="preserve"> </w:t>
            </w:r>
            <w:r>
              <w:rPr>
                <w:bCs/>
                <w:b/>
              </w:rPr>
              <w:t xml:space="preserve">statt Deregulierung</w:t>
            </w:r>
          </w:p>
        </w:tc>
        <w:tc>
          <w:tcPr/>
          <w:p>
            <w:pPr>
              <w:pStyle w:val="Compact"/>
              <w:jc w:val="left"/>
            </w:pPr>
            <w:r>
              <w:t xml:space="preserve">EU-Kommission (Digital Omnibus, November 2025):</w:t>
            </w:r>
            <w:r>
              <w:t xml:space="preserve"> </w:t>
            </w:r>
            <w:r>
              <w:t xml:space="preserve">“</w:t>
            </w:r>
            <w:r>
              <w:t xml:space="preserve">simplify the EU’s Digital Rulebook</w:t>
            </w:r>
            <w:r>
              <w:t xml:space="preserve">”</w:t>
            </w:r>
          </w:p>
        </w:tc>
        <w:tc>
          <w:tcPr/>
          <w:p>
            <w:pPr>
              <w:pStyle w:val="Compact"/>
              <w:jc w:val="left"/>
            </w:pPr>
            <w:r>
              <w:t xml:space="preserve">Framing verschleiert, dass die meisten Artikel komplexer werden und Schlupflöcher entstehen, die nur große Konzerne nutzen können (noyb-Analyse)</w:t>
            </w:r>
          </w:p>
        </w:tc>
      </w:tr>
      <w:tr>
        <w:tc>
          <w:tcPr/>
          <w:p>
            <w:pPr>
              <w:pStyle w:val="Compact"/>
              <w:jc w:val="left"/>
            </w:pPr>
            <w:r>
              <w:rPr>
                <w:bCs/>
                <w:b/>
              </w:rPr>
              <w:t xml:space="preserve">“</w:t>
            </w:r>
            <w:r>
              <w:rPr>
                <w:bCs/>
                <w:b/>
              </w:rPr>
              <w:t xml:space="preserve">Disproportionate effort</w:t>
            </w:r>
            <w:r>
              <w:rPr>
                <w:bCs/>
                <w:b/>
              </w:rPr>
              <w:t xml:space="preserve">”</w:t>
            </w:r>
          </w:p>
        </w:tc>
        <w:tc>
          <w:tcPr/>
          <w:p>
            <w:pPr>
              <w:pStyle w:val="Compact"/>
              <w:jc w:val="left"/>
            </w:pPr>
            <w:r>
              <w:t xml:space="preserve">Google (Lobbypapier an Bundesregierung, August 2025) → wortgleich in Bundesregierungs-Positionspapier → wortgleich im Digital-Omnibus-Entwurf</w:t>
            </w:r>
          </w:p>
        </w:tc>
        <w:tc>
          <w:tcPr/>
          <w:p>
            <w:pPr>
              <w:pStyle w:val="Compact"/>
              <w:jc w:val="left"/>
            </w:pPr>
            <w:r>
              <w:t xml:space="preserve">Einschränkung des DSGVO-Auskunftsrechts (Art. 15–22); dokumentierter 1:1-Lobbyerfolg</w:t>
            </w:r>
          </w:p>
        </w:tc>
      </w:tr>
    </w:tbl>
    <w:p>
      <w:pPr>
        <w:pStyle w:val="BodyText"/>
      </w:pPr>
      <w:r>
        <w:rPr>
          <w:bCs/>
          <w:b/>
        </w:rPr>
        <w:t xml:space="preserve">Das Muster:</w:t>
      </w:r>
      <w:r>
        <w:t xml:space="preserve"> </w:t>
      </w:r>
      <w:r>
        <w:t xml:space="preserve">Jedes dieser Narrative adressiert ein reales Problem (KI braucht Daten, Bürokratie ist real, Gesundheitsforschung ist wichtig) — und leitet daraus eine unverhältnismäßige Schlussfolgerung ab (also müssen Grundrechte weichen). Die Corporate Europe Observatory dokumentierte im Januar 2026 Artikel für Artikel, wie Big-Tech-Forderungen in den Digital Omnibus eingeflossen sind — in sieben Fällen deckungsgleich mit Lobbypapieren.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pPr>
        <w:numPr>
          <w:ilvl w:val="0"/>
          <w:numId w:val="1044"/>
        </w:numPr>
        <w:pStyle w:val="Compact"/>
      </w:pPr>
      <w:r>
        <w:t xml:space="preserve">[211] Corporate Europe Observatory:</w:t>
      </w:r>
      <w:r>
        <w:t xml:space="preserve"> </w:t>
      </w:r>
      <w:r>
        <w:t xml:space="preserve">“</w:t>
      </w:r>
      <w:r>
        <w:t xml:space="preserve">Article by article, how Big Tech shaped the EU’s roll-back of digital rights</w:t>
      </w:r>
      <w:r>
        <w:t xml:space="preserve">”</w:t>
      </w:r>
      <w:r>
        <w:t xml:space="preserve">, Januar 2026. Dokumentiert 7 Fälle deckungsgleicher Übernahme von Big-Tech-Lobbyforderungen in den Digital Omnibus: https://corporateeurope.org/en/2026/01/article-article-how-big-tech-shaped-eus-roll-back-digital-rights</w:t>
      </w:r>
    </w:p>
    <w:p>
      <w:pPr>
        <w:numPr>
          <w:ilvl w:val="0"/>
          <w:numId w:val="1044"/>
        </w:numPr>
        <w:pStyle w:val="Compact"/>
      </w:pPr>
      <w:r>
        <w:t xml:space="preserve">[212] Corporate Europe Observatory / LobbyControl:</w:t>
      </w:r>
      <w:r>
        <w:t xml:space="preserve"> </w:t>
      </w:r>
      <w:r>
        <w:t xml:space="preserve">“</w:t>
      </w:r>
      <w:r>
        <w:t xml:space="preserve">Tech industry now spending record €151 million on lobbying the EU</w:t>
      </w:r>
      <w:r>
        <w:t xml:space="preserve">”</w:t>
      </w:r>
      <w:r>
        <w:t xml:space="preserve">, Oktober 2025. 890 Lobbyisten, 437 Parlamentsausweise, 3 Treffen/Tag: https://corporateeurope.org/en/2025/10/revealed-tech-industry-now-spending-record-eu151-million-lobbying-eu</w:t>
      </w:r>
    </w:p>
    <w:p>
      <w:pPr>
        <w:numPr>
          <w:ilvl w:val="0"/>
          <w:numId w:val="1044"/>
        </w:numPr>
        <w:pStyle w:val="Compact"/>
      </w:pPr>
      <w:r>
        <w:t xml:space="preserve">[213] noyb:</w:t>
      </w:r>
      <w:r>
        <w:t xml:space="preserve"> </w:t>
      </w:r>
      <w:r>
        <w:t xml:space="preserve">“</w:t>
      </w:r>
      <w:r>
        <w:t xml:space="preserve">Digital Omnibus: EU Commission wants to wreck core GDPR principles</w:t>
      </w:r>
      <w:r>
        <w:t xml:space="preserve">”</w:t>
      </w:r>
      <w:r>
        <w:t xml:space="preserve">, 2025. Analyse der DSGVO-Aufweichungen im Digital Omnibus: https://noyb.eu/en/digital-omnibus-eu-commission-wants-wreck-core-gdpr-principles</w:t>
      </w:r>
    </w:p>
    <w:p>
      <w:pPr>
        <w:numPr>
          <w:ilvl w:val="0"/>
          <w:numId w:val="1044"/>
        </w:numPr>
        <w:pStyle w:val="Compact"/>
      </w:pPr>
      <w:r>
        <w:t xml:space="preserve">[214] netzpolitik.org:</w:t>
      </w:r>
      <w:r>
        <w:t xml:space="preserve"> </w:t>
      </w:r>
      <w:r>
        <w:t xml:space="preserve">“</w:t>
      </w:r>
      <w:r>
        <w:t xml:space="preserve">Datenschutzkritik: Jens Spahn versucht, sein eigenes Versagen zu verschleiern</w:t>
      </w:r>
      <w:r>
        <w:t xml:space="preserve">”</w:t>
      </w:r>
      <w:r>
        <w:t xml:space="preserve">, 2021. Spahn-Narrativ</w:t>
      </w:r>
      <w:r>
        <w:t xml:space="preserve"> </w:t>
      </w:r>
      <w:r>
        <w:t xml:space="preserve">“</w:t>
      </w:r>
      <w:r>
        <w:t xml:space="preserve">Datenschutz ist etwas für Gesunde</w:t>
      </w:r>
      <w:r>
        <w:t xml:space="preserve">”</w:t>
      </w:r>
      <w:r>
        <w:t xml:space="preserve">: https://netzpolitik.org/2021/datenschutzkritik-jens-spahn-versucht-sein-eigenes-versagen-zu-verschleiern/</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22.0, April 2026. 214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2026-04-10T10:44:21Z</dcterms:created>
  <dcterms:modified xsi:type="dcterms:W3CDTF">2026-04-10T10:44:21Z</dcterms:modified>
</cp:coreProperties>
</file>

<file path=docProps/custom.xml><?xml version="1.0" encoding="utf-8"?>
<Properties xmlns="http://schemas.openxmlformats.org/officeDocument/2006/custom-properties" xmlns:vt="http://schemas.openxmlformats.org/officeDocument/2006/docPropsVTypes"/>
</file>