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19.0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77lm66nzrsk1qn-kl3vum">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mlomn9jmdiwag6d995bot">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b3k-qo3h7p0gq9gsnodah">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jddapqtqevq6xyyjax1xh">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goaynmmabfuvbo1xuo_e0">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zeenomswchjq_sssdegnp">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cets7ujeo99j6icxfrg0j">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kitoomorzfh0m4tx9dfo-">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pygolry1--nuxaow67aq7">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hy0rp0b9wei43wjrs3jte">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rse3qtlkzqwhzb0d72ney">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5mwfyu2ngxjw-qkleid1w">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eehm9b_rf4nvutqxvw3dr">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juybfj_rb8r6yya9l4dlr">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8ioxsbhiim7lxpaciivua">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3s1zxwq85uyekzoaxwuv">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lyj1n2a5whahix6jyea7x">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nwfws74yfn05ykc6cdhfe">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hjka3rkmjumdkjqhqtkvj">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Vier Fallbeispiele — das Spektrum von 🔴 bis 🟢</w:t>
      </w:r>
    </w:p>
    <w:p>
      <w:pPr>
        <w:spacing w:after="40" w:before="20" w:line="276"/>
        <w:jc w:val="both"/>
      </w:pPr>
      <w:r>
        <w:rPr>
          <w:rFonts w:ascii="Arial" w:cs="Arial" w:eastAsia="Arial" w:hAnsi="Arial"/>
          <w:b w:val="false"/>
          <w:bCs w:val="false"/>
          <w:i w:val="false"/>
          <w:iCs w:val="false"/>
          <w:color w:val="000000"/>
          <w:sz w:val="19"/>
          <w:szCs w:val="19"/>
        </w:rPr>
        <w:t xml:space="preserve">Die Theorie wird greifbar an konkreten Produkten, die heute im deutschen Gesundheitswesen eingesetzt werden oder werden sollen:</w:t>
      </w:r>
    </w:p>
    <w:p>
      <w:pPr>
        <w:spacing w:after="40" w:before="20" w:line="276"/>
        <w:jc w:val="both"/>
      </w:pPr>
      <w:r>
        <w:rPr>
          <w:rFonts w:ascii="Arial" w:cs="Arial" w:eastAsia="Arial" w:hAnsi="Arial"/>
          <w:b/>
          <w:bCs/>
          <w:i w:val="false"/>
          <w:iCs w:val="false"/>
          <w:color w:val="000000"/>
          <w:sz w:val="19"/>
          <w:szCs w:val="19"/>
        </w:rPr>
        <w:t xml:space="preserve">Plaud AI (CN/US) — 🔴 Dreifache Exposition.</w:t>
      </w:r>
      <w:r>
        <w:rPr>
          <w:rFonts w:ascii="Arial" w:cs="Arial" w:eastAsia="Arial" w:hAnsi="Arial"/>
          <w:b w:val="false"/>
          <w:bCs w:val="false"/>
          <w:i w:val="false"/>
          <w:iCs w:val="false"/>
          <w:color w:val="000000"/>
          <w:sz w:val="19"/>
          <w:szCs w:val="19"/>
        </w:rPr>
        <w:t xml:space="preserve"> 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 "Zero Data Retention" beim LLM-Provider bedeutet: nicht gespeichert nach Verarbeitung — aber während der Verarbeitung liegt die Stimme des Patienten im Klartext auf US-Servern. Für Gesundheitsdaten nach § 393 SGB V: nicht geeignet.</w:t>
      </w:r>
    </w:p>
    <w:p>
      <w:pPr>
        <w:spacing w:after="40" w:before="20" w:line="276"/>
        <w:jc w:val="both"/>
      </w:pPr>
      <w:r>
        <w:rPr>
          <w:rFonts w:ascii="Arial" w:cs="Arial" w:eastAsia="Arial" w:hAnsi="Arial"/>
          <w:b/>
          <w:bCs/>
          <w:i w:val="false"/>
          <w:iCs w:val="false"/>
          <w:color w:val="000000"/>
          <w:sz w:val="19"/>
          <w:szCs w:val="19"/>
        </w:rPr>
        <w:t xml:space="preserve">Tandem Health (SE) — 🟡 EU-Firma mit US-KI-Backend.</w:t>
      </w:r>
      <w:r>
        <w:rPr>
          <w:rFonts w:ascii="Arial" w:cs="Arial" w:eastAsia="Arial" w:hAnsi="Arial"/>
          <w:b w:val="false"/>
          <w:bCs w:val="false"/>
          <w:i w:val="false"/>
          <w:iCs w:val="false"/>
          <w:color w:val="000000"/>
          <w:sz w:val="19"/>
          <w:szCs w:val="19"/>
        </w:rPr>
        <w:t xml:space="preserve"> 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 "ausschließlich in europäischen Rechenzentren" 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spacing w:after="40" w:before="20" w:line="276"/>
        <w:jc w:val="both"/>
      </w:pPr>
      <w:r>
        <w:rPr>
          <w:rFonts w:ascii="Arial" w:cs="Arial" w:eastAsia="Arial" w:hAnsi="Arial"/>
          <w:b/>
          <w:bCs/>
          <w:i w:val="false"/>
          <w:iCs w:val="false"/>
          <w:color w:val="000000"/>
          <w:sz w:val="19"/>
          <w:szCs w:val="19"/>
        </w:rPr>
        <w:t xml:space="preserve">Doctolib (FR/AWS) — 🟡 Strukturelles Restrisiko trotz Verschlüsselung.</w:t>
      </w:r>
      <w:r>
        <w:rPr>
          <w:rFonts w:ascii="Arial" w:cs="Arial" w:eastAsia="Arial" w:hAnsi="Arial"/>
          <w:b w:val="false"/>
          <w:bCs w:val="false"/>
          <w:i w:val="false"/>
          <w:iCs w:val="false"/>
          <w:color w:val="000000"/>
          <w:sz w:val="19"/>
          <w:szCs w:val="19"/>
        </w:rPr>
        <w:t xml:space="preserve"> 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spacing w:after="40" w:before="20" w:line="276"/>
        <w:jc w:val="both"/>
      </w:pPr>
      <w:r>
        <w:rPr>
          <w:rFonts w:ascii="Arial" w:cs="Arial" w:eastAsia="Arial" w:hAnsi="Arial"/>
          <w:b/>
          <w:bCs/>
          <w:i w:val="false"/>
          <w:iCs w:val="false"/>
          <w:color w:val="000000"/>
          <w:sz w:val="19"/>
          <w:szCs w:val="19"/>
        </w:rPr>
        <w:t xml:space="preserve">Averbis (DE) — 🟢 Strukturell souverän.</w:t>
      </w:r>
      <w:r>
        <w:rPr>
          <w:rFonts w:ascii="Arial" w:cs="Arial" w:eastAsia="Arial" w:hAnsi="Arial"/>
          <w:b w:val="false"/>
          <w:bCs w:val="false"/>
          <w:i w:val="false"/>
          <w:iCs w:val="false"/>
          <w:color w:val="000000"/>
          <w:sz w:val="19"/>
          <w:szCs w:val="19"/>
        </w:rPr>
        <w:t xml:space="preserve"> Averbis (Freiburg, Spin-off Universitätsklinikum 2007) bietet medizinische NLP-Analyse (Health Discovery) mit einer entscheidenden Architekturentscheidung: </w:t>
      </w:r>
      <w:r>
        <w:rPr>
          <w:rFonts w:ascii="Arial" w:cs="Arial" w:eastAsia="Arial" w:hAnsi="Arial"/>
          <w:b/>
          <w:bCs/>
          <w:i w:val="false"/>
          <w:iCs w:val="false"/>
          <w:color w:val="000000"/>
          <w:sz w:val="19"/>
          <w:szCs w:val="19"/>
        </w:rPr>
        <w:t xml:space="preserve">On-Premise-Deployment ist die Standardoption.</w:t>
      </w:r>
      <w:r>
        <w:rPr>
          <w:rFonts w:ascii="Arial" w:cs="Arial" w:eastAsia="Arial" w:hAnsi="Arial"/>
          <w:b w:val="false"/>
          <w:bCs w:val="false"/>
          <w:i w:val="false"/>
          <w:iCs w:val="false"/>
          <w:color w:val="000000"/>
          <w:sz w:val="19"/>
          <w:szCs w:val="19"/>
        </w:rPr>
        <w:t xml:space="preserve"> Die eigene NLP-Engine verarbeitet klinische Texte lokal — ohne API-Calls an US-Modelle. Die Cloud-Option läuft ausschließlich auf ISO-27001- und C5-zertifizierter EU/DE-Infrastruktur, ohne permanente Datenhaltung. Kein US-Eigentümer, keine US-Tochter, keine US-KI-Abhängigkeit. Für Kliniken und GKVen, die medizinische Textanalyse benötigen, ist Averbis der Nachweis, dass souveräne Gesundheits-KI in Deutschland existiert — made in Freiburg.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Eignung § 393 Klasse 1</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Plaud AI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(Shenzhen)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Oregon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Dreifach (CN + US-Cloud + US-KI)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Tandem Health</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GPT-4</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"EU-Rechenzentren" (Details offen)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EU-Firma, aber OpenAI-Abhängigkeit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Azure EU + Risikoakzeptanz</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Recare Voice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offengelegt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C5 Typ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EU-Hosting, aber KI-Backend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KI-Modell-Transparenz einfordern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Doctolib</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Plattform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Frankfurt/Paris (C5 Typ 2)</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FR-Firma auf US-Infra, verschlüsselt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Verschlüsselung reduziert, eliminiert nicht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myScribe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(Mannheim)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Eigenes NLP-Modell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(KIS-Add-on, keine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Vollständig souverän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Daten bleiben im KIS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Averbis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(Freiburg)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NLP-Engine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DE-Cloud (C5)</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Vollständig souverän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On-Premise: kein CLOUD-Act-Risiko</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Recare Voice — das Transparenzproblem.</w:t>
      </w:r>
      <w:r>
        <w:rPr>
          <w:rFonts w:ascii="Arial" w:cs="Arial" w:eastAsia="Arial" w:hAnsi="Arial"/>
          <w:b w:val="false"/>
          <w:bCs w:val="false"/>
          <w:i w:val="false"/>
          <w:iCs w:val="false"/>
          <w:color w:val="000000"/>
          <w:sz w:val="19"/>
          <w:szCs w:val="19"/>
        </w:rPr>
        <w:t xml:space="preserve"> 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 "Zero Knowledge"-Architektur. Das Problem: </w:t>
      </w:r>
      <w:r>
        <w:rPr>
          <w:rFonts w:ascii="Arial" w:cs="Arial" w:eastAsia="Arial" w:hAnsi="Arial"/>
          <w:b/>
          <w:bCs/>
          <w:i w:val="false"/>
          <w:iCs w:val="false"/>
          <w:color w:val="000000"/>
          <w:sz w:val="19"/>
          <w:szCs w:val="19"/>
        </w:rPr>
        <w:t xml:space="preserve">Welches Sprachmodell die Transkription und Zusammenfassung antreibt, ist nicht öffentlich dokumentiert.</w:t>
      </w:r>
      <w:r>
        <w:rPr>
          <w:rFonts w:ascii="Arial" w:cs="Arial" w:eastAsia="Arial" w:hAnsi="Arial"/>
          <w:b w:val="false"/>
          <w:bCs w:val="false"/>
          <w:i w:val="false"/>
          <w:iCs w:val="false"/>
          <w:color w:val="000000"/>
          <w:sz w:val="19"/>
          <w:szCs w:val="19"/>
        </w:rPr>
        <w:t xml:space="preserve"> Wenn Recare im Backend OpenAI Whisper oder GPT nutzt (direkt oder via Azure), gelten dieselben Vorbehalte wie bei Tandem Health. Wenn ein eigenes oder EU-gehostetes Modell verwendet wird, wäre das Risikoprofil deutlich besser. Für Kliniken, die Recare Voice evaluieren: Die Frage "Welches KI-Modell verarbeitet unsere Patientengespräche, und auf welcher Infrastruktur?" muss vertraglich beantwortet sein — nicht auf der Marketingseite.</w:t>
      </w:r>
    </w:p>
    <w:p>
      <w:pPr>
        <w:spacing w:after="40" w:before="20" w:line="276"/>
        <w:jc w:val="both"/>
      </w:pPr>
      <w:r>
        <w:rPr>
          <w:rFonts w:ascii="Arial" w:cs="Arial" w:eastAsia="Arial" w:hAnsi="Arial"/>
          <w:b/>
          <w:bCs/>
          <w:i w:val="false"/>
          <w:iCs w:val="false"/>
          <w:color w:val="000000"/>
          <w:sz w:val="19"/>
          <w:szCs w:val="19"/>
        </w:rPr>
        <w:t xml:space="preserve">myScribe — der On-Premise-Beweis.</w:t>
      </w:r>
      <w:r>
        <w:rPr>
          <w:rFonts w:ascii="Arial" w:cs="Arial" w:eastAsia="Arial" w:hAnsi="Arial"/>
          <w:b w:val="false"/>
          <w:bCs w:val="false"/>
          <w:i w:val="false"/>
          <w:iCs w:val="false"/>
          <w:color w:val="000000"/>
          <w:sz w:val="19"/>
          <w:szCs w:val="19"/>
        </w:rPr>
        <w:t xml:space="preserve"> myScribe GmbH (Mannheim, gegründet von der Ärztin Ira Stoll am Universitätsklinikum Heidelberg) zeigt, dass KI-gestützte Arztbrief-Generierung ohne Cloud funktioniert. Die App basiert auf einem </w:t>
      </w:r>
      <w:r>
        <w:rPr>
          <w:rFonts w:ascii="Arial" w:cs="Arial" w:eastAsia="Arial" w:hAnsi="Arial"/>
          <w:b/>
          <w:bCs/>
          <w:i w:val="false"/>
          <w:iCs w:val="false"/>
          <w:color w:val="000000"/>
          <w:sz w:val="19"/>
          <w:szCs w:val="19"/>
        </w:rPr>
        <w:t xml:space="preserve">eigenentwickelten NLP-Modell</w:t>
      </w:r>
      <w:r>
        <w:rPr>
          <w:rFonts w:ascii="Arial" w:cs="Arial" w:eastAsia="Arial" w:hAnsi="Arial"/>
          <w:b w:val="false"/>
          <w:bCs w:val="false"/>
          <w:i w:val="false"/>
          <w:iCs w:val="false"/>
          <w:color w:val="000000"/>
          <w:sz w:val="19"/>
          <w:szCs w:val="19"/>
        </w:rPr>
        <w:t xml:space="preserve">, das Informationen aus Visite-Notizen, Laborbefunden, Bildgebung, Diagnosen und Medikation zu mehrseitigen Arztbriefen konsolidiert. Entscheidend: myScribe läuft als Add-on auf der bestehenden KIS-Infrastruktur des Krankenhauses über HL7-FHIR-Schnittstellen. Keine Cloud-Funktionen, keine externe Datenübertragung, keine Abhängigkeit von US-KI-Providern. Patientendaten verlassen das Krankenhaus nicht. Zusammen mit Averbis ist myScribe der Beleg, dass souveräne Gesundheits-KI in Deutschland nicht Zukunftsmusik ist — sie existiert.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Das Muster:</w:t>
      </w:r>
      <w:r>
        <w:rPr>
          <w:rFonts w:ascii="Arial" w:cs="Arial" w:eastAsia="Arial" w:hAnsi="Arial"/>
          <w:b w:val="false"/>
          <w:bCs w:val="false"/>
          <w:i/>
          <w:iCs/>
          <w:color w:val="333333"/>
          <w:sz w:val="18"/>
          <w:szCs w:val="18"/>
        </w:rPr>
        <w:t xml:space="preserve"> Je weiter rechts im Spektrum (eigene Modelle, eigene Infrastruktur, EU-Eigentümer), desto geringer das CLOUD-Act-Risiko. Plaud demonstriert das Worst-Case: CN-Firma sendet Arzt-Patienten-Audio an US-Server. myScribe und Averbis demonstrieren das Best-Case: Deutsche NLP, deutsches Hosting, On-Premise — keine US-Beteiligung.</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Maskierung reduziert Exposition, löst Grundproblem nicht (s.u.)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 — und warum Maskierung kein Souveränitätsersatz ist:</w:t>
      </w:r>
      <w:r>
        <w:rPr>
          <w:rFonts w:ascii="Arial" w:cs="Arial" w:eastAsia="Arial" w:hAnsi="Arial"/>
          <w:b w:val="false"/>
          <w:bCs w:val="false"/>
          <w:i w:val="false"/>
          <w:iCs w:val="false"/>
          <w:color w:val="000000"/>
          <w:sz w:val="19"/>
          <w:szCs w:val="19"/>
        </w:rPr>
        <w:t xml:space="preserve"> Omnifact bietet als einziger Broker in dieser Übersicht einen "Privacy Filter", der sensible Daten (Namen, Diagnosen, Versichertennummern) </w:t>
      </w:r>
      <w:r>
        <w:rPr>
          <w:rFonts w:ascii="Arial" w:cs="Arial" w:eastAsia="Arial" w:hAnsi="Arial"/>
          <w:b/>
          <w:bCs/>
          <w:i w:val="false"/>
          <w:iCs w:val="false"/>
          <w:color w:val="000000"/>
          <w:sz w:val="19"/>
          <w:szCs w:val="19"/>
        </w:rPr>
        <w:t xml:space="preserve">vor</w:t>
      </w:r>
      <w:r>
        <w:rPr>
          <w:rFonts w:ascii="Arial" w:cs="Arial" w:eastAsia="Arial" w:hAnsi="Arial"/>
          <w:b w:val="false"/>
          <w:bCs w:val="false"/>
          <w:i w:val="false"/>
          <w:iCs w:val="false"/>
          <w:color w:val="000000"/>
          <w:sz w:val="19"/>
          <w:szCs w:val="19"/>
        </w:rPr>
        <w:t xml:space="preserve"> der Übergabe an das KI-Modell maskiert. Die Rücktransformation erfolgt lokal. Das klingt nach Lösung — bei genauerer Analyse bleiben jedoch fünf strukturelle Probleme: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Kontextuelle Re-Identifizierbarkeit.</w:t>
      </w:r>
      <w:r>
        <w:rPr>
          <w:rFonts w:ascii="Arial" w:cs="Arial" w:eastAsia="Arial" w:hAnsi="Arial"/>
          <w:b w:val="false"/>
          <w:bCs w:val="false"/>
          <w:i w:val="false"/>
          <w:iCs w:val="false"/>
          <w:color w:val="000000"/>
          <w:sz w:val="19"/>
          <w:szCs w:val="19"/>
        </w:rPr>
        <w:t xml:space="preserve"> Medizinische Daten sind strukturell identifizierend. "43-jährige Patientin, bilaterale Mastektomie 2024, BRCA1-positiv, Olaparib-Therapie" ist auch ohne Namen einem überschaubaren Personenkreis zuordenbar — insbesondere in Kombination mit Zeitstempel, behandelnder Einrichtung oder Diagnosesequenz. Je seltener die Erkrankung, desto geringer die Anonymisierungswirkung.</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Maskierungslücken.</w:t>
      </w:r>
      <w:r>
        <w:rPr>
          <w:rFonts w:ascii="Arial" w:cs="Arial" w:eastAsia="Arial" w:hAnsi="Arial"/>
          <w:b w:val="false"/>
          <w:bCs w:val="false"/>
          <w:i w:val="false"/>
          <w:iCs w:val="false"/>
          <w:color w:val="000000"/>
          <w:sz w:val="19"/>
          <w:szCs w:val="19"/>
        </w:rPr>
        <w:t xml:space="preserve"> Kein regelbasierter oder KI-gestützter Filter erkennt alle sensiblen Informationen zuverlässig. Medizinischer Freitext enthält unstrukturierte Angaben, Abkürzungen, kontextabhängige Sensitivität ("Ehemann positiv getestet" ist ohne medizinischen Kontext harmlos, im HIV-Kontext hochsensibel). Wenn der Filter eine Information übersieht, gehen ungeschützte Patientendaten an das US-Modell.</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Funktionale Grenze.</w:t>
      </w:r>
      <w:r>
        <w:rPr>
          <w:rFonts w:ascii="Arial" w:cs="Arial" w:eastAsia="Arial" w:hAnsi="Arial"/>
          <w:b w:val="false"/>
          <w:bCs w:val="false"/>
          <w:i w:val="false"/>
          <w:iCs w:val="false"/>
          <w:color w:val="000000"/>
          <w:sz w:val="19"/>
          <w:szCs w:val="19"/>
        </w:rPr>
        <w:t xml:space="preserve"> Ein Arztbrief-Generator, der den klinischen Kontext benötigt, funktioniert mit maskierten Daten nur eingeschränkt oder gar nicht. "Patient [MASKIERT], Diagnose [MASKIERT], Therapie [MASKIERT]" kann kein Modell zu einem sinnvollen Arztbrief verarbeiten. Je aggressiver die Maskierung, desto nutzloser die KI-Ausgabe — je weniger maskiert wird, desto größer die Exposition.</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Wer führt die Maskierung durch?</w:t>
      </w:r>
      <w:r>
        <w:rPr>
          <w:rFonts w:ascii="Arial" w:cs="Arial" w:eastAsia="Arial" w:hAnsi="Arial"/>
          <w:b w:val="false"/>
          <w:bCs w:val="false"/>
          <w:i w:val="false"/>
          <w:iCs w:val="false"/>
          <w:color w:val="000000"/>
          <w:sz w:val="19"/>
          <w:szCs w:val="19"/>
        </w:rPr>
        <w:t xml:space="preserve"> Wenn der Privacy Filter selbst ein KI-Modell nutzt, um sensible Daten zu erkennen, sieht dieses Modell die vollständigen Rohdaten. Die Frage verschiebt sich nur: Auf welcher Infrastruktur und bei welchem Anbieter läuft der Maskierungsfilter?</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bCs/>
          <w:i w:val="false"/>
          <w:iCs w:val="false"/>
          <w:color w:val="000000"/>
          <w:sz w:val="19"/>
          <w:szCs w:val="19"/>
        </w:rPr>
        <w:t xml:space="preserve">Pseudonymisierung ≠ Anonymisierung.</w:t>
      </w:r>
      <w:r>
        <w:rPr>
          <w:rFonts w:ascii="Arial" w:cs="Arial" w:eastAsia="Arial" w:hAnsi="Arial"/>
          <w:b w:val="false"/>
          <w:bCs w:val="false"/>
          <w:i w:val="false"/>
          <w:iCs w:val="false"/>
          <w:color w:val="000000"/>
          <w:sz w:val="19"/>
          <w:szCs w:val="19"/>
        </w:rPr>
        <w:t xml:space="preserve"> Maskierte Daten sind pseudonymisiert, nicht anonymisiert im DSGVO-Sinne (Art. 4 Nr. 5). Pseudonymisierte Daten bleiben personenbezogene Daten — mit allen DSGVO-Pflichten inklusive Art. 48. Die CLOUD-Act-Exposition wird reduziert, nicht eliminiert.</w:t>
      </w:r>
    </w:p>
    <w:p>
      <w:pPr>
        <w:spacing w:after="40" w:before="20" w:line="276"/>
        <w:jc w:val="both"/>
      </w:pPr>
      <w:r>
        <w:rPr>
          <w:rFonts w:ascii="Arial" w:cs="Arial" w:eastAsia="Arial" w:hAnsi="Arial"/>
          <w:b w:val="false"/>
          <w:bCs w:val="false"/>
          <w:i w:val="false"/>
          <w:iCs w:val="false"/>
          <w:color w:val="000000"/>
          <w:sz w:val="19"/>
          <w:szCs w:val="19"/>
        </w:rPr>
        <w:t xml:space="preserve">Omnifacts Ansatz ist der beste unter den Brokern — aber "besser als die anderen" ist nicht dasselbe wie "ausreichend für Gesundheitsdaten". Für unkritische Workloads (Klasse 2–3) ist Maskierung ein pragmatischer Teilschutz. Für Klasse-1-Daten (ePA, Diagnosen, Medikation) bleibt das Urteil: Nur vollständig EU-gehostete Modelle ohne US-Anbieter-Beteiligung bieten strukturellen Schutz.</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19.0,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19.0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7lm66nzrsk1qn-kl3vum" Type="http://schemas.openxmlformats.org/officeDocument/2006/relationships/hyperlink" Target="#1-das-kernproblem" TargetMode="External"/><Relationship Id="rIdmlomn9jmdiwag6d995bot" Type="http://schemas.openxmlformats.org/officeDocument/2006/relationships/hyperlink" Target="#2-rechtliche-grundlagen" TargetMode="External"/><Relationship Id="rIdb3k-qo3h7p0gq9gsnodah" Type="http://schemas.openxmlformats.org/officeDocument/2006/relationships/hyperlink" Target="#3-zugriffsebenen" TargetMode="External"/><Relationship Id="rIdjddapqtqevq6xyyjax1xh" Type="http://schemas.openxmlformats.org/officeDocument/2006/relationships/hyperlink" Target="#4-europaeischer-zugriff" TargetMode="External"/><Relationship Id="rIdgoaynmmabfuvbo1xuo_e0" Type="http://schemas.openxmlformats.org/officeDocument/2006/relationships/hyperlink" Target="#5-anbieterbewertung" TargetMode="External"/><Relationship Id="rIdzeenomswchjq_sssdegnp" Type="http://schemas.openxmlformats.org/officeDocument/2006/relationships/hyperlink" Target="#6-operator-modell" TargetMode="External"/><Relationship Id="rIdcets7ujeo99j6icxfrg0j" Type="http://schemas.openxmlformats.org/officeDocument/2006/relationships/hyperlink" Target="#7-hyperscaling" TargetMode="External"/><Relationship Id="rIdkitoomorzfh0m4tx9dfo-" Type="http://schemas.openxmlformats.org/officeDocument/2006/relationships/hyperlink" Target="#8-eu-stack" TargetMode="External"/><Relationship Id="rIdpygolry1--nuxaow67aq7" Type="http://schemas.openxmlformats.org/officeDocument/2006/relationships/hyperlink" Target="#9-abkommen" TargetMode="External"/><Relationship Id="rIdhy0rp0b9wei43wjrs3jte" Type="http://schemas.openxmlformats.org/officeDocument/2006/relationships/hyperlink" Target="#10-lobbyarbeit" TargetMode="External"/><Relationship Id="rIdrse3qtlkzqwhzb0d72ney" Type="http://schemas.openxmlformats.org/officeDocument/2006/relationships/hyperlink" Target="#11-berater" TargetMode="External"/><Relationship Id="rId5mwfyu2ngxjw-qkleid1w" Type="http://schemas.openxmlformats.org/officeDocument/2006/relationships/hyperlink" Target="#12-marktbeispiele" TargetMode="External"/><Relationship Id="rIdeehm9b_rf4nvutqxvw3dr" Type="http://schemas.openxmlformats.org/officeDocument/2006/relationships/hyperlink" Target="#13-verschluesselung" TargetMode="External"/><Relationship Id="rIdjuybfj_rb8r6yya9l4dlr" Type="http://schemas.openxmlformats.org/officeDocument/2006/relationships/hyperlink" Target="#14-bewertungsschema" TargetMode="External"/><Relationship Id="rId8ioxsbhiim7lxpaciivua" Type="http://schemas.openxmlformats.org/officeDocument/2006/relationships/hyperlink" Target="#15-globaler-vergleich" TargetMode="External"/><Relationship Id="rId-3s1zxwq85uyekzoaxwuv" Type="http://schemas.openxmlformats.org/officeDocument/2006/relationships/hyperlink" Target="#16-handlungsempfehlungen" TargetMode="External"/><Relationship Id="rIdlyj1n2a5whahix6jyea7x" Type="http://schemas.openxmlformats.org/officeDocument/2006/relationships/hyperlink" Target="#17-ausblick" TargetMode="External"/><Relationship Id="rIdnwfws74yfn05ykc6cdhfe" Type="http://schemas.openxmlformats.org/officeDocument/2006/relationships/hyperlink" Target="#18-quellen" TargetMode="External"/><Relationship Id="rIdhjka3rkmjumdkjqhqtkvj"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2026-04-09T22:06:09.138Z</dcterms:created>
  <dcterms:modified xsi:type="dcterms:W3CDTF">2026-04-09T22:06:09.139Z</dcterms:modified>
</cp:coreProperties>
</file>

<file path=docProps/custom.xml><?xml version="1.0" encoding="utf-8"?>
<Properties xmlns="http://schemas.openxmlformats.org/officeDocument/2006/custom-properties" xmlns:vt="http://schemas.openxmlformats.org/officeDocument/2006/docPropsVTypes"/>
</file>