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20.0 — April 2026 · 189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q18uxeihqyul72toehiv-">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7cpljwutfhniwbvzefslp">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kecvfwe1pfk9czqtzbovi">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j1xn4_2lurhympbv6-uga">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sis-zc0mdcejxaswnbcgm">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d1kh3q8olnwknxwfziixu">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qcm2m_1ibovhwa-ynqeqc">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ufhxrykehcswsphgshx2r">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q_vxmmoiuaswrvditjfvf">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sraskjafkkxgh4v1f0ogx">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9s0ka_qlgo36brhjsn7un">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kn5rysboxa9kc4r7o0kqu">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yrm6wj7c0hooezfx5ex5x">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nf6aezmserpf5a5v_jiha">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2gl63cqzi9oxuo_gz-4lm">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g3d3vim8iy-ablpimamhy">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mz4eoxcczxutwttb8nqrj">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qosl1upucsvksxiejobwm">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tp4swvrvx-xth_lstu7sp">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 C5:2026 (April 2026, 168 Kriterien) schließt diese Lücke nicht — das BSI plant Souveränitätskriterien als separates Dokument.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 "in Kürze" erscheinen soll [188]. C5 zertifiziert Informationssicherheit, nicht Datensouveränität im geopolitischen Sinne.</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 (168 Kriterien, Apr.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Souveränitätskriterien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Angekündigt — gemeinsam mit ANSSI (Nov. 2025), Veröffentlichung "in Kürze"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verfügbar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24%/39% nicht-EU-Anteile, EU-Personal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(blockiert)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Souveränitätsstufe gestrichen; Pattsituation seit 2024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absehbar</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60" w:before="160"/>
      </w:pPr>
      <w:r>
        <w:rPr>
          <w:rFonts w:ascii="Arial" w:cs="Arial" w:eastAsia="Arial" w:hAnsi="Arial"/>
          <w:b/>
          <w:bCs/>
          <w:color w:val="333333"/>
          <w:sz w:val="21"/>
          <w:szCs w:val="21"/>
        </w:rPr>
        <w:t xml:space="preserve">Warum Frankreich SecNumCloud hat und Deutschland nicht</w:t>
      </w:r>
    </w:p>
    <w:p>
      <w:pPr>
        <w:spacing w:after="40" w:before="20" w:line="276"/>
        <w:jc w:val="both"/>
      </w:pPr>
      <w:r>
        <w:rPr>
          <w:rFonts w:ascii="Arial" w:cs="Arial" w:eastAsia="Arial" w:hAnsi="Arial"/>
          <w:b w:val="false"/>
          <w:bCs w:val="false"/>
          <w:i w:val="false"/>
          <w:iCs w:val="false"/>
          <w:color w:val="000000"/>
          <w:sz w:val="19"/>
          <w:szCs w:val="19"/>
        </w:rP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spacing w:after="40" w:before="20" w:line="276"/>
        <w:jc w:val="both"/>
      </w:pPr>
      <w:r>
        <w:rPr>
          <w:rFonts w:ascii="Arial" w:cs="Arial" w:eastAsia="Arial" w:hAnsi="Arial"/>
          <w:b/>
          <w:bCs/>
          <w:i w:val="false"/>
          <w:iCs w:val="false"/>
          <w:color w:val="000000"/>
          <w:sz w:val="19"/>
          <w:szCs w:val="19"/>
        </w:rPr>
        <w:t xml:space="preserve">Frankreichs Weg: Von der Souveränitätstradition zum Zertifizierungsstandard</w:t>
      </w:r>
    </w:p>
    <w:p>
      <w:pPr>
        <w:spacing w:after="40" w:before="20" w:line="276"/>
        <w:jc w:val="both"/>
      </w:pPr>
      <w:r>
        <w:rPr>
          <w:rFonts w:ascii="Arial" w:cs="Arial" w:eastAsia="Arial" w:hAnsi="Arial"/>
          <w:b w:val="false"/>
          <w:bCs w:val="false"/>
          <w:i w:val="false"/>
          <w:iCs w:val="false"/>
          <w:color w:val="000000"/>
          <w:sz w:val="19"/>
          <w:szCs w:val="19"/>
        </w:rPr>
        <w:t xml:space="preserve">Frankreich hat eine gewachsene Tradition der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rFonts w:ascii="Arial" w:cs="Arial" w:eastAsia="Arial" w:hAnsi="Arial"/>
          <w:b w:val="false"/>
          <w:bCs w:val="false"/>
          <w:i/>
          <w:iCs/>
          <w:color w:val="000000"/>
          <w:sz w:val="19"/>
          <w:szCs w:val="19"/>
        </w:rPr>
        <w:t xml:space="preserve">force de frappe</w:t>
      </w:r>
      <w:r>
        <w:rPr>
          <w:rFonts w:ascii="Arial" w:cs="Arial" w:eastAsia="Arial" w:hAnsi="Arial"/>
          <w:b w:val="false"/>
          <w:bCs w:val="false"/>
          <w:i w:val="false"/>
          <w:iCs w:val="false"/>
          <w:color w:val="000000"/>
          <w:sz w:val="19"/>
          <w:szCs w:val="19"/>
        </w:rPr>
        <w:t xml:space="preserve">) begründet: Souveränität als nicht-delegierbare Kernaufgabe des Staates.</w:t>
      </w:r>
    </w:p>
    <w:p>
      <w:pPr>
        <w:spacing w:after="40" w:before="20" w:line="276"/>
        <w:jc w:val="both"/>
      </w:pPr>
      <w:r>
        <w:rPr>
          <w:rFonts w:ascii="Arial" w:cs="Arial" w:eastAsia="Arial" w:hAnsi="Arial"/>
          <w:b w:val="false"/>
          <w:bCs w:val="false"/>
          <w:i w:val="false"/>
          <w:iCs w:val="false"/>
          <w:color w:val="000000"/>
          <w:sz w:val="19"/>
          <w:szCs w:val="19"/>
        </w:rPr>
        <w:t xml:space="preserve">ANSSI (Agence nationale de la sécurité des systèmes d'information) veröffentlichte die erste SecNumCloud-Version 2016. Version 3.1 (2018) strich die Differenzierung in "Essential" und "Advanced" zugunsten eines einheitlichen Labels und harmonisierte mit der DSGVO. Der entscheidende Schritt war </w:t>
      </w:r>
      <w:r>
        <w:rPr>
          <w:rFonts w:ascii="Arial" w:cs="Arial" w:eastAsia="Arial" w:hAnsi="Arial"/>
          <w:b/>
          <w:bCs/>
          <w:i w:val="false"/>
          <w:iCs w:val="false"/>
          <w:color w:val="000000"/>
          <w:sz w:val="19"/>
          <w:szCs w:val="19"/>
        </w:rPr>
        <w:t xml:space="preserve">Version 3.2 (März 2022)</w:t>
      </w:r>
      <w:r>
        <w:rPr>
          <w:rFonts w:ascii="Arial" w:cs="Arial" w:eastAsia="Arial" w:hAnsi="Arial"/>
          <w:b w:val="false"/>
          <w:bCs w:val="false"/>
          <w:i w:val="false"/>
          <w:iCs w:val="false"/>
          <w:color w:val="000000"/>
          <w:sz w:val="19"/>
          <w:szCs w:val="19"/>
        </w:rPr>
        <w:t xml:space="preserve">: Erstmals enthielt der Standard explizite </w:t>
      </w:r>
      <w:r>
        <w:rPr>
          <w:rFonts w:ascii="Arial" w:cs="Arial" w:eastAsia="Arial" w:hAnsi="Arial"/>
          <w:b/>
          <w:bCs/>
          <w:i w:val="false"/>
          <w:iCs w:val="false"/>
          <w:color w:val="000000"/>
          <w:sz w:val="19"/>
          <w:szCs w:val="19"/>
        </w:rPr>
        <w:t xml:space="preserve">Souveränitätsanforderungen</w:t>
      </w:r>
      <w:r>
        <w:rPr>
          <w:rFonts w:ascii="Arial" w:cs="Arial" w:eastAsia="Arial" w:hAnsi="Arial"/>
          <w:b w:val="false"/>
          <w:bCs w:val="false"/>
          <w:i w:val="false"/>
          <w:iCs w:val="false"/>
          <w:color w:val="000000"/>
          <w:sz w:val="19"/>
          <w:szCs w:val="19"/>
        </w:rPr>
        <w:t xml:space="preserve"> — über 360 Anforderungen in 14 Sicherheitsthemen, darunter die Kernklausel, dass qualifizierte Anbieter mehrheitlich in EU-Hand sein, ihren Hauptsitz in der EU haben und </w:t>
      </w:r>
      <w:r>
        <w:rPr>
          <w:rFonts w:ascii="Arial" w:cs="Arial" w:eastAsia="Arial" w:hAnsi="Arial"/>
          <w:b/>
          <w:bCs/>
          <w:i w:val="false"/>
          <w:iCs w:val="false"/>
          <w:color w:val="000000"/>
          <w:sz w:val="19"/>
          <w:szCs w:val="19"/>
        </w:rPr>
        <w:t xml:space="preserve">nicht dem Recht von Nicht-EU-Staaten unterliegen</w:t>
      </w:r>
      <w:r>
        <w:rPr>
          <w:rFonts w:ascii="Arial" w:cs="Arial" w:eastAsia="Arial" w:hAnsi="Arial"/>
          <w:b w:val="false"/>
          <w:bCs w:val="false"/>
          <w:i w:val="false"/>
          <w:iCs w:val="false"/>
          <w:color w:val="000000"/>
          <w:sz w:val="19"/>
          <w:szCs w:val="19"/>
        </w:rPr>
        <w:t xml:space="preserve"> 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spacing w:after="40" w:before="20" w:line="276"/>
        <w:jc w:val="both"/>
      </w:pPr>
      <w:r>
        <w:rPr>
          <w:rFonts w:ascii="Arial" w:cs="Arial" w:eastAsia="Arial" w:hAnsi="Arial"/>
          <w:b/>
          <w:bCs/>
          <w:i w:val="false"/>
          <w:iCs w:val="false"/>
          <w:color w:val="000000"/>
          <w:sz w:val="19"/>
          <w:szCs w:val="19"/>
        </w:rPr>
        <w:t xml:space="preserve">Der Auslöser: Die Health-Data-Hub-Krise</w:t>
      </w:r>
    </w:p>
    <w:p>
      <w:pPr>
        <w:spacing w:after="40" w:before="20" w:line="276"/>
        <w:jc w:val="both"/>
      </w:pPr>
      <w:r>
        <w:rPr>
          <w:rFonts w:ascii="Arial" w:cs="Arial" w:eastAsia="Arial" w:hAnsi="Arial"/>
          <w:b w:val="false"/>
          <w:bCs w:val="false"/>
          <w:i w:val="false"/>
          <w:iCs w:val="false"/>
          <w:color w:val="000000"/>
          <w:sz w:val="19"/>
          <w:szCs w:val="19"/>
        </w:rP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spacing w:after="40" w:before="20" w:line="276"/>
        <w:jc w:val="both"/>
      </w:pPr>
      <w:r>
        <w:rPr>
          <w:rFonts w:ascii="Arial" w:cs="Arial" w:eastAsia="Arial" w:hAnsi="Arial"/>
          <w:b/>
          <w:bCs/>
          <w:i w:val="false"/>
          <w:iCs w:val="false"/>
          <w:color w:val="000000"/>
          <w:sz w:val="19"/>
          <w:szCs w:val="19"/>
        </w:rPr>
        <w:t xml:space="preserve">Die Doctrine "Cloud au centre"</w:t>
      </w:r>
    </w:p>
    <w:p>
      <w:pPr>
        <w:spacing w:after="40" w:before="20" w:line="276"/>
        <w:jc w:val="both"/>
      </w:pPr>
      <w:r>
        <w:rPr>
          <w:rFonts w:ascii="Arial" w:cs="Arial" w:eastAsia="Arial" w:hAnsi="Arial"/>
          <w:b w:val="false"/>
          <w:bCs w:val="false"/>
          <w:i w:val="false"/>
          <w:iCs w:val="false"/>
          <w:color w:val="000000"/>
          <w:sz w:val="19"/>
          <w:szCs w:val="19"/>
        </w:rPr>
        <w:t xml:space="preserve">Im Juli 2021 formalisierte Premierminister Jean Castex per Rundschreiben die </w:t>
      </w:r>
      <w:r>
        <w:rPr>
          <w:rFonts w:ascii="Arial" w:cs="Arial" w:eastAsia="Arial" w:hAnsi="Arial"/>
          <w:b w:val="false"/>
          <w:bCs w:val="false"/>
          <w:i/>
          <w:iCs/>
          <w:color w:val="000000"/>
          <w:sz w:val="19"/>
          <w:szCs w:val="19"/>
        </w:rPr>
        <w:t xml:space="preserve">Doctrine Cloud au centre</w:t>
      </w:r>
      <w:r>
        <w:rPr>
          <w:rFonts w:ascii="Arial" w:cs="Arial" w:eastAsia="Arial" w:hAnsi="Arial"/>
          <w:b w:val="false"/>
          <w:bCs w:val="false"/>
          <w:i w:val="false"/>
          <w:iCs w:val="false"/>
          <w:color w:val="000000"/>
          <w:sz w:val="19"/>
          <w:szCs w:val="19"/>
        </w:rPr>
        <w:t xml:space="preserve">: Cloud-Computing wird Voraussetzung für alle neuen digitalen Projekte des Staates. Für Daten "besonderer Sensibilität" — auch wenn sie keine personenbezogenen Daten im DSGVO-Sinne sind — ist die Nutzung eines </w:t>
      </w:r>
      <w:r>
        <w:rPr>
          <w:rFonts w:ascii="Arial" w:cs="Arial" w:eastAsia="Arial" w:hAnsi="Arial"/>
          <w:b/>
          <w:bCs/>
          <w:i w:val="false"/>
          <w:iCs w:val="false"/>
          <w:color w:val="000000"/>
          <w:sz w:val="19"/>
          <w:szCs w:val="19"/>
        </w:rPr>
        <w:t xml:space="preserve">SecNumCloud-qualifizierten Anbieters verpflichtend</w:t>
      </w:r>
      <w:r>
        <w:rPr>
          <w:rFonts w:ascii="Arial" w:cs="Arial" w:eastAsia="Arial" w:hAnsi="Arial"/>
          <w:b w:val="false"/>
          <w:bCs w:val="false"/>
          <w:i w:val="false"/>
          <w:iCs w:val="false"/>
          <w:color w:val="000000"/>
          <w:sz w:val="19"/>
          <w:szCs w:val="19"/>
        </w:rPr>
        <w:t xml:space="preserve"> [176]. Die Doctrine wurde im Mai 2023 unter Premierministerin Borne aktualisiert und der Sensibilitätsbegriff erweitert. Im Januar 2026 bekräftigte Digitalministerin Anne Le Hénanff auf den </w:t>
      </w:r>
      <w:r>
        <w:rPr>
          <w:rFonts w:ascii="Arial" w:cs="Arial" w:eastAsia="Arial" w:hAnsi="Arial"/>
          <w:b w:val="false"/>
          <w:bCs w:val="false"/>
          <w:i/>
          <w:iCs/>
          <w:color w:val="000000"/>
          <w:sz w:val="19"/>
          <w:szCs w:val="19"/>
        </w:rPr>
        <w:t xml:space="preserve">Rencontres de la souveraineté numérique</w:t>
      </w:r>
      <w:r>
        <w:rPr>
          <w:rFonts w:ascii="Arial" w:cs="Arial" w:eastAsia="Arial" w:hAnsi="Arial"/>
          <w:b w:val="false"/>
          <w:bCs w:val="false"/>
          <w:i w:val="false"/>
          <w:iCs w:val="false"/>
          <w:color w:val="000000"/>
          <w:sz w:val="19"/>
          <w:szCs w:val="19"/>
        </w:rPr>
        <w:t xml:space="preserve"> die Forderung nach einer "préférence européenne". Das Ergebnis: Ein wachsendes SecNumCloud-Ökosystem mit mittlerweile über einem halben Dutzend qualifizierten Anbietern (3DS Outscale, S3NS, Cloud Temple, OVHcloud, NumSpot, Scaleway in Prüfung) — ein Markt, den es ohne die staatliche Nachfragepolitik so nicht gäbe.</w:t>
      </w:r>
    </w:p>
    <w:p>
      <w:pPr>
        <w:spacing w:after="40" w:before="20" w:line="276"/>
        <w:jc w:val="both"/>
      </w:pPr>
      <w:r>
        <w:rPr>
          <w:rFonts w:ascii="Arial" w:cs="Arial" w:eastAsia="Arial" w:hAnsi="Arial"/>
          <w:b/>
          <w:bCs/>
          <w:i w:val="false"/>
          <w:iCs w:val="false"/>
          <w:color w:val="000000"/>
          <w:sz w:val="19"/>
          <w:szCs w:val="19"/>
        </w:rPr>
        <w:t xml:space="preserve">Deutschlands Weg: C5 als pragmatischer Kompromiss</w:t>
      </w:r>
    </w:p>
    <w:p>
      <w:pPr>
        <w:spacing w:after="40" w:before="20" w:line="276"/>
        <w:jc w:val="both"/>
      </w:pPr>
      <w:r>
        <w:rPr>
          <w:rFonts w:ascii="Arial" w:cs="Arial" w:eastAsia="Arial" w:hAnsi="Arial"/>
          <w:b w:val="false"/>
          <w:bCs w:val="false"/>
          <w:i w:val="false"/>
          <w:iCs w:val="false"/>
          <w:color w:val="000000"/>
          <w:sz w:val="19"/>
          <w:szCs w:val="19"/>
        </w:rPr>
        <w:t xml:space="preserve">Deutschland hat eine andere Tradition. Das BSI hat sich historisch als Behörde für </w:t>
      </w:r>
      <w:r>
        <w:rPr>
          <w:rFonts w:ascii="Arial" w:cs="Arial" w:eastAsia="Arial" w:hAnsi="Arial"/>
          <w:b/>
          <w:bCs/>
          <w:i w:val="false"/>
          <w:iCs w:val="false"/>
          <w:color w:val="000000"/>
          <w:sz w:val="19"/>
          <w:szCs w:val="19"/>
        </w:rPr>
        <w:t xml:space="preserve">technische</w:t>
      </w:r>
      <w:r>
        <w:rPr>
          <w:rFonts w:ascii="Arial" w:cs="Arial" w:eastAsia="Arial" w:hAnsi="Arial"/>
          <w:b w:val="false"/>
          <w:bCs w:val="false"/>
          <w:i w:val="false"/>
          <w:iCs w:val="false"/>
          <w:color w:val="000000"/>
          <w:sz w:val="19"/>
          <w:szCs w:val="19"/>
        </w:rPr>
        <w:t xml:space="preserve"> 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 </w:t>
      </w:r>
      <w:r>
        <w:rPr>
          <w:rFonts w:ascii="Arial" w:cs="Arial" w:eastAsia="Arial" w:hAnsi="Arial"/>
          <w:b/>
          <w:bCs/>
          <w:i w:val="false"/>
          <w:iCs w:val="false"/>
          <w:color w:val="000000"/>
          <w:sz w:val="19"/>
          <w:szCs w:val="19"/>
        </w:rPr>
        <w:t xml:space="preserve">C5:2026</w:t>
      </w:r>
      <w:r>
        <w:rPr>
          <w:rFonts w:ascii="Arial" w:cs="Arial" w:eastAsia="Arial" w:hAnsi="Arial"/>
          <w:b w:val="false"/>
          <w:bCs w:val="false"/>
          <w:i w:val="false"/>
          <w:iCs w:val="false"/>
          <w:color w:val="000000"/>
          <w:sz w:val="19"/>
          <w:szCs w:val="19"/>
        </w:rPr>
        <w:t xml:space="preserve"> prüft 168 Kriterien in 17 Domänen — Verschlüsselung, Zugriffskontrolle, Netzwerksicherheit, Container-Management, Post-Quanten-Kryptographie, Confidential Computing — und beantwortet die Frage "Ist der Cloud-Dienst technisch sicher?" [188]. Die Frage "Kann eine ausländische Regierung den Anbieter zur Herausgabe zwingen?" wird auch in C5:2026 </w:t>
      </w:r>
      <w:r>
        <w:rPr>
          <w:rFonts w:ascii="Arial" w:cs="Arial" w:eastAsia="Arial" w:hAnsi="Arial"/>
          <w:b/>
          <w:bCs/>
          <w:i w:val="false"/>
          <w:iCs w:val="false"/>
          <w:color w:val="000000"/>
          <w:sz w:val="19"/>
          <w:szCs w:val="19"/>
        </w:rPr>
        <w:t xml:space="preserve">bewusst nicht gestellt</w:t>
      </w:r>
      <w:r>
        <w:rPr>
          <w:rFonts w:ascii="Arial" w:cs="Arial" w:eastAsia="Arial" w:hAnsi="Arial"/>
          <w:b w:val="false"/>
          <w:bCs w:val="false"/>
          <w:i w:val="false"/>
          <w:iCs w:val="false"/>
          <w:color w:val="000000"/>
          <w:sz w:val="19"/>
          <w:szCs w:val="19"/>
        </w:rPr>
        <w:t xml:space="preserve"> — obwohl der Katalog strukturell an das europäische EUCS angelehnt wurde [177].</w:t>
      </w:r>
    </w:p>
    <w:p>
      <w:pPr>
        <w:spacing w:after="40" w:before="20" w:line="276"/>
        <w:jc w:val="both"/>
      </w:pPr>
      <w:r>
        <w:rPr>
          <w:rFonts w:ascii="Arial" w:cs="Arial" w:eastAsia="Arial" w:hAnsi="Arial"/>
          <w:b w:val="false"/>
          <w:bCs w:val="false"/>
          <w:i w:val="false"/>
          <w:iCs w:val="false"/>
          <w:color w:val="000000"/>
          <w:sz w:val="19"/>
          <w:szCs w:val="19"/>
        </w:rPr>
        <w:t xml:space="preserve">Für den Bereich der Verschlusssachen (VS-NfD und höher) existiert mit den </w:t>
      </w:r>
      <w:r>
        <w:rPr>
          <w:rFonts w:ascii="Arial" w:cs="Arial" w:eastAsia="Arial" w:hAnsi="Arial"/>
          <w:b/>
          <w:bCs/>
          <w:i w:val="false"/>
          <w:iCs w:val="false"/>
          <w:color w:val="000000"/>
          <w:sz w:val="19"/>
          <w:szCs w:val="19"/>
        </w:rPr>
        <w:t xml:space="preserve">BSI Cloud Platform Requirements</w:t>
      </w:r>
      <w:r>
        <w:rPr>
          <w:rFonts w:ascii="Arial" w:cs="Arial" w:eastAsia="Arial" w:hAnsi="Arial"/>
          <w:b w:val="false"/>
          <w:bCs w:val="false"/>
          <w:i w:val="false"/>
          <w:iCs w:val="false"/>
          <w:color w:val="000000"/>
          <w:sz w:val="19"/>
          <w:szCs w:val="19"/>
        </w:rPr>
        <w:t xml:space="preserve"> 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spacing w:after="40" w:before="20" w:line="276"/>
        <w:jc w:val="both"/>
      </w:pPr>
      <w:r>
        <w:rPr>
          <w:rFonts w:ascii="Arial" w:cs="Arial" w:eastAsia="Arial" w:hAnsi="Arial"/>
          <w:b w:val="false"/>
          <w:bCs w:val="false"/>
          <w:i w:val="false"/>
          <w:iCs w:val="false"/>
          <w:color w:val="000000"/>
          <w:sz w:val="19"/>
          <w:szCs w:val="19"/>
        </w:rP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 </w:t>
      </w:r>
      <w:r>
        <w:rPr>
          <w:rFonts w:ascii="Arial" w:cs="Arial" w:eastAsia="Arial" w:hAnsi="Arial"/>
          <w:b/>
          <w:bCs/>
          <w:i w:val="false"/>
          <w:iCs w:val="false"/>
          <w:color w:val="000000"/>
          <w:sz w:val="19"/>
          <w:szCs w:val="19"/>
        </w:rPr>
        <w:t xml:space="preserve">ausgeklammert</w:t>
      </w:r>
      <w:r>
        <w:rPr>
          <w:rFonts w:ascii="Arial" w:cs="Arial" w:eastAsia="Arial" w:hAnsi="Arial"/>
          <w:b w:val="false"/>
          <w:bCs w:val="false"/>
          <w:i w:val="false"/>
          <w:iCs w:val="false"/>
          <w:color w:val="000000"/>
          <w:sz w:val="19"/>
          <w:szCs w:val="19"/>
        </w:rPr>
        <w:t xml:space="preserve">: Das BSI hat angekündigt, Souveränitätskriterien als </w:t>
      </w:r>
      <w:r>
        <w:rPr>
          <w:rFonts w:ascii="Arial" w:cs="Arial" w:eastAsia="Arial" w:hAnsi="Arial"/>
          <w:b/>
          <w:bCs/>
          <w:i w:val="false"/>
          <w:iCs w:val="false"/>
          <w:color w:val="000000"/>
          <w:sz w:val="19"/>
          <w:szCs w:val="19"/>
        </w:rPr>
        <w:t xml:space="preserve">separates Dokument</w:t>
      </w:r>
      <w:r>
        <w:rPr>
          <w:rFonts w:ascii="Arial" w:cs="Arial" w:eastAsia="Arial" w:hAnsi="Arial"/>
          <w:b w:val="false"/>
          <w:bCs w:val="false"/>
          <w:i w:val="false"/>
          <w:iCs w:val="false"/>
          <w:color w:val="000000"/>
          <w:sz w:val="19"/>
          <w:szCs w:val="19"/>
        </w:rPr>
        <w:t xml:space="preserve"> "in Kürze" 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spacing w:after="40" w:before="20" w:line="276"/>
        <w:jc w:val="both"/>
      </w:pPr>
      <w:r>
        <w:rPr>
          <w:rFonts w:ascii="Arial" w:cs="Arial" w:eastAsia="Arial" w:hAnsi="Arial"/>
          <w:b/>
          <w:bCs/>
          <w:i w:val="false"/>
          <w:iCs w:val="false"/>
          <w:color w:val="000000"/>
          <w:sz w:val="19"/>
          <w:szCs w:val="19"/>
        </w:rPr>
        <w:t xml:space="preserve">Das EUCS-Scheitern — und Deutschlands Rolle</w:t>
      </w:r>
    </w:p>
    <w:p>
      <w:pPr>
        <w:spacing w:after="40" w:before="20" w:line="276"/>
        <w:jc w:val="both"/>
      </w:pPr>
      <w:r>
        <w:rPr>
          <w:rFonts w:ascii="Arial" w:cs="Arial" w:eastAsia="Arial" w:hAnsi="Arial"/>
          <w:b w:val="false"/>
          <w:bCs w:val="false"/>
          <w:i w:val="false"/>
          <w:iCs w:val="false"/>
          <w:color w:val="000000"/>
          <w:sz w:val="19"/>
          <w:szCs w:val="19"/>
        </w:rPr>
        <w:t xml:space="preserve">Die Chance auf eine europäische Harmonisierung bestand im EUCS (European Cybersecurity Certification Scheme for Cloud Services), das unter dem Cybersecurity Act von ENISA entwickelt wurde. Der ursprüngliche Entwurf sah eine höchste Stufe ("High+") mit Souveränitätsanforderungen nach SecNumCloud-Vorbild vor: EU-Eigentum, EU-Hauptsitz, Immunität gegen extraterritoriale Gesetze. Frankreich, Italien und Spanien unterstützten diese Stufe.</w:t>
      </w:r>
    </w:p>
    <w:p>
      <w:pPr>
        <w:spacing w:after="40" w:before="20" w:line="276"/>
        <w:jc w:val="both"/>
      </w:pPr>
      <w:r>
        <w:rPr>
          <w:rFonts w:ascii="Arial" w:cs="Arial" w:eastAsia="Arial" w:hAnsi="Arial"/>
          <w:b w:val="false"/>
          <w:bCs w:val="false"/>
          <w:i w:val="false"/>
          <w:iCs w:val="false"/>
          <w:color w:val="000000"/>
          <w:sz w:val="19"/>
          <w:szCs w:val="19"/>
        </w:rP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 "diskriminierend gegenüber Nicht-EU-Anbietern" ablehnte [180].</w:t>
      </w:r>
    </w:p>
    <w:p>
      <w:pPr>
        <w:spacing w:after="40" w:before="20" w:line="276"/>
        <w:jc w:val="both"/>
      </w:pPr>
      <w:r>
        <w:rPr>
          <w:rFonts w:ascii="Arial" w:cs="Arial" w:eastAsia="Arial" w:hAnsi="Arial"/>
          <w:b w:val="false"/>
          <w:bCs w:val="false"/>
          <w:i w:val="false"/>
          <w:iCs w:val="false"/>
          <w:color w:val="000000"/>
          <w:sz w:val="19"/>
          <w:szCs w:val="19"/>
        </w:rP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 "Auseinanderdriften" 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 "Impasse" [183]. Frankreich behält SecNumCloud als nationalen Standard bei. Deutschland hat nichts Vergleichbares.</w:t>
      </w:r>
    </w:p>
    <w:p>
      <w:pPr>
        <w:spacing w:after="40" w:before="20" w:line="276"/>
        <w:jc w:val="both"/>
      </w:pPr>
      <w:r>
        <w:rPr>
          <w:rFonts w:ascii="Arial" w:cs="Arial" w:eastAsia="Arial" w:hAnsi="Arial"/>
          <w:b/>
          <w:bCs/>
          <w:i w:val="false"/>
          <w:iCs w:val="false"/>
          <w:color w:val="000000"/>
          <w:sz w:val="19"/>
          <w:szCs w:val="19"/>
        </w:rPr>
        <w:t xml:space="preserve">Gaia-X — der gescheiterte gemeinsame Ansatz</w:t>
      </w:r>
    </w:p>
    <w:p>
      <w:pPr>
        <w:spacing w:after="40" w:before="20" w:line="276"/>
        <w:jc w:val="both"/>
      </w:pPr>
      <w:r>
        <w:rPr>
          <w:rFonts w:ascii="Arial" w:cs="Arial" w:eastAsia="Arial" w:hAnsi="Arial"/>
          <w:b w:val="false"/>
          <w:bCs w:val="false"/>
          <w:i w:val="false"/>
          <w:iCs w:val="false"/>
          <w:color w:val="000000"/>
          <w:sz w:val="19"/>
          <w:szCs w:val="19"/>
        </w:rP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 "Labels" unverbindlich [184]. Frankreich zog daraus den Schluss, den eigenen Weg mit SecNumCloud zu vertiefen. Deutschland verblieb ohne gleichwertigen Standard.</w:t>
      </w:r>
    </w:p>
    <w:p>
      <w:pPr>
        <w:spacing w:after="40" w:before="20" w:line="276"/>
        <w:jc w:val="both"/>
      </w:pPr>
      <w:r>
        <w:rPr>
          <w:rFonts w:ascii="Arial" w:cs="Arial" w:eastAsia="Arial" w:hAnsi="Arial"/>
          <w:b/>
          <w:bCs/>
          <w:i w:val="false"/>
          <w:iCs w:val="false"/>
          <w:color w:val="000000"/>
          <w:sz w:val="19"/>
          <w:szCs w:val="19"/>
        </w:rPr>
        <w:t xml:space="preserve">Ansätze zur Konvergenz — und ihre Grenzen</w:t>
      </w:r>
    </w:p>
    <w:p>
      <w:pPr>
        <w:spacing w:after="40" w:before="20" w:line="276"/>
        <w:jc w:val="both"/>
      </w:pPr>
      <w:r>
        <w:rPr>
          <w:rFonts w:ascii="Arial" w:cs="Arial" w:eastAsia="Arial" w:hAnsi="Arial"/>
          <w:b w:val="false"/>
          <w:bCs w:val="false"/>
          <w:i w:val="false"/>
          <w:iCs w:val="false"/>
          <w:color w:val="000000"/>
          <w:sz w:val="19"/>
          <w:szCs w:val="19"/>
        </w:rPr>
        <w:t xml:space="preserve">Drei jüngere Entwicklungen deuten auf ein deutsches Umdenken hin — wobei die Lücke bis heute fortbesteht:</w:t>
      </w:r>
    </w:p>
    <w:p>
      <w:pPr>
        <w:spacing w:after="40" w:before="20" w:line="276"/>
        <w:jc w:val="both"/>
      </w:pPr>
      <w:r>
        <w:rPr>
          <w:rFonts w:ascii="Arial" w:cs="Arial" w:eastAsia="Arial" w:hAnsi="Arial"/>
          <w:b/>
          <w:bCs/>
          <w:i w:val="false"/>
          <w:iCs w:val="false"/>
          <w:color w:val="000000"/>
          <w:sz w:val="19"/>
          <w:szCs w:val="19"/>
        </w:rPr>
        <w:t xml:space="preserve">Erstens</w:t>
      </w:r>
      <w:r>
        <w:rPr>
          <w:rFonts w:ascii="Arial" w:cs="Arial" w:eastAsia="Arial" w:hAnsi="Arial"/>
          <w:b w:val="false"/>
          <w:bCs w:val="false"/>
          <w:i w:val="false"/>
          <w:iCs w:val="false"/>
          <w:color w:val="000000"/>
          <w:sz w:val="19"/>
          <w:szCs w:val="19"/>
        </w:rPr>
        <w:t xml:space="preserve"> veröffentlichten ANSSI und BSI am 17. November 2025 ein </w:t>
      </w:r>
      <w:r>
        <w:rPr>
          <w:rFonts w:ascii="Arial" w:cs="Arial" w:eastAsia="Arial" w:hAnsi="Arial"/>
          <w:b/>
          <w:bCs/>
          <w:i w:val="false"/>
          <w:iCs w:val="false"/>
          <w:color w:val="000000"/>
          <w:sz w:val="19"/>
          <w:szCs w:val="19"/>
        </w:rPr>
        <w:t xml:space="preserve">gemeinsames Statement zu Cloud-Souveränitätskriterien</w:t>
      </w:r>
      <w:r>
        <w:rPr>
          <w:rFonts w:ascii="Arial" w:cs="Arial" w:eastAsia="Arial" w:hAnsi="Arial"/>
          <w:b w:val="false"/>
          <w:bCs w:val="false"/>
          <w:i w:val="false"/>
          <w:iCs w:val="false"/>
          <w:color w:val="000000"/>
          <w:sz w:val="19"/>
          <w:szCs w:val="19"/>
        </w:rP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 </w:t>
      </w:r>
      <w:r>
        <w:rPr>
          <w:rFonts w:ascii="Arial" w:cs="Arial" w:eastAsia="Arial" w:hAnsi="Arial"/>
          <w:b/>
          <w:bCs/>
          <w:i w:val="false"/>
          <w:iCs w:val="false"/>
          <w:color w:val="000000"/>
          <w:sz w:val="19"/>
          <w:szCs w:val="19"/>
        </w:rPr>
        <w:t xml:space="preserve">kein Zugang durch nicht-europäische Dritte</w:t>
      </w:r>
      <w:r>
        <w:rPr>
          <w:rFonts w:ascii="Arial" w:cs="Arial" w:eastAsia="Arial" w:hAnsi="Arial"/>
          <w:b w:val="false"/>
          <w:bCs w:val="false"/>
          <w:i w:val="false"/>
          <w:iCs w:val="false"/>
          <w:color w:val="000000"/>
          <w:sz w:val="19"/>
          <w:szCs w:val="19"/>
        </w:rPr>
        <w:t xml:space="preserve">, und Geschäftskontinuität ohne außereuropäische Akteure oder Technologien. Entscheidend: Das Statement führt eine </w:t>
      </w:r>
      <w:r>
        <w:rPr>
          <w:rFonts w:ascii="Arial" w:cs="Arial" w:eastAsia="Arial" w:hAnsi="Arial"/>
          <w:b/>
          <w:bCs/>
          <w:i w:val="false"/>
          <w:iCs w:val="false"/>
          <w:color w:val="000000"/>
          <w:sz w:val="19"/>
          <w:szCs w:val="19"/>
        </w:rPr>
        <w:t xml:space="preserve">Progressionslogik</w:t>
      </w:r>
      <w:r>
        <w:rPr>
          <w:rFonts w:ascii="Arial" w:cs="Arial" w:eastAsia="Arial" w:hAnsi="Arial"/>
          <w:b w:val="false"/>
          <w:bCs w:val="false"/>
          <w:i w:val="false"/>
          <w:iCs w:val="false"/>
          <w:color w:val="000000"/>
          <w:sz w:val="19"/>
          <w:szCs w:val="19"/>
        </w:rPr>
        <w:t xml:space="preserve"> ein — nicht binär (souverän/nicht-souverän), sondern drei Stufen: minimale Rechtskonformität, erweiterter operativer Kontrolle und volle strategische Autonomie. Wo das Nicht-Erfüllen disqualifizierend wirkt, soll die Methodik festlegen.</w:t>
      </w:r>
    </w:p>
    <w:p>
      <w:pPr>
        <w:spacing w:after="40" w:before="20" w:line="276"/>
        <w:jc w:val="both"/>
      </w:pPr>
      <w:r>
        <w:rPr>
          <w:rFonts w:ascii="Arial" w:cs="Arial" w:eastAsia="Arial" w:hAnsi="Arial"/>
          <w:b/>
          <w:bCs/>
          <w:i w:val="false"/>
          <w:iCs w:val="false"/>
          <w:color w:val="000000"/>
          <w:sz w:val="19"/>
          <w:szCs w:val="19"/>
        </w:rPr>
        <w:t xml:space="preserve">Zweitens</w:t>
      </w:r>
      <w:r>
        <w:rPr>
          <w:rFonts w:ascii="Arial" w:cs="Arial" w:eastAsia="Arial" w:hAnsi="Arial"/>
          <w:b w:val="false"/>
          <w:bCs w:val="false"/>
          <w:i w:val="false"/>
          <w:iCs w:val="false"/>
          <w:color w:val="000000"/>
          <w:sz w:val="19"/>
          <w:szCs w:val="19"/>
        </w:rPr>
        <w:t xml:space="preserve"> veranstalteten Macron und Bundeskanzler Merz am 18. November 2025 den </w:t>
      </w:r>
      <w:r>
        <w:rPr>
          <w:rFonts w:ascii="Arial" w:cs="Arial" w:eastAsia="Arial" w:hAnsi="Arial"/>
          <w:b/>
          <w:bCs/>
          <w:i w:val="false"/>
          <w:iCs w:val="false"/>
          <w:color w:val="000000"/>
          <w:sz w:val="19"/>
          <w:szCs w:val="19"/>
        </w:rPr>
        <w:t xml:space="preserve">Gipfel für Europäische Digitale Souveränität</w:t>
      </w:r>
      <w:r>
        <w:rPr>
          <w:rFonts w:ascii="Arial" w:cs="Arial" w:eastAsia="Arial" w:hAnsi="Arial"/>
          <w:b w:val="false"/>
          <w:bCs w:val="false"/>
          <w:i w:val="false"/>
          <w:iCs w:val="false"/>
          <w:color w:val="000000"/>
          <w:sz w:val="19"/>
          <w:szCs w:val="19"/>
        </w:rPr>
        <w:t xml:space="preserve"> in Berlin (900+ Teilnehmer) mit privatwirtschaftlichen Investitionszusagen von über 12 Mrd. EUR und einer gemeinsamen Task Force [187].</w:t>
      </w:r>
    </w:p>
    <w:p>
      <w:pPr>
        <w:spacing w:after="40" w:before="20" w:line="276"/>
        <w:jc w:val="both"/>
      </w:pPr>
      <w:r>
        <w:rPr>
          <w:rFonts w:ascii="Arial" w:cs="Arial" w:eastAsia="Arial" w:hAnsi="Arial"/>
          <w:b/>
          <w:bCs/>
          <w:i w:val="false"/>
          <w:iCs w:val="false"/>
          <w:color w:val="000000"/>
          <w:sz w:val="19"/>
          <w:szCs w:val="19"/>
        </w:rPr>
        <w:t xml:space="preserve">Drittens</w:t>
      </w:r>
      <w:r>
        <w:rPr>
          <w:rFonts w:ascii="Arial" w:cs="Arial" w:eastAsia="Arial" w:hAnsi="Arial"/>
          <w:b w:val="false"/>
          <w:bCs w:val="false"/>
          <w:i w:val="false"/>
          <w:iCs w:val="false"/>
          <w:color w:val="000000"/>
          <w:sz w:val="19"/>
          <w:szCs w:val="19"/>
        </w:rPr>
        <w:t xml:space="preserve"> schlug die EU-Kommission im März 2025 eine Überarbeitung des Cybersecurity Act vor, die erstmals "nicht-technische Anforderungen" in Zertifizierungsschemata ermöglichen würde — ein Türöffner, um Souveränitätskriterien doch noch in EUCS zu verankern [183].</w:t>
      </w:r>
    </w:p>
    <w:p>
      <w:pPr>
        <w:spacing w:after="40" w:before="20" w:line="276"/>
        <w:jc w:val="both"/>
      </w:pPr>
      <w:r>
        <w:rPr>
          <w:rFonts w:ascii="Arial" w:cs="Arial" w:eastAsia="Arial" w:hAnsi="Arial"/>
          <w:b w:val="false"/>
          <w:bCs w:val="false"/>
          <w:i w:val="false"/>
          <w:iCs w:val="false"/>
          <w:color w:val="000000"/>
          <w:sz w:val="19"/>
          <w:szCs w:val="19"/>
        </w:rP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spacing w:after="40" w:before="20" w:line="276"/>
        <w:jc w:val="both"/>
      </w:pPr>
      <w:r>
        <w:rPr>
          <w:rFonts w:ascii="Arial" w:cs="Arial" w:eastAsia="Arial" w:hAnsi="Arial"/>
          <w:b/>
          <w:bCs/>
          <w:i w:val="false"/>
          <w:iCs w:val="false"/>
          <w:color w:val="000000"/>
          <w:sz w:val="19"/>
          <w:szCs w:val="19"/>
        </w:rPr>
        <w:t xml:space="preserve">Die strukturelle Konsequenz für das Gesundheitswesen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Frankreich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Deutschland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Zertifizierungsstandard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(seit 2022)</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C5:2026 (April 2026, nur technische Sicherheit)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Souveränitätsprüfung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Seit 2022 in Zertifizierung integriert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ANSSI-BSI-Statement Nov. 2025: Souveränitätskriterien angekündigt, noch nicht veröffentlicht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Staatliche Nachfragepolitik</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Doctrine "Cloud au centre" (2021,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SGB V: C5 als Pflicht, keine Souveränitätspflicht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Gesundheitsdaten-Konsequenz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Data Hub → Migration weg von 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 / FDZ: Keine vergleichbare Migrationsentscheidung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Zertifizierte souveräne Anbieter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 (Outscale, S3NS, Cloud Temple, OVHcloud, NumSpot…)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 (C5:2026 prüft Souveränität nicht)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EU-Harmonisierung (EUCS)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Aktiv für Souveränitätsstufe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Seit Nov. 2025: gemeinsamer Ansatz mit FR (ANSSI-BSI-Statement)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vier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KI-Dienste</w:t>
      </w:r>
      <w:r>
        <w:rPr>
          <w:rFonts w:ascii="Arial" w:cs="Arial" w:eastAsia="Arial" w:hAnsi="Arial"/>
          <w:b w:val="false"/>
          <w:bCs w:val="false"/>
          <w:i w:val="false"/>
          <w:iCs w:val="false"/>
          <w:color w:val="000000"/>
          <w:sz w:val="19"/>
          <w:szCs w:val="19"/>
        </w:rPr>
        <w:t xml:space="preserve"> (Azure OpenAI, Google Gemini, AWS Bedrock) — verarbeiten Patientendaten zwangsläufig im Klartext; clientseitige Verschlüsselung unmöglich; cloudbasierte Integrationsplattformen (Zapier, Power Automate) als versteckte Datenflüsse. Ausführlich analysiert in §7.5.</w:t>
      </w:r>
    </w:p>
    <w:p>
      <w:pPr>
        <w:spacing w:after="40" w:before="20" w:line="276"/>
        <w:jc w:val="both"/>
      </w:pPr>
      <w:r>
        <w:rPr>
          <w:rFonts w:ascii="Arial" w:cs="Arial" w:eastAsia="Arial" w:hAnsi="Arial"/>
          <w:b w:val="false"/>
          <w:bCs w:val="false"/>
          <w:i w:val="false"/>
          <w:iCs w:val="false"/>
          <w:color w:val="000000"/>
          <w:sz w:val="19"/>
          <w:szCs w:val="19"/>
        </w:rPr>
        <w:t xml:space="preserve">Die ersten drei werden in der Praxis kaum als CLOUD-Act-Risiko diskutiert — obwohl sie tägliche Kernsysteme für Gesundheitsdaten betreiben. Der vierte wächst am schnellsten.</w:t>
      </w:r>
    </w:p>
    <w:p>
      <w:pPr>
        <w:spacing w:after="80" w:before="200"/>
      </w:pPr>
      <w:r>
        <w:rPr>
          <w:rFonts w:ascii="Arial" w:cs="Arial" w:eastAsia="Arial" w:hAnsi="Arial"/>
          <w:b/>
          <w:bCs/>
          <w:color w:val="2E75B6"/>
          <w:sz w:val="24"/>
          <w:szCs w:val="24"/>
        </w:rPr>
        <w:t xml:space="preserve">7.5 KI-Anbieter und Integrationsplattformen — der blinde Fleck bei Klartextverarbeitung</w:t>
      </w:r>
    </w:p>
    <w:p>
      <w:pPr>
        <w:spacing w:after="40" w:before="20" w:line="276"/>
        <w:jc w:val="both"/>
      </w:pPr>
      <w:r>
        <w:rPr>
          <w:rFonts w:ascii="Arial" w:cs="Arial" w:eastAsia="Arial" w:hAnsi="Arial"/>
          <w:b w:val="false"/>
          <w:bCs w:val="false"/>
          <w:i w:val="false"/>
          <w:iCs w:val="false"/>
          <w:color w:val="000000"/>
          <w:sz w:val="19"/>
          <w:szCs w:val="19"/>
        </w:rPr>
        <w:t xml:space="preserve">Die Tabelle in §7.3 C zeigt die Anbieter-Landschaft für KI-Services. Dieser Abschnitt behandelt ein spezifischeres Problem: </w:t>
      </w:r>
      <w:r>
        <w:rPr>
          <w:rFonts w:ascii="Arial" w:cs="Arial" w:eastAsia="Arial" w:hAnsi="Arial"/>
          <w:b/>
          <w:bCs/>
          <w:i w:val="false"/>
          <w:iCs w:val="false"/>
          <w:color w:val="000000"/>
          <w:sz w:val="19"/>
          <w:szCs w:val="19"/>
        </w:rPr>
        <w:t xml:space="preserve">KI-Dienste verarbeiten Eingabedaten zwangsläufig im Klartext.</w:t>
      </w:r>
      <w:r>
        <w:rPr>
          <w:rFonts w:ascii="Arial" w:cs="Arial" w:eastAsia="Arial" w:hAnsi="Arial"/>
          <w:b w:val="false"/>
          <w:bCs w:val="false"/>
          <w:i w:val="false"/>
          <w:iCs w:val="false"/>
          <w:color w:val="000000"/>
          <w:sz w:val="19"/>
          <w:szCs w:val="19"/>
        </w:rPr>
        <w:t xml:space="preserve"> 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p>
      <w:pPr>
        <w:spacing w:after="60" w:before="160"/>
      </w:pPr>
      <w:r>
        <w:rPr>
          <w:rFonts w:ascii="Arial" w:cs="Arial" w:eastAsia="Arial" w:hAnsi="Arial"/>
          <w:b/>
          <w:bCs/>
          <w:color w:val="333333"/>
          <w:sz w:val="21"/>
          <w:szCs w:val="21"/>
        </w:rPr>
        <w:t xml:space="preserve">Gesundheitsspezifische KI-Anwendungsfälle und ihre CLOUD-Act-Exposition</w:t>
      </w:r>
    </w:p>
    <w:p>
      <w:pPr>
        <w:spacing w:after="40" w:before="20" w:line="276"/>
        <w:jc w:val="both"/>
      </w:pPr>
      <w:r>
        <w:rPr>
          <w:rFonts w:ascii="Arial" w:cs="Arial" w:eastAsia="Arial" w:hAnsi="Arial"/>
          <w:b w:val="false"/>
          <w:bCs w:val="false"/>
          <w:i w:val="false"/>
          <w:iCs w:val="false"/>
          <w:color w:val="000000"/>
          <w:sz w:val="19"/>
          <w:szCs w:val="19"/>
        </w:rPr>
        <w:t xml:space="preserve">Im Gesundheitswesen entstehen gerade vier KI-Anwendungsmuster, die alle Klartextverarbeitung </w:t>
      </w:r>
      <w:r>
        <w:rPr>
          <w:rFonts w:ascii="Arial" w:cs="Arial" w:eastAsia="Arial" w:hAnsi="Arial"/>
          <w:b/>
          <w:bCs/>
          <w:i w:val="false"/>
          <w:iCs w:val="false"/>
          <w:color w:val="000000"/>
          <w:sz w:val="19"/>
          <w:szCs w:val="19"/>
        </w:rPr>
        <w:t xml:space="preserve">sensibler Patientendaten</w:t>
      </w:r>
      <w:r>
        <w:rPr>
          <w:rFonts w:ascii="Arial" w:cs="Arial" w:eastAsia="Arial" w:hAnsi="Arial"/>
          <w:b w:val="false"/>
          <w:bCs w:val="false"/>
          <w:i w:val="false"/>
          <w:iCs w:val="false"/>
          <w:color w:val="000000"/>
          <w:sz w:val="19"/>
          <w:szCs w:val="19"/>
        </w:rPr>
        <w:t xml:space="preserve"> erfordern:</w:t>
      </w:r>
    </w:p>
    <w:p>
      <w:pPr>
        <w:spacing w:after="40" w:before="20" w:line="276"/>
        <w:jc w:val="both"/>
      </w:pPr>
      <w:r>
        <w:rPr>
          <w:rFonts w:ascii="Arial" w:cs="Arial" w:eastAsia="Arial" w:hAnsi="Arial"/>
          <w:b/>
          <w:bCs/>
          <w:i w:val="false"/>
          <w:iCs w:val="false"/>
          <w:color w:val="000000"/>
          <w:sz w:val="19"/>
          <w:szCs w:val="19"/>
        </w:rPr>
        <w:t xml:space="preserve">1. Transkription und Zusammenfassung von Arzt-Patienten-Gesprächen.</w:t>
      </w:r>
      <w:r>
        <w:rPr>
          <w:rFonts w:ascii="Arial" w:cs="Arial" w:eastAsia="Arial" w:hAnsi="Arial"/>
          <w:b w:val="false"/>
          <w:bCs w:val="false"/>
          <w:i w:val="false"/>
          <w:iCs w:val="false"/>
          <w:color w:val="000000"/>
          <w:sz w:val="19"/>
          <w:szCs w:val="19"/>
        </w:rPr>
        <w:t xml:space="preserve"> 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spacing w:after="40" w:before="20" w:line="276"/>
        <w:jc w:val="both"/>
      </w:pPr>
      <w:r>
        <w:rPr>
          <w:rFonts w:ascii="Arial" w:cs="Arial" w:eastAsia="Arial" w:hAnsi="Arial"/>
          <w:b/>
          <w:bCs/>
          <w:i w:val="false"/>
          <w:iCs w:val="false"/>
          <w:color w:val="000000"/>
          <w:sz w:val="19"/>
          <w:szCs w:val="19"/>
        </w:rPr>
        <w:t xml:space="preserve">2. Automatisierte Arztbriefe.</w:t>
      </w:r>
      <w:r>
        <w:rPr>
          <w:rFonts w:ascii="Arial" w:cs="Arial" w:eastAsia="Arial" w:hAnsi="Arial"/>
          <w:b w:val="false"/>
          <w:bCs w:val="false"/>
          <w:i w:val="false"/>
          <w:iCs w:val="false"/>
          <w:color w:val="000000"/>
          <w:sz w:val="19"/>
          <w:szCs w:val="19"/>
        </w:rPr>
        <w:t xml:space="preserve"> 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spacing w:after="40" w:before="20" w:line="276"/>
        <w:jc w:val="both"/>
      </w:pPr>
      <w:r>
        <w:rPr>
          <w:rFonts w:ascii="Arial" w:cs="Arial" w:eastAsia="Arial" w:hAnsi="Arial"/>
          <w:b/>
          <w:bCs/>
          <w:i w:val="false"/>
          <w:iCs w:val="false"/>
          <w:color w:val="000000"/>
          <w:sz w:val="19"/>
          <w:szCs w:val="19"/>
        </w:rPr>
        <w:t xml:space="preserve">3. E-Mail- und Dokumentenzusammenfassung.</w:t>
      </w:r>
      <w:r>
        <w:rPr>
          <w:rFonts w:ascii="Arial" w:cs="Arial" w:eastAsia="Arial" w:hAnsi="Arial"/>
          <w:b w:val="false"/>
          <w:bCs w:val="false"/>
          <w:i w:val="false"/>
          <w:iCs w:val="false"/>
          <w:color w:val="000000"/>
          <w:sz w:val="19"/>
          <w:szCs w:val="19"/>
        </w:rPr>
        <w:t xml:space="preserve"> 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spacing w:after="40" w:before="20" w:line="276"/>
        <w:jc w:val="both"/>
      </w:pPr>
      <w:r>
        <w:rPr>
          <w:rFonts w:ascii="Arial" w:cs="Arial" w:eastAsia="Arial" w:hAnsi="Arial"/>
          <w:b/>
          <w:bCs/>
          <w:i w:val="false"/>
          <w:iCs w:val="false"/>
          <w:color w:val="000000"/>
          <w:sz w:val="19"/>
          <w:szCs w:val="19"/>
        </w:rPr>
        <w:t xml:space="preserve">4. KI-gestützte Kodierung und Abrechnung.</w:t>
      </w:r>
      <w:r>
        <w:rPr>
          <w:rFonts w:ascii="Arial" w:cs="Arial" w:eastAsia="Arial" w:hAnsi="Arial"/>
          <w:b w:val="false"/>
          <w:bCs w:val="false"/>
          <w:i w:val="false"/>
          <w:iCs w:val="false"/>
          <w:color w:val="000000"/>
          <w:sz w:val="19"/>
          <w:szCs w:val="19"/>
        </w:rPr>
        <w:t xml:space="preserve"> 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p>
      <w:pPr>
        <w:spacing w:after="60" w:before="160"/>
      </w:pPr>
      <w:r>
        <w:rPr>
          <w:rFonts w:ascii="Arial" w:cs="Arial" w:eastAsia="Arial" w:hAnsi="Arial"/>
          <w:b/>
          <w:bCs/>
          <w:color w:val="333333"/>
          <w:sz w:val="21"/>
          <w:szCs w:val="21"/>
        </w:rPr>
        <w:t xml:space="preserve">CLOUD-Act-Risikobewertung der großen KI-Anbieter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Gesundheitseinsatz</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OpenAI (GPT-4o, o3)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(Microsoft-Partnerschaft)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(MSFT)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US-Infrastruktur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Service in KVNO-KI-Plattform (TED 98706-2026)</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GOOGL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Ambient Clinical Intelligence in Pilotprojekten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Anthropic (Claude)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(Amazon-Beteiligung)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GCP</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Enterprise-API für Dokumentenanalyse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M365-Integration in Kliniken/GKVen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Nuance DAX (Microsoft)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 (Übernahme 2022, 18,8 Mrd. USD)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Marktführer klinische Sprachdokumentation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DeepSeek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(Hangzhou)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Open-Source-Modelle lokal deploybar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 SAS)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Self-hosted oder API; bevorzugte EU-Option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Aleph Alpha (Luminous)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(Heidelberg)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 STACKIT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BW-Verwaltung; Gesundheitssektor noch begrenzt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Kimi (Moonshot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(Peking)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Kimi 2.5 — leistungsfähig, aber chinesische 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OpenEuroLLM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EU-Konsortium (13 Partner)</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EuroHPC (LUMI, Leonardo)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Forschung; produktiver Einsatz ab 2026</w:t>
            </w:r>
          </w:p>
        </w:tc>
      </w:tr>
    </w:tbl>
    <w:p>
      <w:pPr>
        <w:spacing w:after="40" w:before="40"/>
      </w:pPr>
    </w:p>
    <w:p>
      <w:pPr>
        <w:spacing w:after="60" w:before="160"/>
      </w:pPr>
      <w:r>
        <w:rPr>
          <w:rFonts w:ascii="Arial" w:cs="Arial" w:eastAsia="Arial" w:hAnsi="Arial"/>
          <w:b/>
          <w:bCs/>
          <w:color w:val="333333"/>
          <w:sz w:val="21"/>
          <w:szCs w:val="21"/>
        </w:rPr>
        <w:t xml:space="preserve">Integrationsplattformen — der versteckte Datenfluss</w:t>
      </w:r>
    </w:p>
    <w:p>
      <w:pPr>
        <w:spacing w:after="40" w:before="20" w:line="276"/>
        <w:jc w:val="both"/>
      </w:pPr>
      <w:r>
        <w:rPr>
          <w:rFonts w:ascii="Arial" w:cs="Arial" w:eastAsia="Arial" w:hAnsi="Arial"/>
          <w:b w:val="false"/>
          <w:bCs w:val="false"/>
          <w:i w:val="false"/>
          <w:iCs w:val="false"/>
          <w:color w:val="000000"/>
          <w:sz w:val="19"/>
          <w:szCs w:val="19"/>
        </w:rPr>
        <w:t xml:space="preserve">Neben den KI-Anbietern selbst entsteht ein zweites, oft übersehenes Risiko durch </w:t>
      </w:r>
      <w:r>
        <w:rPr>
          <w:rFonts w:ascii="Arial" w:cs="Arial" w:eastAsia="Arial" w:hAnsi="Arial"/>
          <w:b/>
          <w:bCs/>
          <w:i w:val="false"/>
          <w:iCs w:val="false"/>
          <w:color w:val="000000"/>
          <w:sz w:val="19"/>
          <w:szCs w:val="19"/>
        </w:rPr>
        <w:t xml:space="preserve">cloudbasierte Integrationsplattformen</w:t>
      </w:r>
      <w:r>
        <w:rPr>
          <w:rFonts w:ascii="Arial" w:cs="Arial" w:eastAsia="Arial" w:hAnsi="Arial"/>
          <w:b w:val="false"/>
          <w:bCs w:val="false"/>
          <w:i w:val="false"/>
          <w:iCs w:val="false"/>
          <w:color w:val="000000"/>
          <w:sz w:val="19"/>
          <w:szCs w:val="19"/>
        </w:rPr>
        <w:t xml:space="preserv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Typischer Einsatz im Gesundheitswesen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Zapier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Automatisierung: "Wenn neue E-Mail mit Befund, dann an KI-Zusammenfassung"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Make (Integromat)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CZ (Prag)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Workflow-Automatisierung, EU-Alternative zu Zapier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Power Automate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M365-Workflows: Dokumentenfreigabe, Benachrichtigungen mit Patientendaten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n8n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(self-hosted möglich)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Open-Source-Automatisierung; self-hosted auf EU-Infrastruktur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IFTTT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Consumer-Automatisierung, vereinzelt in Praxis-IT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Problem: Integrationsplattformen sind </w:t>
      </w:r>
      <w:r>
        <w:rPr>
          <w:rFonts w:ascii="Arial" w:cs="Arial" w:eastAsia="Arial" w:hAnsi="Arial"/>
          <w:b/>
          <w:bCs/>
          <w:i w:val="false"/>
          <w:iCs w:val="false"/>
          <w:color w:val="000000"/>
          <w:sz w:val="19"/>
          <w:szCs w:val="19"/>
        </w:rPr>
        <w:t xml:space="preserve">Datendrehscheiben</w:t>
      </w:r>
      <w:r>
        <w:rPr>
          <w:rFonts w:ascii="Arial" w:cs="Arial" w:eastAsia="Arial" w:hAnsi="Arial"/>
          <w:b w:val="false"/>
          <w:bCs w:val="false"/>
          <w:i w:val="false"/>
          <w:iCs w:val="false"/>
          <w:color w:val="000000"/>
          <w:sz w:val="19"/>
          <w:szCs w:val="19"/>
        </w:rPr>
        <w:t xml:space="preserve">. Sie lesen, transformieren und weiterleiten Daten zwischen Systemen — häufig einschließlich Patientendaten, Termindetails, Befunde, Abrechnungsinformationen. Eine Zapier-Automatisierung, die E-Mails mit Befunden an eine GPT-Zusammenfassung weiterleitet, erzeugt eine </w:t>
      </w:r>
      <w:r>
        <w:rPr>
          <w:rFonts w:ascii="Arial" w:cs="Arial" w:eastAsia="Arial" w:hAnsi="Arial"/>
          <w:b/>
          <w:bCs/>
          <w:i w:val="false"/>
          <w:iCs w:val="false"/>
          <w:color w:val="000000"/>
          <w:sz w:val="19"/>
          <w:szCs w:val="19"/>
        </w:rPr>
        <w:t xml:space="preserve">doppelte CLOUD-Act-Exposition</w:t>
      </w:r>
      <w:r>
        <w:rPr>
          <w:rFonts w:ascii="Arial" w:cs="Arial" w:eastAsia="Arial" w:hAnsi="Arial"/>
          <w:b w:val="false"/>
          <w:bCs w:val="false"/>
          <w:i w:val="false"/>
          <w:iCs w:val="false"/>
          <w:color w:val="000000"/>
          <w:sz w:val="19"/>
          <w:szCs w:val="19"/>
        </w:rPr>
        <w:t xml:space="preserve">: einmal bei Zapier (US), einmal bei OpenAI (US). n8n (self-hosted auf EU-Infrastruktur) + Mistral (self-hosted oder Scaleway) ist die souveräne Alternative für denselben Workflow.</w:t>
      </w:r>
    </w:p>
    <w:p>
      <w:pPr>
        <w:spacing w:after="60" w:before="160"/>
      </w:pPr>
      <w:r>
        <w:rPr>
          <w:rFonts w:ascii="Arial" w:cs="Arial" w:eastAsia="Arial" w:hAnsi="Arial"/>
          <w:b/>
          <w:bCs/>
          <w:color w:val="333333"/>
          <w:sz w:val="21"/>
          <w:szCs w:val="21"/>
        </w:rPr>
        <w:t xml:space="preserve">Kernaussage — warum KI der vierte blinde Fleck ist</w:t>
      </w:r>
    </w:p>
    <w:p>
      <w:pPr>
        <w:spacing w:after="40" w:before="20" w:line="276"/>
        <w:jc w:val="both"/>
      </w:pPr>
      <w:r>
        <w:rPr>
          <w:rFonts w:ascii="Arial" w:cs="Arial" w:eastAsia="Arial" w:hAnsi="Arial"/>
          <w:b w:val="false"/>
          <w:bCs w:val="false"/>
          <w:i w:val="false"/>
          <w:iCs w:val="false"/>
          <w:color w:val="000000"/>
          <w:sz w:val="19"/>
          <w:szCs w:val="19"/>
        </w:rPr>
        <w:t xml:space="preserve">Die ersten drei blinden Flecken (Snowflake, Oracle Health, Qlik Cloud — §7.4) betreffen klassische Datenhaltung und Analytics. Der vierte blinde Fleck ist gravierender: </w:t>
      </w:r>
      <w:r>
        <w:rPr>
          <w:rFonts w:ascii="Arial" w:cs="Arial" w:eastAsia="Arial" w:hAnsi="Arial"/>
          <w:b/>
          <w:bCs/>
          <w:i w:val="false"/>
          <w:iCs w:val="false"/>
          <w:color w:val="000000"/>
          <w:sz w:val="19"/>
          <w:szCs w:val="19"/>
        </w:rPr>
        <w:t xml:space="preserve">KI-Dienste verarbeiten die sensibelsten Daten im Gesundheitswesen — Arzt-Patienten-Gespräche, Diagnosen, Behandlungsverläufe — zwangsläufig im Klartext.</w:t>
      </w:r>
      <w:r>
        <w:rPr>
          <w:rFonts w:ascii="Arial" w:cs="Arial" w:eastAsia="Arial" w:hAnsi="Arial"/>
          <w:b w:val="false"/>
          <w:bCs w:val="false"/>
          <w:i w:val="false"/>
          <w:iCs w:val="false"/>
          <w:color w:val="000000"/>
          <w:sz w:val="19"/>
          <w:szCs w:val="19"/>
        </w:rPr>
        <w:t xml:space="preserve"> 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spacing w:after="40" w:before="20" w:line="276"/>
        <w:jc w:val="both"/>
      </w:pPr>
      <w:r>
        <w:rPr>
          <w:rFonts w:ascii="Arial" w:cs="Arial" w:eastAsia="Arial" w:hAnsi="Arial"/>
          <w:b/>
          <w:bCs/>
          <w:i w:val="false"/>
          <w:iCs w:val="false"/>
          <w:color w:val="000000"/>
          <w:sz w:val="19"/>
          <w:szCs w:val="19"/>
        </w:rPr>
        <w:t xml:space="preserve">Die souveräne Alternative existiert:</w:t>
      </w:r>
      <w:r>
        <w:rPr>
          <w:rFonts w:ascii="Arial" w:cs="Arial" w:eastAsia="Arial" w:hAnsi="Arial"/>
          <w:b w:val="false"/>
          <w:bCs w:val="false"/>
          <w:i w:val="false"/>
          <w:iCs w:val="false"/>
          <w:color w:val="000000"/>
          <w:sz w:val="19"/>
          <w:szCs w:val="19"/>
        </w:rPr>
        <w:t xml:space="preserve"> 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p>
      <w:pPr>
        <w:spacing w:after="60" w:before="160"/>
      </w:pPr>
      <w:r>
        <w:rPr>
          <w:rFonts w:ascii="Arial" w:cs="Arial" w:eastAsia="Arial" w:hAnsi="Arial"/>
          <w:b/>
          <w:bCs/>
          <w:color w:val="333333"/>
          <w:sz w:val="21"/>
          <w:szCs w:val="21"/>
        </w:rPr>
        <w:t xml:space="preserve">Vier Fallbeispiele — das Spektrum von 🔴 bis 🟢</w:t>
      </w:r>
    </w:p>
    <w:p>
      <w:pPr>
        <w:spacing w:after="40" w:before="20" w:line="276"/>
        <w:jc w:val="both"/>
      </w:pPr>
      <w:r>
        <w:rPr>
          <w:rFonts w:ascii="Arial" w:cs="Arial" w:eastAsia="Arial" w:hAnsi="Arial"/>
          <w:b w:val="false"/>
          <w:bCs w:val="false"/>
          <w:i w:val="false"/>
          <w:iCs w:val="false"/>
          <w:color w:val="000000"/>
          <w:sz w:val="19"/>
          <w:szCs w:val="19"/>
        </w:rPr>
        <w:t xml:space="preserve">Die Theorie wird greifbar an konkreten Produkten, die heute im deutschen Gesundheitswesen eingesetzt werden oder werden sollen:</w:t>
      </w:r>
    </w:p>
    <w:p>
      <w:pPr>
        <w:spacing w:after="40" w:before="20" w:line="276"/>
        <w:jc w:val="both"/>
      </w:pPr>
      <w:r>
        <w:rPr>
          <w:rFonts w:ascii="Arial" w:cs="Arial" w:eastAsia="Arial" w:hAnsi="Arial"/>
          <w:b/>
          <w:bCs/>
          <w:i w:val="false"/>
          <w:iCs w:val="false"/>
          <w:color w:val="000000"/>
          <w:sz w:val="19"/>
          <w:szCs w:val="19"/>
        </w:rPr>
        <w:t xml:space="preserve">Plaud AI (CN/US) — 🔴 Dreifache Exposition.</w:t>
      </w:r>
      <w:r>
        <w:rPr>
          <w:rFonts w:ascii="Arial" w:cs="Arial" w:eastAsia="Arial" w:hAnsi="Arial"/>
          <w:b w:val="false"/>
          <w:bCs w:val="false"/>
          <w:i w:val="false"/>
          <w:iCs w:val="false"/>
          <w:color w:val="000000"/>
          <w:sz w:val="19"/>
          <w:szCs w:val="19"/>
        </w:rPr>
        <w:t xml:space="preserve"> Plaud ist ein chinesisches Unternehmen (Shenzhen), das KI-gestützte Aufnahmegeräte für Arzt-Patienten-Gespräche vermarktet. Die Audiodaten werden zur Transkription an AWS US West (Oregon) übertragen und dort über OpenAI Whisper V3 und GPT verarbeitet. Plaud wirbt mit GDPR-Compliance, SOC 2 und HIPAA — verschweigt aber die strukturelle Dreifachexposition: chinesischer Eigentümer (CN-Datengesetze), US-Cloud-Infrastruktur (AWS Oregon, CLOUD Act) und US-KI-Backend (OpenAI). "Zero Data Retention" beim LLM-Provider bedeutet: nicht gespeichert nach Verarbeitung — aber während der Verarbeitung liegt die Stimme des Patienten im Klartext auf US-Servern. Für Gesundheitsdaten nach § 393 SGB V: nicht geeignet.</w:t>
      </w:r>
    </w:p>
    <w:p>
      <w:pPr>
        <w:spacing w:after="40" w:before="20" w:line="276"/>
        <w:jc w:val="both"/>
      </w:pPr>
      <w:r>
        <w:rPr>
          <w:rFonts w:ascii="Arial" w:cs="Arial" w:eastAsia="Arial" w:hAnsi="Arial"/>
          <w:b/>
          <w:bCs/>
          <w:i w:val="false"/>
          <w:iCs w:val="false"/>
          <w:color w:val="000000"/>
          <w:sz w:val="19"/>
          <w:szCs w:val="19"/>
        </w:rPr>
        <w:t xml:space="preserve">Tandem Health (SE) — 🟡 EU-Firma mit US-KI-Backend.</w:t>
      </w:r>
      <w:r>
        <w:rPr>
          <w:rFonts w:ascii="Arial" w:cs="Arial" w:eastAsia="Arial" w:hAnsi="Arial"/>
          <w:b w:val="false"/>
          <w:bCs w:val="false"/>
          <w:i w:val="false"/>
          <w:iCs w:val="false"/>
          <w:color w:val="000000"/>
          <w:sz w:val="19"/>
          <w:szCs w:val="19"/>
        </w:rPr>
        <w:t xml:space="preserve"> Tandem Health (Stockholm, $50 Mio. Funding) ist ein schwedisches Unternehmen, das KI-gestützte Dokumentation für Kliniken anbietet — aktuell expandierend nach Deutschland (Partnerschaft mit Eterno). Tandem nutzt OpenAI Whisper für Transkription und GPT-4 für Zusammenfassung. Audio wird nach Transkription gelöscht, keine Modeltraining auf Patientendaten (ISO 27001, ISO 13485, GDPR). Alle Daten sollen "ausschließlich in europäischen Rechenzentren" verarbeitet werden. Die offene Frage: Ob die OpenAI-Modelle via Azure OpenAI EU (Microsoft-Jurisdiktion, vgl. §5.3) oder über die direkte OpenAI-API (US-Server) angebunden sind, ist nicht öffentlich dokumentiert. Im besten Fall (Azure EU): Microsoft-CLOUD-Act-Restrisiko wie bei den KI-Brokern. Im schlechtesten Fall (direkte API): US-Serververarbeitung.</w:t>
      </w:r>
    </w:p>
    <w:p>
      <w:pPr>
        <w:spacing w:after="40" w:before="20" w:line="276"/>
        <w:jc w:val="both"/>
      </w:pPr>
      <w:r>
        <w:rPr>
          <w:rFonts w:ascii="Arial" w:cs="Arial" w:eastAsia="Arial" w:hAnsi="Arial"/>
          <w:b/>
          <w:bCs/>
          <w:i w:val="false"/>
          <w:iCs w:val="false"/>
          <w:color w:val="000000"/>
          <w:sz w:val="19"/>
          <w:szCs w:val="19"/>
        </w:rPr>
        <w:t xml:space="preserve">Doctolib (FR/AWS) — 🟡 Strukturelles Restrisiko trotz Verschlüsselung.</w:t>
      </w:r>
      <w:r>
        <w:rPr>
          <w:rFonts w:ascii="Arial" w:cs="Arial" w:eastAsia="Arial" w:hAnsi="Arial"/>
          <w:b w:val="false"/>
          <w:bCs w:val="false"/>
          <w:i w:val="false"/>
          <w:iCs w:val="false"/>
          <w:color w:val="000000"/>
          <w:sz w:val="19"/>
          <w:szCs w:val="19"/>
        </w:rPr>
        <w:t xml:space="preserve"> Doctolib (Paris, bereits in §12.5 bewertet) hostet auf AWS Frankfurt und Paris, hat BSI C5 Typ 2 seit 2025 und verschlüsselt Gesundheitsdaten zusätzlich auf Applikationsebene (AES-256, HSM-Schlüsseltrennung über HashiCorp). Ein französisches Gericht wertete dies 2021 als ausreichend. Aber: AWS (NASDAQ: AMZN) unterliegt dem CLOUD Act, HashiCorp (NYSE: HCP) ebenfalls — Serverstandort Frankfurt ändert die Jurisdiktion über den Provider nicht. Die Applikationsverschlüsselung schützt ruhende Daten, aber Doctolibs SaaS-Funktionen (Terminbuchung, Patientenkommunikation, Videosprechstunde) erfordern Klartextverarbeitung im laufenden Betrieb. C5 Typ 2 belegt technische Sicherheit — nicht CLOUD-Act-Immunität.</w:t>
      </w:r>
    </w:p>
    <w:p>
      <w:pPr>
        <w:spacing w:after="40" w:before="20" w:line="276"/>
        <w:jc w:val="both"/>
      </w:pPr>
      <w:r>
        <w:rPr>
          <w:rFonts w:ascii="Arial" w:cs="Arial" w:eastAsia="Arial" w:hAnsi="Arial"/>
          <w:b/>
          <w:bCs/>
          <w:i w:val="false"/>
          <w:iCs w:val="false"/>
          <w:color w:val="000000"/>
          <w:sz w:val="19"/>
          <w:szCs w:val="19"/>
        </w:rPr>
        <w:t xml:space="preserve">Averbis (DE) — 🟡 Souveräne NLP, aber Azure OpenAI für Arztbriefe.</w:t>
      </w:r>
      <w:r>
        <w:rPr>
          <w:rFonts w:ascii="Arial" w:cs="Arial" w:eastAsia="Arial" w:hAnsi="Arial"/>
          <w:b w:val="false"/>
          <w:bCs w:val="false"/>
          <w:i w:val="false"/>
          <w:iCs w:val="false"/>
          <w:color w:val="000000"/>
          <w:sz w:val="19"/>
          <w:szCs w:val="19"/>
        </w:rPr>
        <w:t xml:space="preserve"> Averbis (Freiburg, Spin-off Universitätsklinikum 2007) bietet zwei Produkte mit fundamental unterschiedlichem Risikoprofil: </w:t>
      </w:r>
      <w:r>
        <w:rPr>
          <w:rFonts w:ascii="Arial" w:cs="Arial" w:eastAsia="Arial" w:hAnsi="Arial"/>
          <w:b/>
          <w:bCs/>
          <w:i w:val="false"/>
          <w:iCs w:val="false"/>
          <w:color w:val="000000"/>
          <w:sz w:val="19"/>
          <w:szCs w:val="19"/>
        </w:rPr>
        <w:t xml:space="preserve">Health Discovery</w:t>
      </w:r>
      <w:r>
        <w:rPr>
          <w:rFonts w:ascii="Arial" w:cs="Arial" w:eastAsia="Arial" w:hAnsi="Arial"/>
          <w:b w:val="false"/>
          <w:bCs w:val="false"/>
          <w:i w:val="false"/>
          <w:iCs w:val="false"/>
          <w:color w:val="000000"/>
          <w:sz w:val="19"/>
          <w:szCs w:val="19"/>
        </w:rPr>
        <w:t xml:space="preserve"> (NLP/Informations-Extraktion) läuft als eigene Engine on-premise im Krankenhaus-Netzwerk — strukturell souverän, keine US-Abhängigkeit. </w:t>
      </w:r>
      <w:r>
        <w:rPr>
          <w:rFonts w:ascii="Arial" w:cs="Arial" w:eastAsia="Arial" w:hAnsi="Arial"/>
          <w:b/>
          <w:bCs/>
          <w:i w:val="false"/>
          <w:iCs w:val="false"/>
          <w:color w:val="000000"/>
          <w:sz w:val="19"/>
          <w:szCs w:val="19"/>
        </w:rPr>
        <w:t xml:space="preserve">Medical Summary</w:t>
      </w:r>
      <w:r>
        <w:rPr>
          <w:rFonts w:ascii="Arial" w:cs="Arial" w:eastAsia="Arial" w:hAnsi="Arial"/>
          <w:b w:val="false"/>
          <w:bCs w:val="false"/>
          <w:i w:val="false"/>
          <w:iCs w:val="false"/>
          <w:color w:val="000000"/>
          <w:sz w:val="19"/>
          <w:szCs w:val="19"/>
        </w:rPr>
        <w:t xml:space="preserve"> (automatische Arztbrief-Generierung) nutzt jedoch </w:t>
      </w:r>
      <w:r>
        <w:rPr>
          <w:rFonts w:ascii="Arial" w:cs="Arial" w:eastAsia="Arial" w:hAnsi="Arial"/>
          <w:b/>
          <w:bCs/>
          <w:i w:val="false"/>
          <w:iCs w:val="false"/>
          <w:color w:val="000000"/>
          <w:sz w:val="19"/>
          <w:szCs w:val="19"/>
        </w:rPr>
        <w:t xml:space="preserve">Azure OpenAI in der EU Datazone</w:t>
      </w:r>
      <w:r>
        <w:rPr>
          <w:rFonts w:ascii="Arial" w:cs="Arial" w:eastAsia="Arial" w:hAnsi="Arial"/>
          <w:b w:val="false"/>
          <w:bCs w:val="false"/>
          <w:i w:val="false"/>
          <w:iCs w:val="false"/>
          <w:color w:val="000000"/>
          <w:sz w:val="19"/>
          <w:szCs w:val="19"/>
        </w:rPr>
        <w:t xml:space="preserve">, wie das Architekturdiagramm von Averbis selbst zeigt: Patientendaten (PID, Diagnosen, Laborwerte, Medikation) fließen aus dem Krankenhaus-Netzwerk an Azure OpenAI, wo sie "temporär verarbeitet" werden. Das ist exakt das Muster, das §5.3 beschreibt: Azure EU-Region ändert nichts an der Microsoft-Jurisdiktion. CLOUD Act greift über die Unternehmensstruktur, nicht den Serverstandort. Für die reine NLP-Extraktion (Health Discovery on-premise) bleibt Averbis souverän. Für die generative KI-Funktion (Medical Summary) gilt dasselbe Restrisiko wie bei allen Azure-OpenAI-basierten Diensten.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Eignung § 393 Klasse 1</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Plaud AI</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(Shenzhen)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Whisper + GPT (US)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Oregon (US)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Dreifach (CN + US-Cloud + US-KI)</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Tandem Health</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Whisper + GPT-4</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"EU-Rechenzentren" (Details offen)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EU-Firma, aber OpenAI-Abhängigkeit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Azure EU + Risikoakzeptanz</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Recare Voice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offengelegt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C5 Typ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DE-Firma, EU-Hosting, aber KI-Backend unklar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KI-Modell-Transparenz einfordern</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Doctolib</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Plattform</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Frankfurt/Paris (C5 Typ 2)</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FR-Firma auf US-Infra, verschlüsselt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Verschlüsselung reduziert, eliminiert nicht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myScribe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(Mannheim)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"Eigenes NLP" laut Website — KI-Backend nicht verifiziert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KIS-Add-on (HL7-FHIR)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DE-Firma, KIS-Integration, aber KI-Modell unklar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KI-Backend vertraglich klären</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Averbis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(Freiburg)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Discovery: eigene NLP; Medical Summary: </w:t>
            </w:r>
            <w:r>
              <w:rPr>
                <w:rFonts w:ascii="Arial" w:cs="Arial" w:eastAsia="Arial" w:hAnsi="Arial"/>
                <w:b/>
                <w:bCs/>
                <w:i w:val="false"/>
                <w:iCs w:val="false"/>
                <w:color w:val="000000"/>
                <w:sz w:val="15"/>
                <w:szCs w:val="15"/>
              </w:rPr>
              <w:t xml:space="preserve">Azure OpenAI</w:t>
            </w:r>
            <w:r>
              <w:rPr>
                <w:rFonts w:ascii="Arial" w:cs="Arial" w:eastAsia="Arial" w:hAnsi="Arial"/>
                <w:b w:val="false"/>
                <w:bCs w:val="false"/>
                <w:i w:val="false"/>
                <w:iCs w:val="false"/>
                <w:color w:val="000000"/>
                <w:sz w:val="15"/>
                <w:szCs w:val="15"/>
              </w:rPr>
              <w:t xml:space="preserve"> (EU Datazone)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NLP + Azure OpenAI extern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NLP souverän, aber Arztbrief-KI auf Azure OpenAI</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Medical Summary: Microsoft-CLOUD-Act-Risiko</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hAIppokrates (Greenbay)</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(Leipzig)</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 + Whisper </w:t>
            </w:r>
            <w:r>
              <w:rPr>
                <w:rFonts w:ascii="Arial" w:cs="Arial" w:eastAsia="Arial" w:hAnsi="Arial"/>
                <w:b/>
                <w:bCs/>
                <w:i w:val="false"/>
                <w:iCs w:val="false"/>
                <w:color w:val="000000"/>
                <w:sz w:val="15"/>
                <w:szCs w:val="15"/>
              </w:rPr>
              <w:t xml:space="preserve">lokal on-premise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UKL-eigenes Rechenzentrum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Vollständig souverän — kein externer API-Call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Alle Patientendaten bleiben im Klinikum</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Recare Voice — das Transparenzproblem.</w:t>
      </w:r>
      <w:r>
        <w:rPr>
          <w:rFonts w:ascii="Arial" w:cs="Arial" w:eastAsia="Arial" w:hAnsi="Arial"/>
          <w:b w:val="false"/>
          <w:bCs w:val="false"/>
          <w:i w:val="false"/>
          <w:iCs w:val="false"/>
          <w:color w:val="000000"/>
          <w:sz w:val="19"/>
          <w:szCs w:val="19"/>
        </w:rPr>
        <w:t xml:space="preserve"> Recare Deutschland GmbH (Berlin, €37 Mio. Funding, DNV als größter Anteilseigner) bietet mit Recare Voice KI-gestützte Echtzeit-Dokumentation von Patientengesprächen für über 1.000 Krankenhäuser. Die Plattform ist ISO 27001- und BSI-C5-Typ-2-zertifiziert, verarbeitet Daten in Europa und wirbt mit "Zero Knowledge"-Architektur. Das Problem: </w:t>
      </w:r>
      <w:r>
        <w:rPr>
          <w:rFonts w:ascii="Arial" w:cs="Arial" w:eastAsia="Arial" w:hAnsi="Arial"/>
          <w:b/>
          <w:bCs/>
          <w:i w:val="false"/>
          <w:iCs w:val="false"/>
          <w:color w:val="000000"/>
          <w:sz w:val="19"/>
          <w:szCs w:val="19"/>
        </w:rPr>
        <w:t xml:space="preserve">Welches Sprachmodell die Transkription und Zusammenfassung antreibt, ist nicht öffentlich dokumentiert.</w:t>
      </w:r>
      <w:r>
        <w:rPr>
          <w:rFonts w:ascii="Arial" w:cs="Arial" w:eastAsia="Arial" w:hAnsi="Arial"/>
          <w:b w:val="false"/>
          <w:bCs w:val="false"/>
          <w:i w:val="false"/>
          <w:iCs w:val="false"/>
          <w:color w:val="000000"/>
          <w:sz w:val="19"/>
          <w:szCs w:val="19"/>
        </w:rPr>
        <w:t xml:space="preserve"> Wenn Recare im Backend OpenAI Whisper oder GPT nutzt (direkt oder via Azure), gelten dieselben Vorbehalte wie bei Tandem Health. Wenn ein eigenes oder EU-gehostetes Modell verwendet wird, wäre das Risikoprofil deutlich besser. Für Kliniken, die Recare Voice evaluieren: Die Frage "Welches KI-Modell verarbeitet unsere Patientengespräche, und auf welcher Infrastruktur?" muss vertraglich beantwortet sein — nicht auf der Marketingseite.</w:t>
      </w:r>
    </w:p>
    <w:p>
      <w:pPr>
        <w:spacing w:after="40" w:before="20" w:line="276"/>
        <w:jc w:val="both"/>
      </w:pPr>
      <w:r>
        <w:rPr>
          <w:rFonts w:ascii="Arial" w:cs="Arial" w:eastAsia="Arial" w:hAnsi="Arial"/>
          <w:b/>
          <w:bCs/>
          <w:i w:val="false"/>
          <w:iCs w:val="false"/>
          <w:color w:val="000000"/>
          <w:sz w:val="19"/>
          <w:szCs w:val="19"/>
        </w:rPr>
        <w:t xml:space="preserve">myScribe — KIS-Integration, aber KI-Backend unklar.</w:t>
      </w:r>
      <w:r>
        <w:rPr>
          <w:rFonts w:ascii="Arial" w:cs="Arial" w:eastAsia="Arial" w:hAnsi="Arial"/>
          <w:b w:val="false"/>
          <w:bCs w:val="false"/>
          <w:i w:val="false"/>
          <w:iCs w:val="false"/>
          <w:color w:val="000000"/>
          <w:sz w:val="19"/>
          <w:szCs w:val="19"/>
        </w:rPr>
        <w:t xml:space="preserve"> myScribe GmbH (Mannheim, gegründet von der Ärztin Ira Stoll am Universitätsklinikum Heidelberg) generiert mehrseitige Arztbriefe aus Visite-Notizen, Laborbefunden, Bildgebung, Diagnosen und Medikation über HL7-FHIR-Schnittstellen zum KIS. Die Website behauptet ein "eigenentwickeltes NLP-Modell" — aber ein Startup mit ~14 Mitarbeitenden, das mehrseitige Fließtext-Arztbriefe in Sekundenbruchteilen generiert, setzt mit hoher Wahrscheinlichkeit ein großes Sprachmodell (GPT, Claude oder vergleichbar) als Backend ein. </w:t>
      </w:r>
      <w:r>
        <w:rPr>
          <w:rFonts w:ascii="Arial" w:cs="Arial" w:eastAsia="Arial" w:hAnsi="Arial"/>
          <w:b/>
          <w:bCs/>
          <w:i w:val="false"/>
          <w:iCs w:val="false"/>
          <w:color w:val="000000"/>
          <w:sz w:val="19"/>
          <w:szCs w:val="19"/>
        </w:rPr>
        <w:t xml:space="preserve">Welches Modell die Textgenerierung antreibt und auf welcher Infrastruktur es läuft, ist nicht öffentlich dokumentiert.</w:t>
      </w:r>
      <w:r>
        <w:rPr>
          <w:rFonts w:ascii="Arial" w:cs="Arial" w:eastAsia="Arial" w:hAnsi="Arial"/>
          <w:b w:val="false"/>
          <w:bCs w:val="false"/>
          <w:i w:val="false"/>
          <w:iCs w:val="false"/>
          <w:color w:val="000000"/>
          <w:sz w:val="19"/>
          <w:szCs w:val="19"/>
        </w:rPr>
        <w:t xml:space="preserve"> Für Kliniken gilt dieselbe Empfehlung wie bei Recare Voice: Das KI-Backend muss vertraglich offengelegt sein, bevor Patientendaten verarbeitet werden. Wenn myScribe im Hintergrund Azure OpenAI nutzt, gelten dieselben Vorbehalte wie bei Averbis Medical Summary.</w:t>
      </w:r>
    </w:p>
    <w:p>
      <w:pPr>
        <w:spacing w:after="40" w:before="20" w:line="276"/>
        <w:jc w:val="both"/>
      </w:pPr>
      <w:r>
        <w:rPr>
          <w:rFonts w:ascii="Arial" w:cs="Arial" w:eastAsia="Arial" w:hAnsi="Arial"/>
          <w:b/>
          <w:bCs/>
          <w:i w:val="false"/>
          <w:iCs w:val="false"/>
          <w:color w:val="000000"/>
          <w:sz w:val="19"/>
          <w:szCs w:val="19"/>
        </w:rPr>
        <w:t xml:space="preserve">hAIppokrates (Greenbay Healthcare, Leipzig) — 🟢 Der Beweis, dass es geht.</w:t>
      </w:r>
      <w:r>
        <w:rPr>
          <w:rFonts w:ascii="Arial" w:cs="Arial" w:eastAsia="Arial" w:hAnsi="Arial"/>
          <w:b w:val="false"/>
          <w:bCs w:val="false"/>
          <w:i w:val="false"/>
          <w:iCs w:val="false"/>
          <w:color w:val="000000"/>
          <w:sz w:val="19"/>
          <w:szCs w:val="19"/>
        </w:rPr>
        <w:t xml:space="preserve"> hAIppokrates ist ein KI-System für Arztbrief-Generierung und Transkription von Arzt-Patienten-Gesprächen, das </w:t>
      </w:r>
      <w:r>
        <w:rPr>
          <w:rFonts w:ascii="Arial" w:cs="Arial" w:eastAsia="Arial" w:hAnsi="Arial"/>
          <w:b/>
          <w:bCs/>
          <w:i w:val="false"/>
          <w:iCs w:val="false"/>
          <w:color w:val="000000"/>
          <w:sz w:val="19"/>
          <w:szCs w:val="19"/>
        </w:rPr>
        <w:t xml:space="preserve">vollständig on-premise im Rechenzentrum des Universitätsklinikums Leipzig (UKL)</w:t>
      </w:r>
      <w:r>
        <w:rPr>
          <w:rFonts w:ascii="Arial" w:cs="Arial" w:eastAsia="Arial" w:hAnsi="Arial"/>
          <w:b w:val="false"/>
          <w:bCs w:val="false"/>
          <w:i w:val="false"/>
          <w:iCs w:val="false"/>
          <w:color w:val="000000"/>
          <w:sz w:val="19"/>
          <w:szCs w:val="19"/>
        </w:rPr>
        <w:t xml:space="preserve"> betrieben wird. Die Architektur: GPT als Sprachmodell und OpenAI Whisper als Transkriptionsengine laufen lokal auf klinikeigener Hardware — kein API-Call an OpenAI, kein Azure, kein externer Cloud-Dienst. Alle Patientendaten (Diagnosen, Medikation, Gesprächsaufnahmen, Laborwerte) sind dem lokalen Modell verfügbar, verlassen aber zu keinem Zeitpunkt das Krankenhaus-Netzwerk. Das System wurde von der Greenbay Healthcare GmbH (Leipzig) in Zusammenarbeit mit 4K Analytics GmbH und dem UKL entwickelt. Nach einer erfolgreichen Pilotphase mit über 100 Nutzern befindet sich hAIppokrates im Roll-out.</w:t>
      </w:r>
    </w:p>
    <w:p>
      <w:pPr>
        <w:spacing w:after="40" w:before="20" w:line="276"/>
        <w:jc w:val="both"/>
      </w:pPr>
      <w:r>
        <w:rPr>
          <w:rFonts w:ascii="Arial" w:cs="Arial" w:eastAsia="Arial" w:hAnsi="Arial"/>
          <w:b/>
          <w:bCs/>
          <w:i w:val="false"/>
          <w:iCs w:val="false"/>
          <w:color w:val="000000"/>
          <w:sz w:val="19"/>
          <w:szCs w:val="19"/>
        </w:rPr>
        <w:t xml:space="preserve">Warum das wichtig ist:</w:t>
      </w:r>
      <w:r>
        <w:rPr>
          <w:rFonts w:ascii="Arial" w:cs="Arial" w:eastAsia="Arial" w:hAnsi="Arial"/>
          <w:b w:val="false"/>
          <w:bCs w:val="false"/>
          <w:i w:val="false"/>
          <w:iCs w:val="false"/>
          <w:color w:val="000000"/>
          <w:sz w:val="19"/>
          <w:szCs w:val="19"/>
        </w:rPr>
        <w:t xml:space="preserve"> hAIppokrates widerlegt die verbreitete Annahme, dass generative KI im Gesundheitswesen zwangsläufig US-Cloud-Infrastruktur erfordert. GPT-Modelle und Whisper sind als Open-Source- oder Open-Weight-Modelle verfügbar und lokal deploybar — die Infrastruktur (GPU-Server im eigenen RZ) ist die Investition, nicht die Modellverfügbarkeit. Was das UKL Leipzig vormacht, können andere Kliniken und GKVen nachbauen: </w:t>
      </w:r>
      <w:r>
        <w:rPr>
          <w:rFonts w:ascii="Arial" w:cs="Arial" w:eastAsia="Arial" w:hAnsi="Arial"/>
          <w:b/>
          <w:bCs/>
          <w:i w:val="false"/>
          <w:iCs w:val="false"/>
          <w:color w:val="000000"/>
          <w:sz w:val="19"/>
          <w:szCs w:val="19"/>
        </w:rPr>
        <w:t xml:space="preserve">Souveräne generative KI für Gesundheitsdaten ist kein Zukunftsversprechen — sie läuft produktiv in einem deutschen Universitätsklinikum.</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Transparenzhinweis:</w:t>
      </w:r>
      <w:r>
        <w:rPr>
          <w:rFonts w:ascii="Arial" w:cs="Arial" w:eastAsia="Arial" w:hAnsi="Arial"/>
          <w:b w:val="false"/>
          <w:bCs w:val="false"/>
          <w:i/>
          <w:iCs/>
          <w:color w:val="333333"/>
          <w:sz w:val="18"/>
          <w:szCs w:val="18"/>
        </w:rPr>
        <w:t xml:space="preserve"> Greenbay Healthcare GmbH und 4K Analytics GmbH (Herausgeber dieses Dokuments) gehören zum selben Unternehmensverbund. Die Bewertung folgt denselben Kriterien wie bei allen anderen Anbietern: Eigentümerschaft, Infrastruktur-Standort, KI-Backend, Datenfluss. Die On-Premise-Architektur des UKL Leipzig ist durch die IT-Abteilung des UKL verifizierbar.</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Das Muster:</w:t>
      </w:r>
      <w:r>
        <w:rPr>
          <w:rFonts w:ascii="Arial" w:cs="Arial" w:eastAsia="Arial" w:hAnsi="Arial"/>
          <w:b w:val="false"/>
          <w:bCs w:val="false"/>
          <w:i/>
          <w:iCs/>
          <w:color w:val="333333"/>
          <w:sz w:val="18"/>
          <w:szCs w:val="18"/>
        </w:rPr>
        <w:t xml:space="preserve"> Plaud demonstriert das Worst-Case: CN-Firma sendet Arzt-Patienten-Audio an US-Server und US-KI. Averbis zeigt die </w:t>
      </w:r>
      <w:r>
        <w:rPr>
          <w:rFonts w:ascii="Arial" w:cs="Arial" w:eastAsia="Arial" w:hAnsi="Arial"/>
          <w:b/>
          <w:bCs/>
          <w:i/>
          <w:iCs/>
          <w:color w:val="333333"/>
          <w:sz w:val="18"/>
          <w:szCs w:val="18"/>
        </w:rPr>
        <w:t xml:space="preserve">typische Hybridlösung</w:t>
      </w:r>
      <w:r>
        <w:rPr>
          <w:rFonts w:ascii="Arial" w:cs="Arial" w:eastAsia="Arial" w:hAnsi="Arial"/>
          <w:b w:val="false"/>
          <w:bCs w:val="false"/>
          <w:i/>
          <w:iCs/>
          <w:color w:val="333333"/>
          <w:sz w:val="18"/>
          <w:szCs w:val="18"/>
        </w:rPr>
        <w:t xml:space="preserve">: eigene NLP souverän, generative KI auf Azure OpenAI. myScribe und Recare Voice zeigen das </w:t>
      </w:r>
      <w:r>
        <w:rPr>
          <w:rFonts w:ascii="Arial" w:cs="Arial" w:eastAsia="Arial" w:hAnsi="Arial"/>
          <w:b/>
          <w:bCs/>
          <w:i/>
          <w:iCs/>
          <w:color w:val="333333"/>
          <w:sz w:val="18"/>
          <w:szCs w:val="18"/>
        </w:rPr>
        <w:t xml:space="preserve">Transparenzproblem</w:t>
      </w:r>
      <w:r>
        <w:rPr>
          <w:rFonts w:ascii="Arial" w:cs="Arial" w:eastAsia="Arial" w:hAnsi="Arial"/>
          <w:b w:val="false"/>
          <w:bCs w:val="false"/>
          <w:i/>
          <w:iCs/>
          <w:color w:val="333333"/>
          <w:sz w:val="18"/>
          <w:szCs w:val="18"/>
        </w:rPr>
        <w:t xml:space="preserve">: deutsche Firmen, die ihr KI-Backend nicht offenlegen. hAIppokrates am UKL Leipzig zeigt den </w:t>
      </w:r>
      <w:r>
        <w:rPr>
          <w:rFonts w:ascii="Arial" w:cs="Arial" w:eastAsia="Arial" w:hAnsi="Arial"/>
          <w:b/>
          <w:bCs/>
          <w:i/>
          <w:iCs/>
          <w:color w:val="333333"/>
          <w:sz w:val="18"/>
          <w:szCs w:val="18"/>
        </w:rPr>
        <w:t xml:space="preserve">souveränen Weg</w:t>
      </w:r>
      <w:r>
        <w:rPr>
          <w:rFonts w:ascii="Arial" w:cs="Arial" w:eastAsia="Arial" w:hAnsi="Arial"/>
          <w:b w:val="false"/>
          <w:bCs w:val="false"/>
          <w:i/>
          <w:iCs/>
          <w:color w:val="333333"/>
          <w:sz w:val="18"/>
          <w:szCs w:val="18"/>
        </w:rPr>
        <w:t xml:space="preserve">: GPT und Whisper lokal on-premise, alle Patientendaten im Klinik-Netzwerk, kein US-Cloud-Kontakt. Der Unterschied ist nicht das Modell — sondern wo es läuft.</w:t>
      </w:r>
    </w:p>
    <w:p>
      <w:pPr>
        <w:spacing w:after="60" w:before="160"/>
      </w:pPr>
      <w:r>
        <w:rPr>
          <w:rFonts w:ascii="Arial" w:cs="Arial" w:eastAsia="Arial" w:hAnsi="Arial"/>
          <w:b/>
          <w:bCs/>
          <w:color w:val="333333"/>
          <w:sz w:val="21"/>
          <w:szCs w:val="21"/>
        </w:rPr>
        <w:t xml:space="preserve">Vibecoding-Plattformen — KI-Entwicklung mit doppelter Bindung</w:t>
      </w:r>
    </w:p>
    <w:p>
      <w:pPr>
        <w:spacing w:after="40" w:before="20" w:line="276"/>
        <w:jc w:val="both"/>
      </w:pPr>
      <w:r>
        <w:rPr>
          <w:rFonts w:ascii="Arial" w:cs="Arial" w:eastAsia="Arial" w:hAnsi="Arial"/>
          <w:b w:val="false"/>
          <w:bCs w:val="false"/>
          <w:i w:val="false"/>
          <w:iCs w:val="false"/>
          <w:color w:val="000000"/>
          <w:sz w:val="19"/>
          <w:szCs w:val="19"/>
        </w:rPr>
        <w:t xml:space="preserve">Ein wachsender Trend im Gesundheitswesen: Fachabteilungen und IT-Teams nutzen KI-gestützte Entwicklungsplattformen ("Vibecoding"), um interne Tools, Dashboards oder Patientenportale per natürlichsprachigem Prompt zu erstellen — ohne klassische Softwareentwicklung. Das CLOUD-Act-Problem ist hier </w:t>
      </w:r>
      <w:r>
        <w:rPr>
          <w:rFonts w:ascii="Arial" w:cs="Arial" w:eastAsia="Arial" w:hAnsi="Arial"/>
          <w:b/>
          <w:bCs/>
          <w:i w:val="false"/>
          <w:iCs w:val="false"/>
          <w:color w:val="000000"/>
          <w:sz w:val="19"/>
          <w:szCs w:val="19"/>
        </w:rPr>
        <w:t xml:space="preserve">doppelt</w:t>
      </w:r>
      <w:r>
        <w:rPr>
          <w:rFonts w:ascii="Arial" w:cs="Arial" w:eastAsia="Arial" w:hAnsi="Arial"/>
          <w:b w:val="false"/>
          <w:bCs w:val="false"/>
          <w:i w:val="false"/>
          <w:iCs w:val="false"/>
          <w:color w:val="000000"/>
          <w:sz w:val="19"/>
          <w:szCs w:val="19"/>
        </w:rPr>
        <w:t xml:space="preserve">:</w:t>
      </w:r>
    </w:p>
    <w:p>
      <w:pPr>
        <w:spacing w:after="40" w:before="20" w:line="276"/>
        <w:jc w:val="both"/>
      </w:pPr>
      <w:r>
        <w:rPr>
          <w:rFonts w:ascii="Arial" w:cs="Arial" w:eastAsia="Arial" w:hAnsi="Arial"/>
          <w:b/>
          <w:bCs/>
          <w:i w:val="false"/>
          <w:iCs w:val="false"/>
          <w:color w:val="000000"/>
          <w:sz w:val="19"/>
          <w:szCs w:val="19"/>
        </w:rPr>
        <w:t xml:space="preserve">Erstens — die KI im Hintergrund.</w:t>
      </w:r>
      <w:r>
        <w:rPr>
          <w:rFonts w:ascii="Arial" w:cs="Arial" w:eastAsia="Arial" w:hAnsi="Arial"/>
          <w:b w:val="false"/>
          <w:bCs w:val="false"/>
          <w:i w:val="false"/>
          <w:iCs w:val="false"/>
          <w:color w:val="000000"/>
          <w:sz w:val="19"/>
          <w:szCs w:val="19"/>
        </w:rPr>
        <w:t xml:space="preserve"> Vibecoding-Plattformen nutzen große Sprachmodelle (typischerweise GPT-4o, Claude oder Gemini) als Code-Generatoren. Jeder Prompt — "Erstelle eine Anwendung, die Patientendaten aus unserem KIS lädt und eine Übersicht nach ICD-10-Diagnosen erstellt" — wird an den KI-Dienst übertragen und dort im Klartext verarbeitet. Die Prompts enthalten Geschäftslogik, Datenstrukturen, API-Schlüssel, und beschreiben im Detail, wie die Organisation Patientendaten verarbeitet. Bei US-KI-Anbietern sind diese Prompts CLOUD-Act-exponiert.</w:t>
      </w:r>
    </w:p>
    <w:p>
      <w:pPr>
        <w:spacing w:after="40" w:before="20" w:line="276"/>
        <w:jc w:val="both"/>
      </w:pPr>
      <w:r>
        <w:rPr>
          <w:rFonts w:ascii="Arial" w:cs="Arial" w:eastAsia="Arial" w:hAnsi="Arial"/>
          <w:b/>
          <w:bCs/>
          <w:i w:val="false"/>
          <w:iCs w:val="false"/>
          <w:color w:val="000000"/>
          <w:sz w:val="19"/>
          <w:szCs w:val="19"/>
        </w:rPr>
        <w:t xml:space="preserve">Zweitens — die Plattform als Laufzeitumgebung.</w:t>
      </w:r>
      <w:r>
        <w:rPr>
          <w:rFonts w:ascii="Arial" w:cs="Arial" w:eastAsia="Arial" w:hAnsi="Arial"/>
          <w:b w:val="false"/>
          <w:bCs w:val="false"/>
          <w:i w:val="false"/>
          <w:iCs w:val="false"/>
          <w:color w:val="000000"/>
          <w:sz w:val="19"/>
          <w:szCs w:val="19"/>
        </w:rPr>
        <w:t xml:space="preserve"> Der entscheidende Unterschied zu klassischen KI-Assistenten: Vibecoding-Plattformen sind darauf ausgelegt, dass die erstellten Anwendungen </w:t>
      </w:r>
      <w:r>
        <w:rPr>
          <w:rFonts w:ascii="Arial" w:cs="Arial" w:eastAsia="Arial" w:hAnsi="Arial"/>
          <w:b/>
          <w:bCs/>
          <w:i w:val="false"/>
          <w:iCs w:val="false"/>
          <w:color w:val="000000"/>
          <w:sz w:val="19"/>
          <w:szCs w:val="19"/>
        </w:rPr>
        <w:t xml:space="preserve">auf der Plattform gehostet bleiben</w:t>
      </w:r>
      <w:r>
        <w:rPr>
          <w:rFonts w:ascii="Arial" w:cs="Arial" w:eastAsia="Arial" w:hAnsi="Arial"/>
          <w:b w:val="false"/>
          <w:bCs w:val="false"/>
          <w:i w:val="false"/>
          <w:iCs w:val="false"/>
          <w:color w:val="000000"/>
          <w:sz w:val="19"/>
          <w:szCs w:val="19"/>
        </w:rPr>
        <w:t xml:space="preserve"> — nicht exportiert und selbst betrieben werden. Lovable, Bolt, Replit und v0 bieten integrierten Hosting-Service: Die Anwendung wird auf der Plattform entwickelt, getestet und produktiv betrieben. Wenn diese Anwendung Patientendaten verarbeitet, liegen die Daten dauerhaft auf der Plattform-Infrastruktur — und unterliegen der Jurisdiktion des Plattformbetreibers.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Lovable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Plattform-hosted (AWS/Vercel)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EU-Eigentümer, aber US-KI + US-Hosting-Infrastruktur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Bolt.new (StackBlitz)</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StackBlitz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US-KI, US-Hosting</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Replit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 GPT-4o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Replit Cloud (GCP,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Google 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v0 (Vercel)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Vercel Edge (AWS,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US-Infrastruktur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Cursor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IDE, aber Prompts an US-KI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Code bleibt lokal, Prompts an US-Cloud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GitHub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(Microsoft/GitHub)</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Microsoft-Tochter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Windsurf (Codeium)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(Mountain View)</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Modelle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Muster:</w:t>
      </w:r>
      <w:r>
        <w:rPr>
          <w:rFonts w:ascii="Arial" w:cs="Arial" w:eastAsia="Arial" w:hAnsi="Arial"/>
          <w:b w:val="false"/>
          <w:bCs w:val="false"/>
          <w:i w:val="false"/>
          <w:iCs w:val="false"/>
          <w:color w:val="000000"/>
          <w:sz w:val="19"/>
          <w:szCs w:val="19"/>
        </w:rPr>
        <w:t xml:space="preserve"> Bei Lovable (schwedischer Eigentümer) entsteht der Eindruck eines EU-Produkts. Aber die KI-Verarbeitung läuft über US-Modelle (OpenAI/Anthropic), und das Hosting der fertigen Anwendungen erfolgt typischerweise auf AWS oder Vercel — beides US-Infrastruktur. Der EU-Eigentümer ändert nichts an der US-Jurisdiktion über die Datenverarbeitung. Bei Bolt, Replit und v0 ist die Kette durchgängig US: US-Unternehmen → US-KI → US-Hosting.</w:t>
      </w:r>
    </w:p>
    <w:p>
      <w:pPr>
        <w:spacing w:after="40" w:before="20" w:line="276"/>
        <w:jc w:val="both"/>
      </w:pPr>
      <w:r>
        <w:rPr>
          <w:rFonts w:ascii="Arial" w:cs="Arial" w:eastAsia="Arial" w:hAnsi="Arial"/>
          <w:b/>
          <w:bCs/>
          <w:i w:val="false"/>
          <w:iCs w:val="false"/>
          <w:color w:val="000000"/>
          <w:sz w:val="19"/>
          <w:szCs w:val="19"/>
        </w:rPr>
        <w:t xml:space="preserve">Warum das im Gesundheitswesen relevant ist:</w:t>
      </w:r>
      <w:r>
        <w:rPr>
          <w:rFonts w:ascii="Arial" w:cs="Arial" w:eastAsia="Arial" w:hAnsi="Arial"/>
          <w:b w:val="false"/>
          <w:bCs w:val="false"/>
          <w:i w:val="false"/>
          <w:iCs w:val="false"/>
          <w:color w:val="000000"/>
          <w:sz w:val="19"/>
          <w:szCs w:val="19"/>
        </w:rPr>
        <w:t xml:space="preserve"> Der Vibecoding-Trend senkt die Hürde für Fachanwendungen drastisch. Eine GKV-IT-Abteilung kann in Stunden ein internes Analysetool bauen, das Versichertendaten visualisiert. Eine Klinik-Verwaltung erstellt ein Patientenportal per Prompt. Das Problem: Wenn diese Anwendungen auf der Plattform verbleiben und Patientendaten verarbeiten, entsteht eine dauerhafte CLOUD-Act-Exposition, die weder durch C5 noch durch die DSGVO-Einwilligung des Patienten gedeckt ist.</w:t>
      </w:r>
    </w:p>
    <w:p>
      <w:pPr>
        <w:spacing w:after="40" w:before="20" w:line="276"/>
        <w:jc w:val="both"/>
      </w:pPr>
      <w:r>
        <w:rPr>
          <w:rFonts w:ascii="Arial" w:cs="Arial" w:eastAsia="Arial" w:hAnsi="Arial"/>
          <w:b/>
          <w:bCs/>
          <w:i w:val="false"/>
          <w:iCs w:val="false"/>
          <w:color w:val="000000"/>
          <w:sz w:val="19"/>
          <w:szCs w:val="19"/>
        </w:rPr>
        <w:t xml:space="preserve">Base44 (Wix):</w:t>
      </w:r>
      <w:r>
        <w:rPr>
          <w:rFonts w:ascii="Arial" w:cs="Arial" w:eastAsia="Arial" w:hAnsi="Arial"/>
          <w:b w:val="false"/>
          <w:bCs w:val="false"/>
          <w:i w:val="false"/>
          <w:iCs w:val="false"/>
          <w:color w:val="000000"/>
          <w:sz w:val="19"/>
          <w:szCs w:val="19"/>
        </w:rPr>
        <w:t xml:space="preserve"> Eine Sonderstellung nimmt Base44 ein — ein Vibecoding-Tool, das 2025 von Wix (NASDAQ: WIX, Israel/US) übernommen wurde. Base44 wählt automatisch zwischen Claude Sonnet und Gemini 2.5 Pro, bietet integriertes Hosting mit Datenbank und Authentifizierung. Die gesamte Anwendung verbleibt auf der Plattform. Da Wix an der NASDAQ gelistet und US-kontrolliert ist, gilt für Base44-gehostete Anwendungen mit Patientendaten dasselbe Risiko wie für andere US-Plattformen — unabhängig davon, wo die Server stehen.</w:t>
      </w:r>
    </w:p>
    <w:p>
      <w:pPr>
        <w:spacing w:after="40" w:before="20" w:line="276"/>
        <w:jc w:val="both"/>
      </w:pPr>
      <w:r>
        <w:rPr>
          <w:rFonts w:ascii="Arial" w:cs="Arial" w:eastAsia="Arial" w:hAnsi="Arial"/>
          <w:b/>
          <w:bCs/>
          <w:i w:val="false"/>
          <w:iCs w:val="false"/>
          <w:color w:val="000000"/>
          <w:sz w:val="19"/>
          <w:szCs w:val="19"/>
        </w:rPr>
        <w:t xml:space="preserve">Die souveräne Alternative:</w:t>
      </w:r>
      <w:r>
        <w:rPr>
          <w:rFonts w:ascii="Arial" w:cs="Arial" w:eastAsia="Arial" w:hAnsi="Arial"/>
          <w:b w:val="false"/>
          <w:bCs w:val="false"/>
          <w:i w:val="false"/>
          <w:iCs w:val="false"/>
          <w:color w:val="000000"/>
          <w:sz w:val="19"/>
          <w:szCs w:val="19"/>
        </w:rPr>
        <w:t xml:space="preserve"> Für die Entwicklungsphase können Open-Source-KI-Assistenten (Mistral Codestral, StarCoder, lokal via Continue.dev oder Tabby) auf eigener Infrastruktur genutzt werden. Entscheidend ist die Trennung: KI-gestütztes Entwickeln auf EU-Infrastruktur, Hosting der fertigen Anwendung auf EU-Infrastruktur (STACKIT, plusserver, eigenes RZ). Die Plattform-Bequemlichkeit von Lovable oder Replit geht verloren — aber die Datenhoheit bleibt gewahrt. Für unkritische Anwendungen ohne Patientendaten (interne Dashboards, öffentliche Informationsseiten) ist das Risiko geringer, aber auch hier sollte die Plattformwahl dokumentiert werden.</w:t>
      </w:r>
    </w:p>
    <w:p>
      <w:pPr>
        <w:spacing w:after="60" w:before="160"/>
      </w:pPr>
      <w:r>
        <w:rPr>
          <w:rFonts w:ascii="Arial" w:cs="Arial" w:eastAsia="Arial" w:hAnsi="Arial"/>
          <w:b/>
          <w:bCs/>
          <w:color w:val="333333"/>
          <w:sz w:val="21"/>
          <w:szCs w:val="21"/>
        </w:rPr>
        <w:t xml:space="preserve">KI-Broker — das DSGVO-Versprechen und seine Grenzen</w:t>
      </w:r>
    </w:p>
    <w:p>
      <w:pPr>
        <w:spacing w:after="40" w:before="20" w:line="276"/>
        <w:jc w:val="both"/>
      </w:pPr>
      <w:r>
        <w:rPr>
          <w:rFonts w:ascii="Arial" w:cs="Arial" w:eastAsia="Arial" w:hAnsi="Arial"/>
          <w:b w:val="false"/>
          <w:bCs w:val="false"/>
          <w:i w:val="false"/>
          <w:iCs w:val="false"/>
          <w:color w:val="000000"/>
          <w:sz w:val="19"/>
          <w:szCs w:val="19"/>
        </w:rPr>
        <w:t xml:space="preserve">Ein wachsender Markt deutscher und europäischer Anbieter verspricht "DSGVO-konforme KI" für Unternehmen: sogenannte KI-Broker oder KI-Gateways, die als Zwischenschicht zwischen der Organisation und den großen Sprachmodellen (OpenAI, Claude, Gemini) fungieren. Das Versprechen klingt überzeugend: </w:t>
      </w:r>
      <w:r>
        <w:rPr>
          <w:rFonts w:ascii="Arial" w:cs="Arial" w:eastAsia="Arial" w:hAnsi="Arial"/>
          <w:b/>
          <w:bCs/>
          <w:i w:val="false"/>
          <w:iCs w:val="false"/>
          <w:color w:val="000000"/>
          <w:sz w:val="19"/>
          <w:szCs w:val="19"/>
        </w:rPr>
        <w:t xml:space="preserve">EU-gehostet, ISO 27001-zertifiziert, DSGVO-konform — und trotzdem GPT-4o, Claude und Gemini nutzen.</w:t>
      </w:r>
      <w:r>
        <w:rPr>
          <w:rFonts w:ascii="Arial" w:cs="Arial" w:eastAsia="Arial" w:hAnsi="Arial"/>
          <w:b w:val="false"/>
          <w:bCs w:val="false"/>
          <w:i w:val="false"/>
          <w:iCs w:val="false"/>
          <w:color w:val="000000"/>
          <w:sz w:val="19"/>
          <w:szCs w:val="19"/>
        </w:rPr>
        <w:t xml:space="preserve"> Für den Gesundheitssektor ist dieses Versprechen kritisch zu hinterfragen.</w:t>
      </w:r>
    </w:p>
    <w:p>
      <w:pPr>
        <w:spacing w:after="40" w:before="20" w:line="276"/>
        <w:jc w:val="both"/>
      </w:pPr>
      <w:r>
        <w:rPr>
          <w:rFonts w:ascii="Arial" w:cs="Arial" w:eastAsia="Arial" w:hAnsi="Arial"/>
          <w:b/>
          <w:bCs/>
          <w:i w:val="false"/>
          <w:iCs w:val="false"/>
          <w:color w:val="000000"/>
          <w:sz w:val="19"/>
          <w:szCs w:val="19"/>
        </w:rPr>
        <w:t xml:space="preserve">Das Grundproblem:</w:t>
      </w:r>
      <w:r>
        <w:rPr>
          <w:rFonts w:ascii="Arial" w:cs="Arial" w:eastAsia="Arial" w:hAnsi="Arial"/>
          <w:b w:val="false"/>
          <w:bCs w:val="false"/>
          <w:i w:val="false"/>
          <w:iCs w:val="false"/>
          <w:color w:val="000000"/>
          <w:sz w:val="19"/>
          <w:szCs w:val="19"/>
        </w:rPr>
        <w:t xml:space="preserve"> Ein KI-Broker kann die eigene Plattform DSGVO-konform betreiben — Nutzerauthentifizierung, Audit-Logs, Datenverarbeitung in der EU. Aber wenn der Prompt mit Patientendaten an ein US-Sprachmodell weitergeleitet wird, verlässt er die EU-Jurisdiktion — zumindest für die Dauer der Verarbeitung. Die Optionen der Broker:</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Direkte OpenAI-API (US-Server):</w:t>
      </w:r>
      <w:r>
        <w:rPr>
          <w:rFonts w:ascii="Arial" w:cs="Arial" w:eastAsia="Arial" w:hAnsi="Arial"/>
          <w:b w:val="false"/>
          <w:bCs w:val="false"/>
          <w:i w:val="false"/>
          <w:iCs w:val="false"/>
          <w:color w:val="000000"/>
          <w:sz w:val="19"/>
          <w:szCs w:val="19"/>
        </w:rPr>
        <w:t xml:space="preserve"> Prompt geht an OpenAI in den USA. "Zero Data Retention" (OpenAI speichert nichts nach Verarbeitung) — aber während der Verarbeitung liegen die Daten im Klartext auf US-Infrastruktur und sind CLOUD-Act-exponiert.</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Azure OpenAI (EU-Region, z.B. Schweden/Frankfurt):</w:t>
      </w:r>
      <w:r>
        <w:rPr>
          <w:rFonts w:ascii="Arial" w:cs="Arial" w:eastAsia="Arial" w:hAnsi="Arial"/>
          <w:b w:val="false"/>
          <w:bCs w:val="false"/>
          <w:i w:val="false"/>
          <w:iCs w:val="false"/>
          <w:color w:val="000000"/>
          <w:sz w:val="19"/>
          <w:szCs w:val="19"/>
        </w:rPr>
        <w:t xml:space="preserve"> Prompt bleibt physisch in der EU, aber Azure ist ein Microsoft-Dienst (MSFT) — CLOUD Act greift über die Unternehmensstruktur, nicht den Serverstandort (vgl. §1.1).</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Self-hosted Modelle (Mistral, Llama):</w:t>
      </w:r>
      <w:r>
        <w:rPr>
          <w:rFonts w:ascii="Arial" w:cs="Arial" w:eastAsia="Arial" w:hAnsi="Arial"/>
          <w:b w:val="false"/>
          <w:bCs w:val="false"/>
          <w:i w:val="false"/>
          <w:iCs w:val="false"/>
          <w:color w:val="000000"/>
          <w:sz w:val="19"/>
          <w:szCs w:val="19"/>
        </w:rPr>
        <w:t xml:space="preserve"> Kein US-Anbieter involviert — die einzige Option ohne CLOUD-Act-Exposition. Aber nicht alle Broker bieten das an, und die Modellqualität ist für manche Anwendungsfälle noch eingeschränkt.</w:t>
      </w:r>
    </w:p>
    <w:p>
      <w:pPr>
        <w:spacing w:after="40" w:before="20" w:line="276"/>
        <w:jc w:val="both"/>
      </w:pPr>
      <w:r>
        <w:rPr>
          <w:rFonts w:ascii="Arial" w:cs="Arial" w:eastAsia="Arial" w:hAnsi="Arial"/>
          <w:b w:val="false"/>
          <w:bCs w:val="false"/>
          <w:i w:val="false"/>
          <w:iCs w:val="false"/>
          <w:color w:val="000000"/>
          <w:sz w:val="19"/>
          <w:szCs w:val="19"/>
        </w:rPr>
        <w:t xml:space="preserve">Die meisten KI-Broker nutzen Option 1 oder 2 — und kommunizieren das als "DSGVO-konform", weil sie einen Auftragsverarbeitungsvertrag (AVV) mit OpenAI/Microsoft haben und das DPF als Rechtsgrundlage anführen. Für den Gesundheitssektor ist das aus denselben Gründen unzureichend, die §1.2 und §9 dokumentieren: Das DPF ist anfechtbar (Schrems III), der AVV schützt nicht vor CLOUD-Act-Herausgabepflichten, und "Zero Data Retention" bedeutet "nicht gespeichert" — nicht "nicht verarbeitet".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KI-Broker / Gateway</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 des KI-Backends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Langdock</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Aleph Alpha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EU-Plattform, aber Prompts an US-Modelle (je nach Konfiguration)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DeutschlandGPT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Claude, Gemini, Mistral, Llama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 (DE, C5)</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DE-Hosting, aber GPT/Claude-Prompts via Azure/API an US-Modelle</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meinGPT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(Azure EU),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DE-hosted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OpenAI EU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Plotdesk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via Azure OpenAI (EU)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Azure OpenAI — Microsoft-CLOUD-Act-Risiko bleibt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Omnifact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Diverse; Privacy Filter™ maskiert Daten vor KI-Übergabe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Maskierung reduziert Exposition, löst Grundproblem nicht (s.u.)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Neuroflash</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(Hamburg)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eigene Modelle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OpenAI-Abhängigkeit für Kernfunktionen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kamium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ChatGPT, Gemini, Claude, Perplexity</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Azure-Tenant (EU)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Dust.tt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EU/US (wählbar, SOC 2)</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EU-Hosting wählbar, aber US-Modelle verarbeiten Prompts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nexos.ai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LT (Vilnius)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Modelle (OpenAI,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EU-Gateway, US-Modelle im Backend</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Omnifact-Sonderfall — und warum Maskierung kein Souveränitätsersatz ist:</w:t>
      </w:r>
      <w:r>
        <w:rPr>
          <w:rFonts w:ascii="Arial" w:cs="Arial" w:eastAsia="Arial" w:hAnsi="Arial"/>
          <w:b w:val="false"/>
          <w:bCs w:val="false"/>
          <w:i w:val="false"/>
          <w:iCs w:val="false"/>
          <w:color w:val="000000"/>
          <w:sz w:val="19"/>
          <w:szCs w:val="19"/>
        </w:rPr>
        <w:t xml:space="preserve"> Omnifact bietet als einziger Broker in dieser Übersicht einen "Privacy Filter", der sensible Daten (Namen, Diagnosen, Versichertennummern) </w:t>
      </w:r>
      <w:r>
        <w:rPr>
          <w:rFonts w:ascii="Arial" w:cs="Arial" w:eastAsia="Arial" w:hAnsi="Arial"/>
          <w:b/>
          <w:bCs/>
          <w:i w:val="false"/>
          <w:iCs w:val="false"/>
          <w:color w:val="000000"/>
          <w:sz w:val="19"/>
          <w:szCs w:val="19"/>
        </w:rPr>
        <w:t xml:space="preserve">vor</w:t>
      </w:r>
      <w:r>
        <w:rPr>
          <w:rFonts w:ascii="Arial" w:cs="Arial" w:eastAsia="Arial" w:hAnsi="Arial"/>
          <w:b w:val="false"/>
          <w:bCs w:val="false"/>
          <w:i w:val="false"/>
          <w:iCs w:val="false"/>
          <w:color w:val="000000"/>
          <w:sz w:val="19"/>
          <w:szCs w:val="19"/>
        </w:rPr>
        <w:t xml:space="preserve"> der Übergabe an das KI-Modell maskiert. Die Rücktransformation erfolgt lokal. Das klingt nach Lösung — bei genauerer Analyse bleiben jedoch fünf strukturelle Probleme: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Kontextuelle Re-Identifizierbarkeit.</w:t>
      </w:r>
      <w:r>
        <w:rPr>
          <w:rFonts w:ascii="Arial" w:cs="Arial" w:eastAsia="Arial" w:hAnsi="Arial"/>
          <w:b w:val="false"/>
          <w:bCs w:val="false"/>
          <w:i w:val="false"/>
          <w:iCs w:val="false"/>
          <w:color w:val="000000"/>
          <w:sz w:val="19"/>
          <w:szCs w:val="19"/>
        </w:rPr>
        <w:t xml:space="preserve"> Medizinische Daten sind strukturell identifizierend. "43-jährige Patientin, bilaterale Mastektomie 2024, BRCA1-positiv, Olaparib-Therapie" ist auch ohne Namen einem überschaubaren Personenkreis zuordenbar — insbesondere in Kombination mit Zeitstempel, behandelnder Einrichtung oder Diagnosesequenz. Je seltener die Erkrankung, desto geringer die Anonymisierungswirkung.</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Maskierungslücken.</w:t>
      </w:r>
      <w:r>
        <w:rPr>
          <w:rFonts w:ascii="Arial" w:cs="Arial" w:eastAsia="Arial" w:hAnsi="Arial"/>
          <w:b w:val="false"/>
          <w:bCs w:val="false"/>
          <w:i w:val="false"/>
          <w:iCs w:val="false"/>
          <w:color w:val="000000"/>
          <w:sz w:val="19"/>
          <w:szCs w:val="19"/>
        </w:rPr>
        <w:t xml:space="preserve"> Kein regelbasierter oder KI-gestützter Filter erkennt alle sensiblen Informationen zuverlässig. Medizinischer Freitext enthält unstrukturierte Angaben, Abkürzungen, kontextabhängige Sensitivität ("Ehemann positiv getestet" ist ohne medizinischen Kontext harmlos, im HIV-Kontext hochsensibel). Wenn der Filter eine Information übersieht, gehen ungeschützte Patientendaten an das US-Modell.</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Funktionale Grenze.</w:t>
      </w:r>
      <w:r>
        <w:rPr>
          <w:rFonts w:ascii="Arial" w:cs="Arial" w:eastAsia="Arial" w:hAnsi="Arial"/>
          <w:b w:val="false"/>
          <w:bCs w:val="false"/>
          <w:i w:val="false"/>
          <w:iCs w:val="false"/>
          <w:color w:val="000000"/>
          <w:sz w:val="19"/>
          <w:szCs w:val="19"/>
        </w:rPr>
        <w:t xml:space="preserve"> Ein Arztbrief-Generator, der den klinischen Kontext benötigt, funktioniert mit maskierten Daten nur eingeschränkt oder gar nicht. "Patient [MASKIERT], Diagnose [MASKIERT], Therapie [MASKIERT]" kann kein Modell zu einem sinnvollen Arztbrief verarbeiten. Je aggressiver die Maskierung, desto nutzloser die KI-Ausgabe — je weniger maskiert wird, desto größer die Exposition.</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Wer führt die Maskierung durch?</w:t>
      </w:r>
      <w:r>
        <w:rPr>
          <w:rFonts w:ascii="Arial" w:cs="Arial" w:eastAsia="Arial" w:hAnsi="Arial"/>
          <w:b w:val="false"/>
          <w:bCs w:val="false"/>
          <w:i w:val="false"/>
          <w:iCs w:val="false"/>
          <w:color w:val="000000"/>
          <w:sz w:val="19"/>
          <w:szCs w:val="19"/>
        </w:rPr>
        <w:t xml:space="preserve"> Wenn der Privacy Filter selbst ein KI-Modell nutzt, um sensible Daten zu erkennen, sieht dieses Modell die vollständigen Rohdaten. Die Frage verschiebt sich nur: Auf welcher Infrastruktur und bei welchem Anbieter läuft der Maskierungsfilter?</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bCs/>
          <w:i w:val="false"/>
          <w:iCs w:val="false"/>
          <w:color w:val="000000"/>
          <w:sz w:val="19"/>
          <w:szCs w:val="19"/>
        </w:rPr>
        <w:t xml:space="preserve">Pseudonymisierung ≠ Anonymisierung.</w:t>
      </w:r>
      <w:r>
        <w:rPr>
          <w:rFonts w:ascii="Arial" w:cs="Arial" w:eastAsia="Arial" w:hAnsi="Arial"/>
          <w:b w:val="false"/>
          <w:bCs w:val="false"/>
          <w:i w:val="false"/>
          <w:iCs w:val="false"/>
          <w:color w:val="000000"/>
          <w:sz w:val="19"/>
          <w:szCs w:val="19"/>
        </w:rPr>
        <w:t xml:space="preserve"> Maskierte Daten sind pseudonymisiert, nicht anonymisiert im DSGVO-Sinne (Art. 4 Nr. 5). Pseudonymisierte Daten bleiben personenbezogene Daten — mit allen DSGVO-Pflichten inklusive Art. 48. Die CLOUD-Act-Exposition wird reduziert, nicht eliminiert.</w:t>
      </w:r>
    </w:p>
    <w:p>
      <w:pPr>
        <w:spacing w:after="40" w:before="20" w:line="276"/>
        <w:jc w:val="both"/>
      </w:pPr>
      <w:r>
        <w:rPr>
          <w:rFonts w:ascii="Arial" w:cs="Arial" w:eastAsia="Arial" w:hAnsi="Arial"/>
          <w:b w:val="false"/>
          <w:bCs w:val="false"/>
          <w:i w:val="false"/>
          <w:iCs w:val="false"/>
          <w:color w:val="000000"/>
          <w:sz w:val="19"/>
          <w:szCs w:val="19"/>
        </w:rPr>
        <w:t xml:space="preserve">Omnifacts Ansatz ist der beste unter den Brokern — aber "besser als die anderen" ist nicht dasselbe wie "ausreichend für Gesundheitsdaten". Für unkritische Workloads (Klasse 2–3) ist Maskierung ein pragmatischer Teilschutz. Für Klasse-1-Daten (ePA, Diagnosen, Medikation) bleibt das Urteil: Nur vollständig EU-gehostete Modelle ohne US-Anbieter-Beteiligung bieten strukturellen Schutz.</w:t>
      </w:r>
    </w:p>
    <w:p>
      <w:pPr>
        <w:spacing w:after="40" w:before="20" w:line="276"/>
        <w:jc w:val="both"/>
      </w:pPr>
      <w:r>
        <w:rPr>
          <w:rFonts w:ascii="Arial" w:cs="Arial" w:eastAsia="Arial" w:hAnsi="Arial"/>
          <w:b/>
          <w:bCs/>
          <w:i w:val="false"/>
          <w:iCs w:val="false"/>
          <w:color w:val="000000"/>
          <w:sz w:val="19"/>
          <w:szCs w:val="19"/>
        </w:rPr>
        <w:t xml:space="preserve">Kernaussage für den Gesundheitssektor:</w:t>
      </w:r>
      <w:r>
        <w:rPr>
          <w:rFonts w:ascii="Arial" w:cs="Arial" w:eastAsia="Arial" w:hAnsi="Arial"/>
          <w:b w:val="false"/>
          <w:bCs w:val="false"/>
          <w:i w:val="false"/>
          <w:iCs w:val="false"/>
          <w:color w:val="000000"/>
          <w:sz w:val="19"/>
          <w:szCs w:val="19"/>
        </w:rPr>
        <w:t xml:space="preserve"> "DSGVO-konformer KI-Broker" ist kein Souveränitätsnachweis. Ein Broker kann DSGVO-konform betrieben werden und gleichzeitig Patientendaten an CLOUD-Act-exponierte Infrastruktur weiterleiten. Für Gesundheitsdaten nach § 393 SGB V Klasse 1 (ePA, Diagnosedaten, Medikation) gilt: Nur KI-Modelle, die vollständig auf EU-Infrastruktur ohne US-Anbieter-Beteiligung laufen (Mistral self-hosted, Aleph Alpha auf STACKIT/IONOS, OpenEuroLLM auf EuroHPC), bieten strukturellen CLOUD-Act-Schutz. KI-Broker mit US-Backend-Modellen sind für unkritische Workloads (Klasse 2–3) akzeptabel — für Patientendaten nicht.</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Eintrittspfad 6: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§17.1 vertieft.</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spacing w:after="80" w:before="200"/>
      </w:pPr>
      <w:r>
        <w:rPr>
          <w:rFonts w:ascii="Arial" w:cs="Arial" w:eastAsia="Arial" w:hAnsi="Arial"/>
          <w:b/>
          <w:bCs/>
          <w:color w:val="2E75B6"/>
          <w:sz w:val="24"/>
          <w:szCs w:val="24"/>
        </w:rPr>
        <w:t xml:space="preserve">12.9 Sechs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Telematikinfrastruktur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betreibt TI-Kerndienste (Rezeptserver, IdP)</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auflösbar — TI ist gesetzlich verpflichtend; Restrisiko dokumentieren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Auch C5:2026 (April 2026, 168 Kriterien)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Veröffentlicht 7.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168 Kriterien (Nachfolger C5:2020). Technische Sicherheit modernisiert (Container, PQC, Confidential Computing). Souveränität weiterhin nicht geprüft — separate Kriterien angekündigt. (Analyse: → §5.3)</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ANSSI-BSI Souveränitätskriterien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Joint Statement 17. Nov. 2025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ANSSI und BSI entwickeln gemeinsam Souveränitätskriterien auf Basis des EU Cloud Sovereignty Framework. Drei-Stufen-Progressionsmodell. Veröffentlichung "in Kürze". (Analyse: → §5.3)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80" w:before="200"/>
      </w:pPr>
      <w:r>
        <w:rPr>
          <w:rFonts w:ascii="Arial" w:cs="Arial" w:eastAsia="Arial" w:hAnsi="Arial"/>
          <w:b/>
          <w:bCs/>
          <w:color w:val="2E75B6"/>
          <w:sz w:val="24"/>
          <w:szCs w:val="24"/>
        </w:rPr>
        <w:t xml:space="preserve">US-Sanktionen und digitale 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[162] HateAid: Pressemitteilung, 14. Januar 2026. US-Sanktionierung der HateAid-Geschäftsführerinnen Josephine Ballon und Anna-Lena von Hodenberg durch US-Außenminister Rubio.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[163] CNN: "US sanctions European officials and activists over online censorship concerns", 24. Dezember 2025. Berichterstattung zur HateAid-Sanktionierung, EU-Kommissar Breton, britische Anti-Desinformations-Organisationen.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[164] The Local: "US sanctions two German anti-hate speech activists", 24. Dezember 2025. Reaktion Bundesregierung; Bundestags-Vizepräsident Nouripour fordert Einbestellung des US-Geschäftsträgers.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[165] MIT Technology Review: "What happens when the US sanctions you — and you depend on US tech", 19. Januar 2026. Fallstudie ICC-Richter: Verlust des Zugangs zu Microsoft, Amazon, Gmail, Visa, Mastercard nach Sanktionierung.</w:t>
      </w:r>
    </w:p>
    <w:p>
      <w:pPr>
        <w:spacing w:after="80" w:before="200"/>
      </w:pPr>
      <w:r>
        <w:rPr>
          <w:rFonts w:ascii="Arial" w:cs="Arial" w:eastAsia="Arial" w:hAnsi="Arial"/>
          <w:b/>
          <w:bCs/>
          <w:color w:val="2E75B6"/>
          <w:sz w:val="24"/>
          <w:szCs w:val="24"/>
        </w:rPr>
        <w:t xml:space="preserve">GKV-/KV-Infrastruktur und Ausschreibungen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[166] govdigital.de: "BITMARCK tritt govdigital bei", Oktober 2024. BITMARCK govdigital-Beitritt; Kontext BITMARCK-all-in-ONE-Programm.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[167] BITMARCK: Kundentag 2025. Strategiepräsentation Cloud-Migration und SAP S/4HANA-Roadmap.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[168] kvno.de: "KV-IT GmbH", kvno.de/kv-it-gmbh, abgerufen April 2026. Gemeinsame IT-Gesellschaft KVWL/KVNO in Düsseldorf/Dortmund.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[169] TED: Ausschreibung 98706-2026, EU-Amtsblatt S 29/2026, 11. Februar 2026. KVNO-Ausschreibung X-KVNO-2025-0023: "Entwicklung und Betrieb einer KI-Plattform als PaaS-Lösung" auf Azure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[170] BMG: Pressemitteilung, Oktober 2025. FDZ Gesundheit beim BfArM: Betriebsstart, GKV-Abrechnungsdaten 2009–2023 von 73 Mio. Versicherten.</w:t>
      </w:r>
    </w:p>
    <w:p>
      <w:pPr>
        <w:spacing w:after="80" w:before="200"/>
      </w:pPr>
      <w:r>
        <w:rPr>
          <w:rFonts w:ascii="Arial" w:cs="Arial" w:eastAsia="Arial" w:hAnsi="Arial"/>
          <w:b/>
          <w:bCs/>
          <w:color w:val="2E75B6"/>
          <w:sz w:val="24"/>
          <w:szCs w:val="24"/>
        </w:rPr>
        <w:t xml:space="preserve">Weitere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[171] zaronews.world: Pressemitteilung HBSN AG, Juni 2018. MDK-Gemeinschaft: europaweites Vergabeverfahren, Konsortium HBSN/EWERK RZ/MOBIL ISC.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[172] Charité — Universitätsmedizin Berlin: Pressemitteilung, Dezember 2025. Vergabe KIS-Neubeschaffung an Epic Systems (Verona, WI); 200 Mio. EUR / 10 Jahre; Implementierung bis Ende 2029.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[173] Energieforen Leipzig / EWERK: Zertifizierungsseite, abgerufen April 2026. EWERK ISO 27001, ISO 20000, ISAE 3402 Typ II; BSI C5 Typ 2 in Vorbereitung. Ergänzend: Trusted Cloud, EWERK Digital Profil.</w:t>
      </w:r>
    </w:p>
    <w:p>
      <w:pPr>
        <w:spacing w:after="80" w:before="200"/>
      </w:pPr>
      <w:r>
        <w:rPr>
          <w:rFonts w:ascii="Arial" w:cs="Arial" w:eastAsia="Arial" w:hAnsi="Arial"/>
          <w:b/>
          <w:bCs/>
          <w:color w:val="2E75B6"/>
          <w:sz w:val="24"/>
          <w:szCs w:val="24"/>
        </w:rPr>
        <w:t xml:space="preserve">SecNumCloud, EUCS und Cloud-Souveränität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[174] Ifri: Digital Sovereignty — Review of Macron's Term and Debates in the 2022 Presidential Campaign, 2022. Pierre Bellanger,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(2014); Institut de la Souveraineté Numérique gegründet nach drei nationalen Gipfeltreffen 2014–2017: https://www.ifri.org/en/memos/digital-sovereignty-review-macrons-term-and-debates-2022-presidential-campaign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[176] numerique.gouv.fr: Doctrine "Cloud au centre" — Rundschreiben des Premierministers vom 5. Juli 2021, aktualisiert 31. Mai 2023. SecNumCloud-Qualifizierung verpflichtend für sensible Daten des Staates: https://www.numerique.gouv.fr/services/cloud/doctrine/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[179] The Register: US lobbyists pay for report critical of EU cloud regulation, März 2023. ITIF-Studie gegen EU-Souveränitätsanforderungen von US-Lobbyisten finanziert: https://www.theregister.com/2023/03/06/proposed_eu_cloud_regulation/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[181] European Business Review: France and Germany increasingly drift apart on digital sovereignty of cloud sector. Divergierende Positionen bei EUCS und Cloud-Souveränität: https://www.europeanbusinessreview.eu/page.asp?pid=6989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[186] BSI: C5:2026 — Kriterienkatalog für Cloud Computing (finale Version, veröffentlicht 7. April 2026). Souveränitätskriterien als separates Dokument angekündigt ("in Kürze"), nicht in C5:2026 integriert: https://www.bsi.bund.de/DE/Themen/Unternehmen-und-Organisationen/Informationen-und-Empfehlungen/Empfehlungen-nach-Angriffszielen/Cloud-Computing/Kriterienkatalog-C5/C5_2025/C5_2025_node.html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[188] BSI Pressemitteilung: "Sicheres Cloud-Computing: BSI veröffentlicht C5:2026",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20.0, April 2026. 189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20.0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18uxeihqyul72toehiv-" Type="http://schemas.openxmlformats.org/officeDocument/2006/relationships/hyperlink" Target="#1-das-kernproblem" TargetMode="External"/><Relationship Id="rId7cpljwutfhniwbvzefslp" Type="http://schemas.openxmlformats.org/officeDocument/2006/relationships/hyperlink" Target="#2-rechtliche-grundlagen" TargetMode="External"/><Relationship Id="rIdkecvfwe1pfk9czqtzbovi" Type="http://schemas.openxmlformats.org/officeDocument/2006/relationships/hyperlink" Target="#3-zugriffsebenen" TargetMode="External"/><Relationship Id="rIdj1xn4_2lurhympbv6-uga" Type="http://schemas.openxmlformats.org/officeDocument/2006/relationships/hyperlink" Target="#4-europaeischer-zugriff" TargetMode="External"/><Relationship Id="rIdsis-zc0mdcejxaswnbcgm" Type="http://schemas.openxmlformats.org/officeDocument/2006/relationships/hyperlink" Target="#5-anbieterbewertung" TargetMode="External"/><Relationship Id="rIdd1kh3q8olnwknxwfziixu" Type="http://schemas.openxmlformats.org/officeDocument/2006/relationships/hyperlink" Target="#6-operator-modell" TargetMode="External"/><Relationship Id="rIdqcm2m_1ibovhwa-ynqeqc" Type="http://schemas.openxmlformats.org/officeDocument/2006/relationships/hyperlink" Target="#7-hyperscaling" TargetMode="External"/><Relationship Id="rIdufhxrykehcswsphgshx2r" Type="http://schemas.openxmlformats.org/officeDocument/2006/relationships/hyperlink" Target="#8-eu-stack" TargetMode="External"/><Relationship Id="rIdq_vxmmoiuaswrvditjfvf" Type="http://schemas.openxmlformats.org/officeDocument/2006/relationships/hyperlink" Target="#9-abkommen" TargetMode="External"/><Relationship Id="rIdsraskjafkkxgh4v1f0ogx" Type="http://schemas.openxmlformats.org/officeDocument/2006/relationships/hyperlink" Target="#10-lobbyarbeit" TargetMode="External"/><Relationship Id="rId9s0ka_qlgo36brhjsn7un" Type="http://schemas.openxmlformats.org/officeDocument/2006/relationships/hyperlink" Target="#11-berater" TargetMode="External"/><Relationship Id="rIdkn5rysboxa9kc4r7o0kqu" Type="http://schemas.openxmlformats.org/officeDocument/2006/relationships/hyperlink" Target="#12-marktbeispiele" TargetMode="External"/><Relationship Id="rIdyrm6wj7c0hooezfx5ex5x" Type="http://schemas.openxmlformats.org/officeDocument/2006/relationships/hyperlink" Target="#13-verschluesselung" TargetMode="External"/><Relationship Id="rIdnf6aezmserpf5a5v_jiha" Type="http://schemas.openxmlformats.org/officeDocument/2006/relationships/hyperlink" Target="#14-bewertungsschema" TargetMode="External"/><Relationship Id="rId2gl63cqzi9oxuo_gz-4lm" Type="http://schemas.openxmlformats.org/officeDocument/2006/relationships/hyperlink" Target="#15-globaler-vergleich" TargetMode="External"/><Relationship Id="rIdg3d3vim8iy-ablpimamhy" Type="http://schemas.openxmlformats.org/officeDocument/2006/relationships/hyperlink" Target="#16-handlungsempfehlungen" TargetMode="External"/><Relationship Id="rIdmz4eoxcczxutwttb8nqrj" Type="http://schemas.openxmlformats.org/officeDocument/2006/relationships/hyperlink" Target="#17-ausblick" TargetMode="External"/><Relationship Id="rIdqosl1upucsvksxiejobwm" Type="http://schemas.openxmlformats.org/officeDocument/2006/relationships/hyperlink" Target="#18-quellen" TargetMode="External"/><Relationship Id="rIdtp4swvrvx-xth_lstu7sp"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2026-04-09T22:23:10.295Z</dcterms:created>
  <dcterms:modified xsi:type="dcterms:W3CDTF">2026-04-09T22:23:10.295Z</dcterms:modified>
</cp:coreProperties>
</file>

<file path=docProps/custom.xml><?xml version="1.0" encoding="utf-8"?>
<Properties xmlns="http://schemas.openxmlformats.org/officeDocument/2006/custom-properties" xmlns:vt="http://schemas.openxmlformats.org/officeDocument/2006/docPropsVTypes"/>
</file>