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17.0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31hrfqtqmefesplvohrsy">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s0vvyhndvlatqovmxulcm">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shcbdw6q8u1xktxcqicms">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tjlrr0uceebuwetrbpsbk">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4s9-miber_f_rsax3jqtm">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tjp4hvbrefurw9_acjkhs">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mhk_tu97fxfbuvcnybj7s">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wprgs1ke4vsxzhw_1ic63">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mrrdpg5zh4hsxg94wprhk">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7edbirg-hatx6klyyd85a">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jpz1pverutnmsh-5hmbcu">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w3bjoladrteu9lpgctgh-">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pwenporkmuz_1vhsrtb7i">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n1ehan5is5jq7rprb8fre">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fqi32eljatuvkecvj_f8g">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9ua6faabmc8nmee0co7bg">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fbmiwhas03litaw3dbktu">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h5peidbrrx-pta8trkkqr">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xg7ykxo9dxw3pydrfjxav">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Telematikinfrastruktur — ein unterschätztes Einfallstor</w:t>
      </w:r>
    </w:p>
    <w:p>
      <w:pPr>
        <w:spacing w:after="40" w:before="20" w:line="276"/>
        <w:jc w:val="both"/>
      </w:pPr>
      <w:r>
        <w:rPr>
          <w:rFonts w:ascii="Arial" w:cs="Arial" w:eastAsia="Arial" w:hAnsi="Arial"/>
          <w:b w:val="false"/>
          <w:bCs w:val="false"/>
          <w:i w:val="false"/>
          <w:iCs w:val="false"/>
          <w:color w:val="000000"/>
          <w:sz w:val="19"/>
          <w:szCs w:val="19"/>
        </w:rPr>
        <w:t xml:space="preserve">Auch die Telematikinfrastruktur (TI), das digitale Nervensystem des deutschen Gesundheitswesens, ist CLOUD-Act-exponiert: IBM betreibt den Rezeptserver und den Identity Provider, Arvato Systems (Bertelsmann) die Sicherheitsinfrastruktur. Die gematik als Regulierer ist souverän — der operative Betrieb ist es nicht. Die vollständige Analyse mit Risikomatrix und TI-2.0-Ausblick findet sich in §12.8 (Marktbeispiele) und §17.1 (Regulatorischer Ausblick).</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vier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KI-Dienste</w:t>
      </w:r>
      <w:r>
        <w:rPr>
          <w:rFonts w:ascii="Arial" w:cs="Arial" w:eastAsia="Arial" w:hAnsi="Arial"/>
          <w:b w:val="false"/>
          <w:bCs w:val="false"/>
          <w:i w:val="false"/>
          <w:iCs w:val="false"/>
          <w:color w:val="000000"/>
          <w:sz w:val="19"/>
          <w:szCs w:val="19"/>
        </w:rPr>
        <w:t xml:space="preserve"> (Azure OpenAI, Google Gemini, AWS Bedrock) — verarbeiten Patientendaten zwangsläufig im Klartext; clientseitige Verschlüsselung unmöglich; cloudbasierte Integrationsplattformen (Zapier, Power Automate) als versteckte Datenflüsse. Ausführlich analysiert in §7.5.</w:t>
      </w:r>
    </w:p>
    <w:p>
      <w:pPr>
        <w:spacing w:after="40" w:before="20" w:line="276"/>
        <w:jc w:val="both"/>
      </w:pPr>
      <w:r>
        <w:rPr>
          <w:rFonts w:ascii="Arial" w:cs="Arial" w:eastAsia="Arial" w:hAnsi="Arial"/>
          <w:b w:val="false"/>
          <w:bCs w:val="false"/>
          <w:i w:val="false"/>
          <w:iCs w:val="false"/>
          <w:color w:val="000000"/>
          <w:sz w:val="19"/>
          <w:szCs w:val="19"/>
        </w:rPr>
        <w:t xml:space="preserve">Die ersten drei werden in der Praxis kaum als CLOUD-Act-Risiko diskutiert — obwohl sie tägliche Kernsysteme für Gesundheitsdaten betreiben. Der vierte wächst am schnellsten.</w:t>
      </w:r>
    </w:p>
    <w:p>
      <w:pPr>
        <w:spacing w:after="80" w:before="200"/>
      </w:pPr>
      <w:r>
        <w:rPr>
          <w:rFonts w:ascii="Arial" w:cs="Arial" w:eastAsia="Arial" w:hAnsi="Arial"/>
          <w:b/>
          <w:bCs/>
          <w:color w:val="2E75B6"/>
          <w:sz w:val="24"/>
          <w:szCs w:val="24"/>
        </w:rPr>
        <w:t xml:space="preserve">7.5 KI-Anbieter und Integrationsplattformen — der blinde Fleck bei Klartextverarbeitung</w:t>
      </w:r>
    </w:p>
    <w:p>
      <w:pPr>
        <w:spacing w:after="40" w:before="20" w:line="276"/>
        <w:jc w:val="both"/>
      </w:pPr>
      <w:r>
        <w:rPr>
          <w:rFonts w:ascii="Arial" w:cs="Arial" w:eastAsia="Arial" w:hAnsi="Arial"/>
          <w:b w:val="false"/>
          <w:bCs w:val="false"/>
          <w:i w:val="false"/>
          <w:iCs w:val="false"/>
          <w:color w:val="000000"/>
          <w:sz w:val="19"/>
          <w:szCs w:val="19"/>
        </w:rPr>
        <w:t xml:space="preserve">Die Tabelle in §7.3 C zeigt die Anbieter-Landschaft für KI-Services. Dieser Abschnitt behandelt ein spezifischeres Problem: </w:t>
      </w:r>
      <w:r>
        <w:rPr>
          <w:rFonts w:ascii="Arial" w:cs="Arial" w:eastAsia="Arial" w:hAnsi="Arial"/>
          <w:b/>
          <w:bCs/>
          <w:i w:val="false"/>
          <w:iCs w:val="false"/>
          <w:color w:val="000000"/>
          <w:sz w:val="19"/>
          <w:szCs w:val="19"/>
        </w:rPr>
        <w:t xml:space="preserve">KI-Dienste verarbeiten Eingabedaten zwangsläufig im Klartext.</w:t>
      </w:r>
      <w:r>
        <w:rPr>
          <w:rFonts w:ascii="Arial" w:cs="Arial" w:eastAsia="Arial" w:hAnsi="Arial"/>
          <w:b w:val="false"/>
          <w:bCs w:val="false"/>
          <w:i w:val="false"/>
          <w:iCs w:val="false"/>
          <w:color w:val="000000"/>
          <w:sz w:val="19"/>
          <w:szCs w:val="19"/>
        </w:rPr>
        <w:t xml:space="preserve"> 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p>
      <w:pPr>
        <w:spacing w:after="60" w:before="160"/>
      </w:pPr>
      <w:r>
        <w:rPr>
          <w:rFonts w:ascii="Arial" w:cs="Arial" w:eastAsia="Arial" w:hAnsi="Arial"/>
          <w:b/>
          <w:bCs/>
          <w:color w:val="333333"/>
          <w:sz w:val="21"/>
          <w:szCs w:val="21"/>
        </w:rPr>
        <w:t xml:space="preserve">Gesundheitsspezifische KI-Anwendungsfälle und ihre CLOUD-Act-Exposition</w:t>
      </w:r>
    </w:p>
    <w:p>
      <w:pPr>
        <w:spacing w:after="40" w:before="20" w:line="276"/>
        <w:jc w:val="both"/>
      </w:pPr>
      <w:r>
        <w:rPr>
          <w:rFonts w:ascii="Arial" w:cs="Arial" w:eastAsia="Arial" w:hAnsi="Arial"/>
          <w:b w:val="false"/>
          <w:bCs w:val="false"/>
          <w:i w:val="false"/>
          <w:iCs w:val="false"/>
          <w:color w:val="000000"/>
          <w:sz w:val="19"/>
          <w:szCs w:val="19"/>
        </w:rPr>
        <w:t xml:space="preserve">Im Gesundheitswesen entstehen gerade vier KI-Anwendungsmuster, die alle Klartextverarbeitung </w:t>
      </w:r>
      <w:r>
        <w:rPr>
          <w:rFonts w:ascii="Arial" w:cs="Arial" w:eastAsia="Arial" w:hAnsi="Arial"/>
          <w:b/>
          <w:bCs/>
          <w:i w:val="false"/>
          <w:iCs w:val="false"/>
          <w:color w:val="000000"/>
          <w:sz w:val="19"/>
          <w:szCs w:val="19"/>
        </w:rPr>
        <w:t xml:space="preserve">sensibler Patientendaten</w:t>
      </w:r>
      <w:r>
        <w:rPr>
          <w:rFonts w:ascii="Arial" w:cs="Arial" w:eastAsia="Arial" w:hAnsi="Arial"/>
          <w:b w:val="false"/>
          <w:bCs w:val="false"/>
          <w:i w:val="false"/>
          <w:iCs w:val="false"/>
          <w:color w:val="000000"/>
          <w:sz w:val="19"/>
          <w:szCs w:val="19"/>
        </w:rPr>
        <w:t xml:space="preserve"> erfordern:</w:t>
      </w:r>
    </w:p>
    <w:p>
      <w:pPr>
        <w:spacing w:after="40" w:before="20" w:line="276"/>
        <w:jc w:val="both"/>
      </w:pPr>
      <w:r>
        <w:rPr>
          <w:rFonts w:ascii="Arial" w:cs="Arial" w:eastAsia="Arial" w:hAnsi="Arial"/>
          <w:b/>
          <w:bCs/>
          <w:i w:val="false"/>
          <w:iCs w:val="false"/>
          <w:color w:val="000000"/>
          <w:sz w:val="19"/>
          <w:szCs w:val="19"/>
        </w:rPr>
        <w:t xml:space="preserve">1. Transkription und Zusammenfassung von Arzt-Patienten-Gesprächen.</w:t>
      </w:r>
      <w:r>
        <w:rPr>
          <w:rFonts w:ascii="Arial" w:cs="Arial" w:eastAsia="Arial" w:hAnsi="Arial"/>
          <w:b w:val="false"/>
          <w:bCs w:val="false"/>
          <w:i w:val="false"/>
          <w:iCs w:val="false"/>
          <w:color w:val="000000"/>
          <w:sz w:val="19"/>
          <w:szCs w:val="19"/>
        </w:rPr>
        <w:t xml:space="preserve"> 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spacing w:after="40" w:before="20" w:line="276"/>
        <w:jc w:val="both"/>
      </w:pPr>
      <w:r>
        <w:rPr>
          <w:rFonts w:ascii="Arial" w:cs="Arial" w:eastAsia="Arial" w:hAnsi="Arial"/>
          <w:b/>
          <w:bCs/>
          <w:i w:val="false"/>
          <w:iCs w:val="false"/>
          <w:color w:val="000000"/>
          <w:sz w:val="19"/>
          <w:szCs w:val="19"/>
        </w:rPr>
        <w:t xml:space="preserve">2. Automatisierte Arztbriefe.</w:t>
      </w:r>
      <w:r>
        <w:rPr>
          <w:rFonts w:ascii="Arial" w:cs="Arial" w:eastAsia="Arial" w:hAnsi="Arial"/>
          <w:b w:val="false"/>
          <w:bCs w:val="false"/>
          <w:i w:val="false"/>
          <w:iCs w:val="false"/>
          <w:color w:val="000000"/>
          <w:sz w:val="19"/>
          <w:szCs w:val="19"/>
        </w:rPr>
        <w:t xml:space="preserve"> 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spacing w:after="40" w:before="20" w:line="276"/>
        <w:jc w:val="both"/>
      </w:pPr>
      <w:r>
        <w:rPr>
          <w:rFonts w:ascii="Arial" w:cs="Arial" w:eastAsia="Arial" w:hAnsi="Arial"/>
          <w:b/>
          <w:bCs/>
          <w:i w:val="false"/>
          <w:iCs w:val="false"/>
          <w:color w:val="000000"/>
          <w:sz w:val="19"/>
          <w:szCs w:val="19"/>
        </w:rPr>
        <w:t xml:space="preserve">3. E-Mail- und Dokumentenzusammenfassung.</w:t>
      </w:r>
      <w:r>
        <w:rPr>
          <w:rFonts w:ascii="Arial" w:cs="Arial" w:eastAsia="Arial" w:hAnsi="Arial"/>
          <w:b w:val="false"/>
          <w:bCs w:val="false"/>
          <w:i w:val="false"/>
          <w:iCs w:val="false"/>
          <w:color w:val="000000"/>
          <w:sz w:val="19"/>
          <w:szCs w:val="19"/>
        </w:rPr>
        <w:t xml:space="preserve"> 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spacing w:after="40" w:before="20" w:line="276"/>
        <w:jc w:val="both"/>
      </w:pPr>
      <w:r>
        <w:rPr>
          <w:rFonts w:ascii="Arial" w:cs="Arial" w:eastAsia="Arial" w:hAnsi="Arial"/>
          <w:b/>
          <w:bCs/>
          <w:i w:val="false"/>
          <w:iCs w:val="false"/>
          <w:color w:val="000000"/>
          <w:sz w:val="19"/>
          <w:szCs w:val="19"/>
        </w:rPr>
        <w:t xml:space="preserve">4. KI-gestützte Kodierung und Abrechnung.</w:t>
      </w:r>
      <w:r>
        <w:rPr>
          <w:rFonts w:ascii="Arial" w:cs="Arial" w:eastAsia="Arial" w:hAnsi="Arial"/>
          <w:b w:val="false"/>
          <w:bCs w:val="false"/>
          <w:i w:val="false"/>
          <w:iCs w:val="false"/>
          <w:color w:val="000000"/>
          <w:sz w:val="19"/>
          <w:szCs w:val="19"/>
        </w:rPr>
        <w:t xml:space="preserve"> 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p>
      <w:pPr>
        <w:spacing w:after="60" w:before="160"/>
      </w:pPr>
      <w:r>
        <w:rPr>
          <w:rFonts w:ascii="Arial" w:cs="Arial" w:eastAsia="Arial" w:hAnsi="Arial"/>
          <w:b/>
          <w:bCs/>
          <w:color w:val="333333"/>
          <w:sz w:val="21"/>
          <w:szCs w:val="21"/>
        </w:rPr>
        <w:t xml:space="preserve">CLOUD-Act-Risikobewertung der großen KI-Anbieter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Gesundheitseinsatz</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OpenAI (GPT-4o, o3)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(Microsoft-Partnerschaft)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(MSFT)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US-Infrastruktur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Service in KVNO-KI-Plattform (TED 98706-2026)</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GOOGL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Ambient Clinical Intelligence in Pilotprojekten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Anthropic (Claude)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(Amazon-Beteiligung)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GCP</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Enterprise-API für Dokumentenanalyse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M365-Integration in Kliniken/GKVen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Nuance DAX (Microsoft)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 (Übernahme 2022, 18,8 Mrd. USD)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Marktführer klinische Sprachdokumentation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DeepSeek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(Hangzhou)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Open-Source-Modelle lokal deploybar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 SAS)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Self-hosted oder API; bevorzugte EU-Option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Aleph Alpha (Luminous)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(Heidelberg)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 STACKIT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BW-Verwaltung; Gesundheitssektor noch begrenzt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Kimi (Moonshot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(Peking)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Kimi 2.5 — leistungsfähig, aber chinesische 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OpenEuroLLM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EU-Konsortium (13 Partner)</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EuroHPC (LUMI, Leonardo)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Forschung; produktiver Einsatz ab 2026</w:t>
            </w:r>
          </w:p>
        </w:tc>
      </w:tr>
    </w:tbl>
    <w:p>
      <w:pPr>
        <w:spacing w:after="40" w:before="40"/>
      </w:pPr>
    </w:p>
    <w:p>
      <w:pPr>
        <w:spacing w:after="60" w:before="160"/>
      </w:pPr>
      <w:r>
        <w:rPr>
          <w:rFonts w:ascii="Arial" w:cs="Arial" w:eastAsia="Arial" w:hAnsi="Arial"/>
          <w:b/>
          <w:bCs/>
          <w:color w:val="333333"/>
          <w:sz w:val="21"/>
          <w:szCs w:val="21"/>
        </w:rPr>
        <w:t xml:space="preserve">Integrationsplattformen — der versteckte Datenfluss</w:t>
      </w:r>
    </w:p>
    <w:p>
      <w:pPr>
        <w:spacing w:after="40" w:before="20" w:line="276"/>
        <w:jc w:val="both"/>
      </w:pPr>
      <w:r>
        <w:rPr>
          <w:rFonts w:ascii="Arial" w:cs="Arial" w:eastAsia="Arial" w:hAnsi="Arial"/>
          <w:b w:val="false"/>
          <w:bCs w:val="false"/>
          <w:i w:val="false"/>
          <w:iCs w:val="false"/>
          <w:color w:val="000000"/>
          <w:sz w:val="19"/>
          <w:szCs w:val="19"/>
        </w:rPr>
        <w:t xml:space="preserve">Neben den KI-Anbietern selbst entsteht ein zweites, oft übersehenes Risiko durch </w:t>
      </w:r>
      <w:r>
        <w:rPr>
          <w:rFonts w:ascii="Arial" w:cs="Arial" w:eastAsia="Arial" w:hAnsi="Arial"/>
          <w:b/>
          <w:bCs/>
          <w:i w:val="false"/>
          <w:iCs w:val="false"/>
          <w:color w:val="000000"/>
          <w:sz w:val="19"/>
          <w:szCs w:val="19"/>
        </w:rPr>
        <w:t xml:space="preserve">cloudbasierte Integrationsplattformen</w:t>
      </w:r>
      <w:r>
        <w:rPr>
          <w:rFonts w:ascii="Arial" w:cs="Arial" w:eastAsia="Arial" w:hAnsi="Arial"/>
          <w:b w:val="false"/>
          <w:bCs w:val="false"/>
          <w:i w:val="false"/>
          <w:iCs w:val="false"/>
          <w:color w:val="000000"/>
          <w:sz w:val="19"/>
          <w:szCs w:val="19"/>
        </w:rPr>
        <w:t xml:space="preserv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Typischer Einsatz im Gesundheitswesen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Zapier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Automatisierung: "Wenn neue E-Mail mit Befund, dann an KI-Zusammenfassung"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Make (Integromat)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CZ (Prag)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Workflow-Automatisierung, EU-Alternative zu Zapier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Power Automate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M365-Workflows: Dokumentenfreigabe, Benachrichtigungen mit Patientendaten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n8n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(self-hosted möglich)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Open-Source-Automatisierung; self-hosted auf EU-Infrastruktur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IFTTT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Consumer-Automatisierung, vereinzelt in Praxis-IT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Problem: Integrationsplattformen sind </w:t>
      </w:r>
      <w:r>
        <w:rPr>
          <w:rFonts w:ascii="Arial" w:cs="Arial" w:eastAsia="Arial" w:hAnsi="Arial"/>
          <w:b/>
          <w:bCs/>
          <w:i w:val="false"/>
          <w:iCs w:val="false"/>
          <w:color w:val="000000"/>
          <w:sz w:val="19"/>
          <w:szCs w:val="19"/>
        </w:rPr>
        <w:t xml:space="preserve">Datendrehscheiben</w:t>
      </w:r>
      <w:r>
        <w:rPr>
          <w:rFonts w:ascii="Arial" w:cs="Arial" w:eastAsia="Arial" w:hAnsi="Arial"/>
          <w:b w:val="false"/>
          <w:bCs w:val="false"/>
          <w:i w:val="false"/>
          <w:iCs w:val="false"/>
          <w:color w:val="000000"/>
          <w:sz w:val="19"/>
          <w:szCs w:val="19"/>
        </w:rPr>
        <w:t xml:space="preserve">. Sie lesen, transformieren und weiterleiten Daten zwischen Systemen — häufig einschließlich Patientendaten, Termindetails, Befunde, Abrechnungsinformationen. Eine Zapier-Automatisierung, die E-Mails mit Befunden an eine GPT-Zusammenfassung weiterleitet, erzeugt eine </w:t>
      </w:r>
      <w:r>
        <w:rPr>
          <w:rFonts w:ascii="Arial" w:cs="Arial" w:eastAsia="Arial" w:hAnsi="Arial"/>
          <w:b/>
          <w:bCs/>
          <w:i w:val="false"/>
          <w:iCs w:val="false"/>
          <w:color w:val="000000"/>
          <w:sz w:val="19"/>
          <w:szCs w:val="19"/>
        </w:rPr>
        <w:t xml:space="preserve">doppelte CLOUD-Act-Exposition</w:t>
      </w:r>
      <w:r>
        <w:rPr>
          <w:rFonts w:ascii="Arial" w:cs="Arial" w:eastAsia="Arial" w:hAnsi="Arial"/>
          <w:b w:val="false"/>
          <w:bCs w:val="false"/>
          <w:i w:val="false"/>
          <w:iCs w:val="false"/>
          <w:color w:val="000000"/>
          <w:sz w:val="19"/>
          <w:szCs w:val="19"/>
        </w:rPr>
        <w:t xml:space="preserve">: einmal bei Zapier (US), einmal bei OpenAI (US). n8n (self-hosted auf EU-Infrastruktur) + Mistral (self-hosted oder Scaleway) ist die souveräne Alternative für denselben Workflow.</w:t>
      </w:r>
    </w:p>
    <w:p>
      <w:pPr>
        <w:spacing w:after="60" w:before="160"/>
      </w:pPr>
      <w:r>
        <w:rPr>
          <w:rFonts w:ascii="Arial" w:cs="Arial" w:eastAsia="Arial" w:hAnsi="Arial"/>
          <w:b/>
          <w:bCs/>
          <w:color w:val="333333"/>
          <w:sz w:val="21"/>
          <w:szCs w:val="21"/>
        </w:rPr>
        <w:t xml:space="preserve">Kernaussage — warum KI der vierte blinde Fleck ist</w:t>
      </w:r>
    </w:p>
    <w:p>
      <w:pPr>
        <w:spacing w:after="40" w:before="20" w:line="276"/>
        <w:jc w:val="both"/>
      </w:pPr>
      <w:r>
        <w:rPr>
          <w:rFonts w:ascii="Arial" w:cs="Arial" w:eastAsia="Arial" w:hAnsi="Arial"/>
          <w:b w:val="false"/>
          <w:bCs w:val="false"/>
          <w:i w:val="false"/>
          <w:iCs w:val="false"/>
          <w:color w:val="000000"/>
          <w:sz w:val="19"/>
          <w:szCs w:val="19"/>
        </w:rPr>
        <w:t xml:space="preserve">Die ersten drei blinden Flecken (Snowflake, Oracle Health, Qlik Cloud — §7.4) betreffen klassische Datenhaltung und Analytics. Der vierte blinde Fleck ist gravierender: </w:t>
      </w:r>
      <w:r>
        <w:rPr>
          <w:rFonts w:ascii="Arial" w:cs="Arial" w:eastAsia="Arial" w:hAnsi="Arial"/>
          <w:b/>
          <w:bCs/>
          <w:i w:val="false"/>
          <w:iCs w:val="false"/>
          <w:color w:val="000000"/>
          <w:sz w:val="19"/>
          <w:szCs w:val="19"/>
        </w:rPr>
        <w:t xml:space="preserve">KI-Dienste verarbeiten die sensibelsten Daten im Gesundheitswesen — Arzt-Patienten-Gespräche, Diagnosen, Behandlungsverläufe — zwangsläufig im Klartext.</w:t>
      </w:r>
      <w:r>
        <w:rPr>
          <w:rFonts w:ascii="Arial" w:cs="Arial" w:eastAsia="Arial" w:hAnsi="Arial"/>
          <w:b w:val="false"/>
          <w:bCs w:val="false"/>
          <w:i w:val="false"/>
          <w:iCs w:val="false"/>
          <w:color w:val="000000"/>
          <w:sz w:val="19"/>
          <w:szCs w:val="19"/>
        </w:rPr>
        <w:t xml:space="preserve"> 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spacing w:after="40" w:before="20" w:line="276"/>
        <w:jc w:val="both"/>
      </w:pPr>
      <w:r>
        <w:rPr>
          <w:rFonts w:ascii="Arial" w:cs="Arial" w:eastAsia="Arial" w:hAnsi="Arial"/>
          <w:b/>
          <w:bCs/>
          <w:i w:val="false"/>
          <w:iCs w:val="false"/>
          <w:color w:val="000000"/>
          <w:sz w:val="19"/>
          <w:szCs w:val="19"/>
        </w:rPr>
        <w:t xml:space="preserve">Die souveräne Alternative existiert:</w:t>
      </w:r>
      <w:r>
        <w:rPr>
          <w:rFonts w:ascii="Arial" w:cs="Arial" w:eastAsia="Arial" w:hAnsi="Arial"/>
          <w:b w:val="false"/>
          <w:bCs w:val="false"/>
          <w:i w:val="false"/>
          <w:iCs w:val="false"/>
          <w:color w:val="000000"/>
          <w:sz w:val="19"/>
          <w:szCs w:val="19"/>
        </w:rPr>
        <w:t xml:space="preserve"> 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p>
      <w:pPr>
        <w:spacing w:after="60" w:before="160"/>
      </w:pPr>
      <w:r>
        <w:rPr>
          <w:rFonts w:ascii="Arial" w:cs="Arial" w:eastAsia="Arial" w:hAnsi="Arial"/>
          <w:b/>
          <w:bCs/>
          <w:color w:val="333333"/>
          <w:sz w:val="21"/>
          <w:szCs w:val="21"/>
        </w:rPr>
        <w:t xml:space="preserve">Vibecoding-Plattformen — KI-Entwicklung mit doppelter Bindung</w:t>
      </w:r>
    </w:p>
    <w:p>
      <w:pPr>
        <w:spacing w:after="40" w:before="20" w:line="276"/>
        <w:jc w:val="both"/>
      </w:pPr>
      <w:r>
        <w:rPr>
          <w:rFonts w:ascii="Arial" w:cs="Arial" w:eastAsia="Arial" w:hAnsi="Arial"/>
          <w:b w:val="false"/>
          <w:bCs w:val="false"/>
          <w:i w:val="false"/>
          <w:iCs w:val="false"/>
          <w:color w:val="000000"/>
          <w:sz w:val="19"/>
          <w:szCs w:val="19"/>
        </w:rPr>
        <w:t xml:space="preserve">Ein wachsender Trend im Gesundheitswesen: Fachabteilungen und IT-Teams nutzen KI-gestützte Entwicklungsplattformen ("Vibecoding"), um interne Tools, Dashboards oder Patientenportale per natürlichsprachigem Prompt zu erstellen — ohne klassische Softwareentwicklung. Das CLOUD-Act-Problem ist hier </w:t>
      </w:r>
      <w:r>
        <w:rPr>
          <w:rFonts w:ascii="Arial" w:cs="Arial" w:eastAsia="Arial" w:hAnsi="Arial"/>
          <w:b/>
          <w:bCs/>
          <w:i w:val="false"/>
          <w:iCs w:val="false"/>
          <w:color w:val="000000"/>
          <w:sz w:val="19"/>
          <w:szCs w:val="19"/>
        </w:rPr>
        <w:t xml:space="preserve">doppelt</w:t>
      </w:r>
      <w:r>
        <w:rPr>
          <w:rFonts w:ascii="Arial" w:cs="Arial" w:eastAsia="Arial" w:hAnsi="Arial"/>
          <w:b w:val="false"/>
          <w:bCs w:val="false"/>
          <w:i w:val="false"/>
          <w:iCs w:val="false"/>
          <w:color w:val="000000"/>
          <w:sz w:val="19"/>
          <w:szCs w:val="19"/>
        </w:rPr>
        <w:t xml:space="preserve">:</w:t>
      </w:r>
    </w:p>
    <w:p>
      <w:pPr>
        <w:spacing w:after="40" w:before="20" w:line="276"/>
        <w:jc w:val="both"/>
      </w:pPr>
      <w:r>
        <w:rPr>
          <w:rFonts w:ascii="Arial" w:cs="Arial" w:eastAsia="Arial" w:hAnsi="Arial"/>
          <w:b/>
          <w:bCs/>
          <w:i w:val="false"/>
          <w:iCs w:val="false"/>
          <w:color w:val="000000"/>
          <w:sz w:val="19"/>
          <w:szCs w:val="19"/>
        </w:rPr>
        <w:t xml:space="preserve">Erstens — die KI im Hintergrund.</w:t>
      </w:r>
      <w:r>
        <w:rPr>
          <w:rFonts w:ascii="Arial" w:cs="Arial" w:eastAsia="Arial" w:hAnsi="Arial"/>
          <w:b w:val="false"/>
          <w:bCs w:val="false"/>
          <w:i w:val="false"/>
          <w:iCs w:val="false"/>
          <w:color w:val="000000"/>
          <w:sz w:val="19"/>
          <w:szCs w:val="19"/>
        </w:rPr>
        <w:t xml:space="preserve"> Vibecoding-Plattformen nutzen große Sprachmodelle (typischerweise GPT-4o, Claude oder Gemini) als Code-Generatoren. Jeder Prompt — "Erstelle eine Anwendung, die Patientendaten aus unserem KIS lädt und eine Übersicht nach ICD-10-Diagnosen erstellt" —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spacing w:after="40" w:before="20" w:line="276"/>
        <w:jc w:val="both"/>
      </w:pPr>
      <w:r>
        <w:rPr>
          <w:rFonts w:ascii="Arial" w:cs="Arial" w:eastAsia="Arial" w:hAnsi="Arial"/>
          <w:b/>
          <w:bCs/>
          <w:i w:val="false"/>
          <w:iCs w:val="false"/>
          <w:color w:val="000000"/>
          <w:sz w:val="19"/>
          <w:szCs w:val="19"/>
        </w:rPr>
        <w:t xml:space="preserve">Zweitens — die Plattform als Laufzeitumgebung.</w:t>
      </w:r>
      <w:r>
        <w:rPr>
          <w:rFonts w:ascii="Arial" w:cs="Arial" w:eastAsia="Arial" w:hAnsi="Arial"/>
          <w:b w:val="false"/>
          <w:bCs w:val="false"/>
          <w:i w:val="false"/>
          <w:iCs w:val="false"/>
          <w:color w:val="000000"/>
          <w:sz w:val="19"/>
          <w:szCs w:val="19"/>
        </w:rPr>
        <w:t xml:space="preserve"> Der entscheidende Unterschied zu klassischen KI-Assistenten: Vibecoding-Plattformen sind darauf ausgelegt, dass die erstellten Anwendungen </w:t>
      </w:r>
      <w:r>
        <w:rPr>
          <w:rFonts w:ascii="Arial" w:cs="Arial" w:eastAsia="Arial" w:hAnsi="Arial"/>
          <w:b/>
          <w:bCs/>
          <w:i w:val="false"/>
          <w:iCs w:val="false"/>
          <w:color w:val="000000"/>
          <w:sz w:val="19"/>
          <w:szCs w:val="19"/>
        </w:rPr>
        <w:t xml:space="preserve">auf der Plattform gehostet bleiben</w:t>
      </w:r>
      <w:r>
        <w:rPr>
          <w:rFonts w:ascii="Arial" w:cs="Arial" w:eastAsia="Arial" w:hAnsi="Arial"/>
          <w:b w:val="false"/>
          <w:bCs w:val="false"/>
          <w:i w:val="false"/>
          <w:iCs w:val="false"/>
          <w:color w:val="000000"/>
          <w:sz w:val="19"/>
          <w:szCs w:val="19"/>
        </w:rPr>
        <w:t xml:space="preserve"> —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Lovable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Plattform-hosted (AWS/Vercel)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EU-Eigentümer, aber US-KI + US-Hosting-Infrastruktur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Bolt.new (StackBlitz)</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StackBlitz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US-KI, US-Hosting</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Replit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 GPT-4o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Replit Cloud (GCP,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Google 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v0 (Vercel)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Vercel Edge (AWS,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US-Infrastruktur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Cursor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IDE, aber Prompts an US-KI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Code bleibt lokal, Prompts an US-Cloud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GitHub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(Microsoft/GitHub)</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Microsoft-Tochter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Windsurf (Codeium)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(Mountain View)</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Modelle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Muster:</w:t>
      </w:r>
      <w:r>
        <w:rPr>
          <w:rFonts w:ascii="Arial" w:cs="Arial" w:eastAsia="Arial" w:hAnsi="Arial"/>
          <w:b w:val="false"/>
          <w:bCs w:val="false"/>
          <w:i w:val="false"/>
          <w:iCs w:val="false"/>
          <w:color w:val="000000"/>
          <w:sz w:val="19"/>
          <w:szCs w:val="19"/>
        </w:rPr>
        <w:t xml:space="preserve"> 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spacing w:after="40" w:before="20" w:line="276"/>
        <w:jc w:val="both"/>
      </w:pPr>
      <w:r>
        <w:rPr>
          <w:rFonts w:ascii="Arial" w:cs="Arial" w:eastAsia="Arial" w:hAnsi="Arial"/>
          <w:b/>
          <w:bCs/>
          <w:i w:val="false"/>
          <w:iCs w:val="false"/>
          <w:color w:val="000000"/>
          <w:sz w:val="19"/>
          <w:szCs w:val="19"/>
        </w:rPr>
        <w:t xml:space="preserve">Warum das im Gesundheitswesen relevant ist:</w:t>
      </w:r>
      <w:r>
        <w:rPr>
          <w:rFonts w:ascii="Arial" w:cs="Arial" w:eastAsia="Arial" w:hAnsi="Arial"/>
          <w:b w:val="false"/>
          <w:bCs w:val="false"/>
          <w:i w:val="false"/>
          <w:iCs w:val="false"/>
          <w:color w:val="000000"/>
          <w:sz w:val="19"/>
          <w:szCs w:val="19"/>
        </w:rPr>
        <w:t xml:space="preserve"> 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spacing w:after="40" w:before="20" w:line="276"/>
        <w:jc w:val="both"/>
      </w:pPr>
      <w:r>
        <w:rPr>
          <w:rFonts w:ascii="Arial" w:cs="Arial" w:eastAsia="Arial" w:hAnsi="Arial"/>
          <w:b/>
          <w:bCs/>
          <w:i w:val="false"/>
          <w:iCs w:val="false"/>
          <w:color w:val="000000"/>
          <w:sz w:val="19"/>
          <w:szCs w:val="19"/>
        </w:rPr>
        <w:t xml:space="preserve">Base44 (Wix):</w:t>
      </w:r>
      <w:r>
        <w:rPr>
          <w:rFonts w:ascii="Arial" w:cs="Arial" w:eastAsia="Arial" w:hAnsi="Arial"/>
          <w:b w:val="false"/>
          <w:bCs w:val="false"/>
          <w:i w:val="false"/>
          <w:iCs w:val="false"/>
          <w:color w:val="000000"/>
          <w:sz w:val="19"/>
          <w:szCs w:val="19"/>
        </w:rPr>
        <w:t xml:space="preserve"> 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spacing w:after="40" w:before="20" w:line="276"/>
        <w:jc w:val="both"/>
      </w:pPr>
      <w:r>
        <w:rPr>
          <w:rFonts w:ascii="Arial" w:cs="Arial" w:eastAsia="Arial" w:hAnsi="Arial"/>
          <w:b/>
          <w:bCs/>
          <w:i w:val="false"/>
          <w:iCs w:val="false"/>
          <w:color w:val="000000"/>
          <w:sz w:val="19"/>
          <w:szCs w:val="19"/>
        </w:rPr>
        <w:t xml:space="preserve">Die souveräne Alternative:</w:t>
      </w:r>
      <w:r>
        <w:rPr>
          <w:rFonts w:ascii="Arial" w:cs="Arial" w:eastAsia="Arial" w:hAnsi="Arial"/>
          <w:b w:val="false"/>
          <w:bCs w:val="false"/>
          <w:i w:val="false"/>
          <w:iCs w:val="false"/>
          <w:color w:val="000000"/>
          <w:sz w:val="19"/>
          <w:szCs w:val="19"/>
        </w:rPr>
        <w:t xml:space="preserve"> 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p>
      <w:pPr>
        <w:spacing w:after="60" w:before="160"/>
      </w:pPr>
      <w:r>
        <w:rPr>
          <w:rFonts w:ascii="Arial" w:cs="Arial" w:eastAsia="Arial" w:hAnsi="Arial"/>
          <w:b/>
          <w:bCs/>
          <w:color w:val="333333"/>
          <w:sz w:val="21"/>
          <w:szCs w:val="21"/>
        </w:rPr>
        <w:t xml:space="preserve">KI-Broker — das DSGVO-Versprechen und seine Grenzen</w:t>
      </w:r>
    </w:p>
    <w:p>
      <w:pPr>
        <w:spacing w:after="40" w:before="20" w:line="276"/>
        <w:jc w:val="both"/>
      </w:pPr>
      <w:r>
        <w:rPr>
          <w:rFonts w:ascii="Arial" w:cs="Arial" w:eastAsia="Arial" w:hAnsi="Arial"/>
          <w:b w:val="false"/>
          <w:bCs w:val="false"/>
          <w:i w:val="false"/>
          <w:iCs w:val="false"/>
          <w:color w:val="000000"/>
          <w:sz w:val="19"/>
          <w:szCs w:val="19"/>
        </w:rPr>
        <w:t xml:space="preserve">Ein wachsender Markt deutscher und europäischer Anbieter verspricht "DSGVO-konforme KI" für Unternehmen: sogenannte KI-Broker oder KI-Gateways, die als Zwischenschicht zwischen der Organisation und den großen Sprachmodellen (OpenAI, Claude, Gemini) fungieren. Das Versprechen klingt überzeugend: </w:t>
      </w:r>
      <w:r>
        <w:rPr>
          <w:rFonts w:ascii="Arial" w:cs="Arial" w:eastAsia="Arial" w:hAnsi="Arial"/>
          <w:b/>
          <w:bCs/>
          <w:i w:val="false"/>
          <w:iCs w:val="false"/>
          <w:color w:val="000000"/>
          <w:sz w:val="19"/>
          <w:szCs w:val="19"/>
        </w:rPr>
        <w:t xml:space="preserve">EU-gehostet, ISO 27001-zertifiziert, DSGVO-konform — und trotzdem GPT-4o, Claude und Gemini nutzen.</w:t>
      </w:r>
      <w:r>
        <w:rPr>
          <w:rFonts w:ascii="Arial" w:cs="Arial" w:eastAsia="Arial" w:hAnsi="Arial"/>
          <w:b w:val="false"/>
          <w:bCs w:val="false"/>
          <w:i w:val="false"/>
          <w:iCs w:val="false"/>
          <w:color w:val="000000"/>
          <w:sz w:val="19"/>
          <w:szCs w:val="19"/>
        </w:rPr>
        <w:t xml:space="preserve"> Für den Gesundheitssektor ist dieses Versprechen kritisch zu hinterfragen.</w:t>
      </w:r>
    </w:p>
    <w:p>
      <w:pPr>
        <w:spacing w:after="40" w:before="20" w:line="276"/>
        <w:jc w:val="both"/>
      </w:pPr>
      <w:r>
        <w:rPr>
          <w:rFonts w:ascii="Arial" w:cs="Arial" w:eastAsia="Arial" w:hAnsi="Arial"/>
          <w:b/>
          <w:bCs/>
          <w:i w:val="false"/>
          <w:iCs w:val="false"/>
          <w:color w:val="000000"/>
          <w:sz w:val="19"/>
          <w:szCs w:val="19"/>
        </w:rPr>
        <w:t xml:space="preserve">Das Grundproblem:</w:t>
      </w:r>
      <w:r>
        <w:rPr>
          <w:rFonts w:ascii="Arial" w:cs="Arial" w:eastAsia="Arial" w:hAnsi="Arial"/>
          <w:b w:val="false"/>
          <w:bCs w:val="false"/>
          <w:i w:val="false"/>
          <w:iCs w:val="false"/>
          <w:color w:val="000000"/>
          <w:sz w:val="19"/>
          <w:szCs w:val="19"/>
        </w:rPr>
        <w:t xml:space="preserve"> 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Direkte OpenAI-API (US-Server):</w:t>
      </w:r>
      <w:r>
        <w:rPr>
          <w:rFonts w:ascii="Arial" w:cs="Arial" w:eastAsia="Arial" w:hAnsi="Arial"/>
          <w:b w:val="false"/>
          <w:bCs w:val="false"/>
          <w:i w:val="false"/>
          <w:iCs w:val="false"/>
          <w:color w:val="000000"/>
          <w:sz w:val="19"/>
          <w:szCs w:val="19"/>
        </w:rPr>
        <w:t xml:space="preserve"> Prompt geht an OpenAI in den USA. "Zero Data Retention" (OpenAI speichert nichts nach Verarbeitung) — aber während der Verarbeitung liegen die Daten im Klartext auf US-Infrastruktur und sind CLOUD-Act-exponiert.</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Azure OpenAI (EU-Region, z.B. Schweden/Frankfurt):</w:t>
      </w:r>
      <w:r>
        <w:rPr>
          <w:rFonts w:ascii="Arial" w:cs="Arial" w:eastAsia="Arial" w:hAnsi="Arial"/>
          <w:b w:val="false"/>
          <w:bCs w:val="false"/>
          <w:i w:val="false"/>
          <w:iCs w:val="false"/>
          <w:color w:val="000000"/>
          <w:sz w:val="19"/>
          <w:szCs w:val="19"/>
        </w:rPr>
        <w:t xml:space="preserve"> Prompt bleibt physisch in der EU, aber Azure ist ein Microsoft-Dienst (MSFT) — CLOUD Act greift über die Unternehmensstruktur, nicht den Serverstandort (vgl. §1.1).</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Self-hosted Modelle (Mistral, Llama):</w:t>
      </w:r>
      <w:r>
        <w:rPr>
          <w:rFonts w:ascii="Arial" w:cs="Arial" w:eastAsia="Arial" w:hAnsi="Arial"/>
          <w:b w:val="false"/>
          <w:bCs w:val="false"/>
          <w:i w:val="false"/>
          <w:iCs w:val="false"/>
          <w:color w:val="000000"/>
          <w:sz w:val="19"/>
          <w:szCs w:val="19"/>
        </w:rPr>
        <w:t xml:space="preserve"> Kein US-Anbieter involviert — die einzige Option ohne CLOUD-Act-Exposition. Aber nicht alle Broker bieten das an, und die Modellqualität ist für manche Anwendungsfälle noch eingeschränkt.</w:t>
      </w:r>
    </w:p>
    <w:p>
      <w:pPr>
        <w:spacing w:after="40" w:before="20" w:line="276"/>
        <w:jc w:val="both"/>
      </w:pPr>
      <w:r>
        <w:rPr>
          <w:rFonts w:ascii="Arial" w:cs="Arial" w:eastAsia="Arial" w:hAnsi="Arial"/>
          <w:b w:val="false"/>
          <w:bCs w:val="false"/>
          <w:i w:val="false"/>
          <w:iCs w:val="false"/>
          <w:color w:val="000000"/>
          <w:sz w:val="19"/>
          <w:szCs w:val="19"/>
        </w:rPr>
        <w:t xml:space="preserve">Die meisten KI-Broker nutzen Option 1 oder 2 — und kommunizieren das als "DSGVO-konform",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 "Zero Data Retention" bedeutet "nicht gespeichert" — nicht "nicht verarbeitet".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KI-Broker / Gateway</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 des KI-Backends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Langdock</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Aleph Alpha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EU-Plattform, aber Prompts an US-Modelle (je nach Konfiguration)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DeutschlandGPT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Claude, Gemini, Mistral, Llama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 (DE, C5)</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DE-Hosting, aber GPT/Claude-Prompts via Azure/API an US-Modelle</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meinGPT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(Azure EU),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DE-hosted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OpenAI EU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Plotdesk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via Azure OpenAI (EU)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Azure OpenAI — Microsoft-CLOUD-Act-Risiko bleibt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Omnifact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Diverse; Privacy Filter™ maskiert Daten vor KI-Übergabe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Bester Ansatz — Datenmaskierung vor US-Modell-Kontakt</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Neuroflash</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(Hamburg)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eigene Modelle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OpenAI-Abhängigkeit für Kernfunktionen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kamium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ChatGPT, Gemini, Claude, Perplexity</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Azure-Tenant (EU)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Dust.tt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EU/US (wählbar, SOC 2)</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EU-Hosting wählbar, aber US-Modelle verarbeiten Prompts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nexos.ai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LT (Vilnius)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Modelle (OpenAI,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EU-Gateway, US-Modelle im Backend</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Omnifact-Sonderfall:</w:t>
      </w:r>
      <w:r>
        <w:rPr>
          <w:rFonts w:ascii="Arial" w:cs="Arial" w:eastAsia="Arial" w:hAnsi="Arial"/>
          <w:b w:val="false"/>
          <w:bCs w:val="false"/>
          <w:i w:val="false"/>
          <w:iCs w:val="false"/>
          <w:color w:val="000000"/>
          <w:sz w:val="19"/>
          <w:szCs w:val="19"/>
        </w:rPr>
        <w:t xml:space="preserve"> Omnifact ist der einzige Broker in dieser Übersicht, der einen strukturellen Lösungsansatz für das Klartextproblem bietet: Der "Privacy Filter" maskiert sensible Daten (Namen, Diagnosen, Versichertennummern) </w:t>
      </w:r>
      <w:r>
        <w:rPr>
          <w:rFonts w:ascii="Arial" w:cs="Arial" w:eastAsia="Arial" w:hAnsi="Arial"/>
          <w:b/>
          <w:bCs/>
          <w:i w:val="false"/>
          <w:iCs w:val="false"/>
          <w:color w:val="000000"/>
          <w:sz w:val="19"/>
          <w:szCs w:val="19"/>
        </w:rPr>
        <w:t xml:space="preserve">bevor</w:t>
      </w:r>
      <w:r>
        <w:rPr>
          <w:rFonts w:ascii="Arial" w:cs="Arial" w:eastAsia="Arial" w:hAnsi="Arial"/>
          <w:b w:val="false"/>
          <w:bCs w:val="false"/>
          <w:i w:val="false"/>
          <w:iCs w:val="false"/>
          <w:color w:val="000000"/>
          <w:sz w:val="19"/>
          <w:szCs w:val="19"/>
        </w:rPr>
        <w:t xml:space="preserve"> sie an das KI-Modell übertragen werden. Das Modell verarbeitet nur anonymisierte Prompts, die Rücktransformation erfolgt lokal. Wenn die Maskierung robust ist, reduziert das die CLOUD-Act-Exposition erheblich — ähnlich wie Pseudonymisierung im FDZ-Kontext (vgl. §12.6). Die Frage bleibt, ob die Maskierung für alle Gesundheits-Anwendungsfälle ausreicht: Ein Arztbrief-Generator, der den klinischen Kontext benötigt, funktioniert mit maskierten Daten nur eingeschränkt.</w:t>
      </w:r>
    </w:p>
    <w:p>
      <w:pPr>
        <w:spacing w:after="40" w:before="20" w:line="276"/>
        <w:jc w:val="both"/>
      </w:pPr>
      <w:r>
        <w:rPr>
          <w:rFonts w:ascii="Arial" w:cs="Arial" w:eastAsia="Arial" w:hAnsi="Arial"/>
          <w:b/>
          <w:bCs/>
          <w:i w:val="false"/>
          <w:iCs w:val="false"/>
          <w:color w:val="000000"/>
          <w:sz w:val="19"/>
          <w:szCs w:val="19"/>
        </w:rPr>
        <w:t xml:space="preserve">Kernaussage für den Gesundheitssektor:</w:t>
      </w:r>
      <w:r>
        <w:rPr>
          <w:rFonts w:ascii="Arial" w:cs="Arial" w:eastAsia="Arial" w:hAnsi="Arial"/>
          <w:b w:val="false"/>
          <w:bCs w:val="false"/>
          <w:i w:val="false"/>
          <w:iCs w:val="false"/>
          <w:color w:val="000000"/>
          <w:sz w:val="19"/>
          <w:szCs w:val="19"/>
        </w:rPr>
        <w:t xml:space="preserve"> "DSGVO-konformer KI-Broker" 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Eintrittspfad 6: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§17.1 vertieft.</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spacing w:after="80" w:before="200"/>
      </w:pPr>
      <w:r>
        <w:rPr>
          <w:rFonts w:ascii="Arial" w:cs="Arial" w:eastAsia="Arial" w:hAnsi="Arial"/>
          <w:b/>
          <w:bCs/>
          <w:color w:val="2E75B6"/>
          <w:sz w:val="24"/>
          <w:szCs w:val="24"/>
        </w:rPr>
        <w:t xml:space="preserve">12.9 Sechs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Telematikinfrastruktur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betreibt TI-Kerndienste (Rezeptserver, IdP)</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auflösbar — TI ist gesetzlich verpflichtend; Restrisiko dokumentieren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17.0,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17.0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1hrfqtqmefesplvohrsy" Type="http://schemas.openxmlformats.org/officeDocument/2006/relationships/hyperlink" Target="#1-das-kernproblem" TargetMode="External"/><Relationship Id="rIds0vvyhndvlatqovmxulcm" Type="http://schemas.openxmlformats.org/officeDocument/2006/relationships/hyperlink" Target="#2-rechtliche-grundlagen" TargetMode="External"/><Relationship Id="rIdshcbdw6q8u1xktxcqicms" Type="http://schemas.openxmlformats.org/officeDocument/2006/relationships/hyperlink" Target="#3-zugriffsebenen" TargetMode="External"/><Relationship Id="rIdtjlrr0uceebuwetrbpsbk" Type="http://schemas.openxmlformats.org/officeDocument/2006/relationships/hyperlink" Target="#4-europaeischer-zugriff" TargetMode="External"/><Relationship Id="rId4s9-miber_f_rsax3jqtm" Type="http://schemas.openxmlformats.org/officeDocument/2006/relationships/hyperlink" Target="#5-anbieterbewertung" TargetMode="External"/><Relationship Id="rIdtjp4hvbrefurw9_acjkhs" Type="http://schemas.openxmlformats.org/officeDocument/2006/relationships/hyperlink" Target="#6-operator-modell" TargetMode="External"/><Relationship Id="rIdmhk_tu97fxfbuvcnybj7s" Type="http://schemas.openxmlformats.org/officeDocument/2006/relationships/hyperlink" Target="#7-hyperscaling" TargetMode="External"/><Relationship Id="rIdwprgs1ke4vsxzhw_1ic63" Type="http://schemas.openxmlformats.org/officeDocument/2006/relationships/hyperlink" Target="#8-eu-stack" TargetMode="External"/><Relationship Id="rIdmrrdpg5zh4hsxg94wprhk" Type="http://schemas.openxmlformats.org/officeDocument/2006/relationships/hyperlink" Target="#9-abkommen" TargetMode="External"/><Relationship Id="rId7edbirg-hatx6klyyd85a" Type="http://schemas.openxmlformats.org/officeDocument/2006/relationships/hyperlink" Target="#10-lobbyarbeit" TargetMode="External"/><Relationship Id="rIdjpz1pverutnmsh-5hmbcu" Type="http://schemas.openxmlformats.org/officeDocument/2006/relationships/hyperlink" Target="#11-berater" TargetMode="External"/><Relationship Id="rIdw3bjoladrteu9lpgctgh-" Type="http://schemas.openxmlformats.org/officeDocument/2006/relationships/hyperlink" Target="#12-marktbeispiele" TargetMode="External"/><Relationship Id="rIdpwenporkmuz_1vhsrtb7i" Type="http://schemas.openxmlformats.org/officeDocument/2006/relationships/hyperlink" Target="#13-verschluesselung" TargetMode="External"/><Relationship Id="rIdn1ehan5is5jq7rprb8fre" Type="http://schemas.openxmlformats.org/officeDocument/2006/relationships/hyperlink" Target="#14-bewertungsschema" TargetMode="External"/><Relationship Id="rIdfqi32eljatuvkecvj_f8g" Type="http://schemas.openxmlformats.org/officeDocument/2006/relationships/hyperlink" Target="#15-globaler-vergleich" TargetMode="External"/><Relationship Id="rId9ua6faabmc8nmee0co7bg" Type="http://schemas.openxmlformats.org/officeDocument/2006/relationships/hyperlink" Target="#16-handlungsempfehlungen" TargetMode="External"/><Relationship Id="rIdfbmiwhas03litaw3dbktu" Type="http://schemas.openxmlformats.org/officeDocument/2006/relationships/hyperlink" Target="#17-ausblick" TargetMode="External"/><Relationship Id="rIdh5peidbrrx-pta8trkkqr" Type="http://schemas.openxmlformats.org/officeDocument/2006/relationships/hyperlink" Target="#18-quellen" TargetMode="External"/><Relationship Id="rIdxg7ykxo9dxw3pydrfjxav"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2026-04-09T21:11:04.723Z</dcterms:created>
  <dcterms:modified xsi:type="dcterms:W3CDTF">2026-04-09T21:11:04.724Z</dcterms:modified>
</cp:coreProperties>
</file>

<file path=docProps/custom.xml><?xml version="1.0" encoding="utf-8"?>
<Properties xmlns="http://schemas.openxmlformats.org/officeDocument/2006/custom-properties" xmlns:vt="http://schemas.openxmlformats.org/officeDocument/2006/docPropsVTypes"/>
</file>