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77CBD3BF" w:rsidR="00B61FE1" w:rsidRDefault="00444C50" w:rsidP="00053BDA">
            <w:r>
              <w:t>HOA Bangkok</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1F246F97" w:rsidR="00B61FE1" w:rsidRDefault="00444C50" w:rsidP="00053BDA">
            <w:r>
              <w:t>PI5LSS018</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7C570DB7" w:rsidR="00B61FE1" w:rsidRDefault="00BB5C7A"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444C50">
                  <w:t>Saskia Speth</w:t>
                </w:r>
              </w:sdtContent>
            </w:sdt>
          </w:p>
        </w:tc>
        <w:tc>
          <w:tcPr>
            <w:tcW w:w="2610" w:type="dxa"/>
          </w:tcPr>
          <w:p w14:paraId="3C1A7474" w14:textId="77777777" w:rsidR="00B61FE1" w:rsidRPr="007A0164" w:rsidRDefault="00B61FE1" w:rsidP="00053BDA">
            <w:pPr>
              <w:rPr>
                <w:b/>
              </w:rPr>
            </w:pPr>
            <w:r>
              <w:rPr>
                <w:b/>
              </w:rPr>
              <w:t>Clinical Program Manager</w:t>
            </w:r>
          </w:p>
        </w:tc>
        <w:tc>
          <w:tcPr>
            <w:tcW w:w="2178" w:type="dxa"/>
          </w:tcPr>
          <w:p w14:paraId="5DF25856" w14:textId="114C16B0" w:rsidR="00B61FE1" w:rsidRDefault="00444C50" w:rsidP="00053BDA">
            <w:r>
              <w:t>Briana Betz</w:t>
            </w:r>
          </w:p>
        </w:tc>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1D635C4F" w:rsidR="00B61FE1" w:rsidRDefault="00B61FE1" w:rsidP="00053BDA">
                <w:r>
                  <w:t>----------</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28635B1C" w:rsidR="00B61FE1" w:rsidRDefault="00B3236D" w:rsidP="00053BDA">
                <w:r>
                  <w:t>Trudy Stoddert</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52A22CFA" w14:textId="698B26B6" w:rsidR="00444C50" w:rsidRDefault="00444C50" w:rsidP="00444C50">
      <w:pPr>
        <w:pBdr>
          <w:bottom w:val="single" w:sz="12" w:space="1" w:color="auto"/>
        </w:pBdr>
        <w:spacing w:after="0" w:line="240" w:lineRule="auto"/>
        <w:rPr>
          <w:i/>
        </w:rPr>
      </w:pPr>
      <w:r w:rsidRPr="00444C50">
        <w:rPr>
          <w:i/>
        </w:rPr>
        <w:t xml:space="preserve">Examining Targeted Therapy in Hodgkin </w:t>
      </w:r>
      <w:r w:rsidR="00176D2C">
        <w:rPr>
          <w:i/>
        </w:rPr>
        <w:t>Lymphoma</w:t>
      </w:r>
      <w:r w:rsidR="00176D2C" w:rsidRPr="00444C50">
        <w:rPr>
          <w:i/>
        </w:rPr>
        <w:t xml:space="preserve"> </w:t>
      </w:r>
      <w:r w:rsidRPr="00444C50">
        <w:rPr>
          <w:i/>
        </w:rPr>
        <w:t>and Non-Hodgkin Lymphoma:</w:t>
      </w:r>
      <w:r>
        <w:rPr>
          <w:i/>
        </w:rPr>
        <w:t xml:space="preserve"> </w:t>
      </w:r>
      <w:r w:rsidRPr="00444C50">
        <w:rPr>
          <w:i/>
        </w:rPr>
        <w:t>A Case-Based Discussion</w:t>
      </w:r>
    </w:p>
    <w:p w14:paraId="14AF25FE" w14:textId="77777777" w:rsidR="00444C50" w:rsidRDefault="00444C50" w:rsidP="00444C50">
      <w:pPr>
        <w:pBdr>
          <w:bottom w:val="single" w:sz="12" w:space="1" w:color="auto"/>
        </w:pBdr>
        <w:spacing w:after="0" w:line="240" w:lineRule="auto"/>
        <w:rPr>
          <w:i/>
        </w:rPr>
      </w:pPr>
    </w:p>
    <w:p w14:paraId="0FEDD2C0" w14:textId="77777777" w:rsidR="00EB300B" w:rsidRPr="003C0CFB" w:rsidRDefault="00EB300B" w:rsidP="003C0CFB">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2FAE9567" w14:textId="3D2798F8" w:rsidR="00444C50" w:rsidRDefault="00444C50" w:rsidP="00EB300B">
      <w:pPr>
        <w:pBdr>
          <w:bottom w:val="single" w:sz="12" w:space="2" w:color="auto"/>
        </w:pBdr>
        <w:spacing w:after="0" w:line="240" w:lineRule="auto"/>
        <w:rPr>
          <w:i/>
        </w:rPr>
      </w:pPr>
      <w:r>
        <w:rPr>
          <w:i/>
        </w:rPr>
        <w:t xml:space="preserve">2015 </w:t>
      </w:r>
      <w:r w:rsidRPr="00444C50">
        <w:rPr>
          <w:i/>
        </w:rPr>
        <w:t>Highlights of ASH</w:t>
      </w:r>
      <w:r w:rsidR="00BB5C7A">
        <w:rPr>
          <w:i/>
        </w:rPr>
        <w:t>®</w:t>
      </w:r>
      <w:r w:rsidRPr="00444C50">
        <w:rPr>
          <w:i/>
        </w:rPr>
        <w:t xml:space="preserve"> in Asia</w:t>
      </w:r>
    </w:p>
    <w:p w14:paraId="77FC6564" w14:textId="77777777" w:rsidR="00444C50" w:rsidRDefault="00444C50" w:rsidP="00EB300B">
      <w:pPr>
        <w:pBdr>
          <w:bottom w:val="single" w:sz="12" w:space="2" w:color="auto"/>
        </w:pBdr>
        <w:spacing w:after="0" w:line="240" w:lineRule="auto"/>
        <w:rPr>
          <w:i/>
        </w:rPr>
      </w:pP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1915EE4B" w:rsidR="0053113C" w:rsidRPr="0053113C" w:rsidRDefault="00444C50" w:rsidP="007A0164">
      <w:pPr>
        <w:pBdr>
          <w:bottom w:val="single" w:sz="12" w:space="1" w:color="auto"/>
        </w:pBdr>
        <w:spacing w:after="0" w:line="240" w:lineRule="auto"/>
      </w:pPr>
      <w:r>
        <w:t>Saturday</w:t>
      </w:r>
      <w:r w:rsidR="0053113C">
        <w:t xml:space="preserve">, </w:t>
      </w:r>
      <w:r>
        <w:t>28 February 2015</w:t>
      </w:r>
    </w:p>
    <w:p w14:paraId="4F33736E" w14:textId="7F152224" w:rsidR="0053113C" w:rsidRPr="0053113C" w:rsidRDefault="00444C50" w:rsidP="007A0164">
      <w:pPr>
        <w:pBdr>
          <w:bottom w:val="single" w:sz="12" w:space="1" w:color="auto"/>
        </w:pBdr>
        <w:spacing w:after="0" w:line="240" w:lineRule="auto"/>
      </w:pPr>
      <w:r>
        <w:t>18.30</w:t>
      </w:r>
      <w:r w:rsidR="0053113C">
        <w:t xml:space="preserve"> – </w:t>
      </w:r>
      <w:r>
        <w:t>20.00</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599B8DA8" w14:textId="77777777" w:rsidR="00BB5C7A" w:rsidRDefault="00BB5C7A" w:rsidP="00444C50">
      <w:pPr>
        <w:pBdr>
          <w:bottom w:val="single" w:sz="12" w:space="1" w:color="auto"/>
        </w:pBdr>
        <w:spacing w:after="0" w:line="240" w:lineRule="auto"/>
        <w:rPr>
          <w:rFonts w:ascii="Aileron-Regular" w:hAnsi="Aileron-Regular" w:cs="Aileron-Regular"/>
          <w:color w:val="FFFFFF"/>
        </w:rPr>
      </w:pPr>
    </w:p>
    <w:p w14:paraId="3F963D2C" w14:textId="6272FA79" w:rsidR="00BB5C7A" w:rsidRPr="00BB5C7A" w:rsidRDefault="00BB5C7A" w:rsidP="00444C50">
      <w:pPr>
        <w:pBdr>
          <w:bottom w:val="single" w:sz="12" w:space="1" w:color="auto"/>
        </w:pBdr>
        <w:spacing w:after="0" w:line="240" w:lineRule="auto"/>
      </w:pPr>
      <w:r w:rsidRPr="00BB5C7A">
        <w:t>Lot</w:t>
      </w:r>
      <w:r>
        <w:t>us Suite 5-7</w:t>
      </w:r>
    </w:p>
    <w:p w14:paraId="1459D345" w14:textId="6474382A" w:rsidR="00444C50" w:rsidRDefault="00444C50" w:rsidP="00444C50">
      <w:pPr>
        <w:pBdr>
          <w:bottom w:val="single" w:sz="12" w:space="1" w:color="auto"/>
        </w:pBdr>
        <w:spacing w:after="0" w:line="240" w:lineRule="auto"/>
      </w:pPr>
      <w:proofErr w:type="spellStart"/>
      <w:r>
        <w:t>Centara</w:t>
      </w:r>
      <w:proofErr w:type="spellEnd"/>
      <w:r>
        <w:t xml:space="preserve"> Grand at </w:t>
      </w:r>
      <w:proofErr w:type="spellStart"/>
      <w:r>
        <w:t>CentralWorld</w:t>
      </w:r>
      <w:proofErr w:type="spellEnd"/>
    </w:p>
    <w:p w14:paraId="550ACB8B" w14:textId="77777777" w:rsidR="00444C50" w:rsidRDefault="00444C50" w:rsidP="00444C50">
      <w:pPr>
        <w:pBdr>
          <w:bottom w:val="single" w:sz="12" w:space="1" w:color="auto"/>
        </w:pBdr>
        <w:spacing w:after="0" w:line="240" w:lineRule="auto"/>
      </w:pPr>
      <w:r>
        <w:t xml:space="preserve">999/99 Rama 1 Road, </w:t>
      </w:r>
      <w:proofErr w:type="spellStart"/>
      <w:r>
        <w:t>Pathumwan</w:t>
      </w:r>
      <w:proofErr w:type="spellEnd"/>
    </w:p>
    <w:p w14:paraId="591B0B7D" w14:textId="2C1901AD" w:rsidR="00444C50" w:rsidRDefault="00444C50" w:rsidP="00444C50">
      <w:pPr>
        <w:pBdr>
          <w:bottom w:val="single" w:sz="12" w:space="1" w:color="auto"/>
        </w:pBdr>
        <w:spacing w:after="0" w:line="240" w:lineRule="auto"/>
      </w:pPr>
      <w:r>
        <w:t>Bangkok 10330, Thailand</w:t>
      </w:r>
    </w:p>
    <w:p w14:paraId="56621B38" w14:textId="77777777" w:rsidR="00444C50" w:rsidRDefault="00444C50" w:rsidP="00444C50">
      <w:pPr>
        <w:pBdr>
          <w:bottom w:val="single" w:sz="12" w:space="1" w:color="auto"/>
        </w:pBdr>
        <w:spacing w:after="0" w:line="240" w:lineRule="auto"/>
      </w:pP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62701BDA" w14:textId="77777777" w:rsidR="003F64AF" w:rsidRDefault="003F64AF" w:rsidP="00C34304">
      <w:pPr>
        <w:pBdr>
          <w:bottom w:val="single" w:sz="12" w:space="1" w:color="auto"/>
        </w:pBdr>
        <w:spacing w:after="0" w:line="240" w:lineRule="auto"/>
      </w:pPr>
    </w:p>
    <w:p w14:paraId="5A0039E1" w14:textId="3F28BB5C" w:rsidR="00C34304" w:rsidRDefault="00C34304" w:rsidP="00C34304">
      <w:pPr>
        <w:pBdr>
          <w:bottom w:val="single" w:sz="12" w:space="1" w:color="auto"/>
        </w:pBdr>
        <w:spacing w:after="0" w:line="240" w:lineRule="auto"/>
        <w:rPr>
          <w:b/>
        </w:rPr>
      </w:pPr>
      <w:r>
        <w:rPr>
          <w:b/>
        </w:rPr>
        <w:t>Symposia:</w:t>
      </w:r>
    </w:p>
    <w:p w14:paraId="55B9581C" w14:textId="75DD6AB8" w:rsidR="00C34304" w:rsidRDefault="00C34304" w:rsidP="00444C50">
      <w:pPr>
        <w:pBdr>
          <w:bottom w:val="single" w:sz="12" w:space="1" w:color="auto"/>
        </w:pBdr>
        <w:spacing w:after="0" w:line="240" w:lineRule="auto"/>
      </w:pPr>
      <w:r>
        <w:t xml:space="preserve">We are pleased to invite you to our satellite symposium, </w:t>
      </w:r>
      <w:r w:rsidR="00444C50" w:rsidRPr="00444C50">
        <w:rPr>
          <w:rStyle w:val="Emphasis"/>
        </w:rPr>
        <w:t xml:space="preserve">Examining Targeted Therapy in Hodgkin </w:t>
      </w:r>
      <w:r w:rsidR="00176D2C">
        <w:rPr>
          <w:rStyle w:val="Emphasis"/>
        </w:rPr>
        <w:t>Lymphoma</w:t>
      </w:r>
      <w:r w:rsidR="00176D2C" w:rsidRPr="00444C50">
        <w:rPr>
          <w:rStyle w:val="Emphasis"/>
        </w:rPr>
        <w:t xml:space="preserve"> </w:t>
      </w:r>
      <w:r w:rsidR="00444C50" w:rsidRPr="00444C50">
        <w:rPr>
          <w:rStyle w:val="Emphasis"/>
        </w:rPr>
        <w:t>and Non-Hodgkin Lymphoma:</w:t>
      </w:r>
      <w:r w:rsidR="00444C50">
        <w:rPr>
          <w:rStyle w:val="Emphasis"/>
        </w:rPr>
        <w:t xml:space="preserve"> </w:t>
      </w:r>
      <w:r w:rsidR="00444C50" w:rsidRPr="00444C50">
        <w:rPr>
          <w:rStyle w:val="Emphasis"/>
        </w:rPr>
        <w:t>A Case-Based Discussion</w:t>
      </w:r>
      <w:r>
        <w:t xml:space="preserve">, to be held on </w:t>
      </w:r>
      <w:r w:rsidR="00444C50">
        <w:t xml:space="preserve">28 February </w:t>
      </w:r>
      <w:r>
        <w:t xml:space="preserve">at the </w:t>
      </w:r>
      <w:r w:rsidR="00BB5C7A">
        <w:t>2015 Highlights of ASH® in Asia</w:t>
      </w:r>
      <w:r w:rsidR="00B3236D">
        <w:t xml:space="preserve"> meeting</w:t>
      </w:r>
      <w:r>
        <w:t xml:space="preserve"> in </w:t>
      </w:r>
      <w:r w:rsidR="00444C50">
        <w:t>Bangkok, Thailand.</w:t>
      </w:r>
    </w:p>
    <w:p w14:paraId="42760F2D" w14:textId="77777777" w:rsidR="00C34304" w:rsidRDefault="00C34304" w:rsidP="00C34304">
      <w:pPr>
        <w:pBdr>
          <w:bottom w:val="single" w:sz="12" w:space="1" w:color="auto"/>
        </w:pBdr>
        <w:spacing w:after="0" w:line="240" w:lineRule="auto"/>
      </w:pPr>
    </w:p>
    <w:p w14:paraId="338155DF" w14:textId="77777777" w:rsidR="00C34304" w:rsidRDefault="00C34304" w:rsidP="00C34304">
      <w:pPr>
        <w:pBdr>
          <w:bottom w:val="single" w:sz="12" w:space="1" w:color="auto"/>
        </w:pBdr>
        <w:spacing w:after="0" w:line="240" w:lineRule="auto"/>
      </w:pPr>
    </w:p>
    <w:p w14:paraId="2ECC0975" w14:textId="77777777" w:rsidR="00444C50" w:rsidRDefault="00444C50" w:rsidP="00C34304">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2DB99EBE" w14:textId="6D8FF423" w:rsidR="003F64AF" w:rsidRDefault="00444C50" w:rsidP="003F64AF">
      <w:pPr>
        <w:pBdr>
          <w:bottom w:val="single" w:sz="12" w:space="1" w:color="auto"/>
        </w:pBdr>
        <w:spacing w:after="0" w:line="240" w:lineRule="auto"/>
      </w:pPr>
      <w:r>
        <w:t>N/A</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6C6F14F9" w14:textId="64DAF191" w:rsidR="006D0598" w:rsidRDefault="00D34FED" w:rsidP="007A0164">
      <w:pPr>
        <w:pBdr>
          <w:bottom w:val="single" w:sz="12" w:space="1" w:color="auto"/>
        </w:pBdr>
        <w:spacing w:after="0" w:line="240" w:lineRule="auto"/>
      </w:pPr>
      <w:r>
        <w:t>This educational activity is designed for medical oncologists, radiation oncologists, surgeons, pathologists, and other healthcare professionals involved in the treatment of patients with hematologic malignancies.</w:t>
      </w:r>
    </w:p>
    <w:p w14:paraId="4695C805" w14:textId="77777777" w:rsidR="00444C50" w:rsidRDefault="00444C50"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AF85604" w14:textId="2438CDEA" w:rsidR="00DB46F0" w:rsidRDefault="00DB46F0" w:rsidP="00DB46F0">
      <w:r>
        <w:rPr>
          <w:rFonts w:ascii="Calibri" w:hAnsi="Calibri"/>
          <w:color w:val="5F6062"/>
        </w:rPr>
        <w:t xml:space="preserve">Upon completion of this educational activity, participants should be able to: </w:t>
      </w:r>
    </w:p>
    <w:p w14:paraId="74089D35"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Identify the key pathologic features of Hodgkin lymphoma (HL) and anaplastic large cell lymphoma (ALCL) and strategies for improving diagnosis</w:t>
      </w:r>
    </w:p>
    <w:p w14:paraId="0983FE95" w14:textId="3C0606F9" w:rsidR="00DB46F0" w:rsidRDefault="00DB46F0" w:rsidP="00DB46F0">
      <w:pPr>
        <w:numPr>
          <w:ilvl w:val="0"/>
          <w:numId w:val="21"/>
        </w:numPr>
        <w:spacing w:after="0"/>
        <w:rPr>
          <w:rFonts w:eastAsia="Times New Roman"/>
          <w:color w:val="5F6062"/>
        </w:rPr>
      </w:pPr>
      <w:r>
        <w:rPr>
          <w:rFonts w:ascii="Calibri" w:eastAsia="Times New Roman" w:hAnsi="Calibri"/>
          <w:color w:val="5F6062"/>
        </w:rPr>
        <w:t>D</w:t>
      </w:r>
      <w:r w:rsidR="008849BB">
        <w:rPr>
          <w:rFonts w:ascii="Calibri" w:eastAsia="Times New Roman" w:hAnsi="Calibri"/>
          <w:color w:val="5F6062"/>
        </w:rPr>
        <w:t>escribe</w:t>
      </w:r>
      <w:r>
        <w:rPr>
          <w:rFonts w:ascii="Calibri" w:eastAsia="Times New Roman" w:hAnsi="Calibri"/>
          <w:color w:val="5F6062"/>
        </w:rPr>
        <w:t xml:space="preserve"> the importance of risk-adapted therapy for newly diagnosed HL and emerging therapeutic options for initial therapy</w:t>
      </w:r>
    </w:p>
    <w:p w14:paraId="27CA4537"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Employ best practices in the treatment of patients with relapsed/refractory HL, including optimal use of current and emerging treatment options</w:t>
      </w:r>
    </w:p>
    <w:p w14:paraId="15CE1378"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Evaluate recent clinical trial data focused on the treatment of patients with relapsed/refractory ALCL and strategies for integrating these advances in patient care</w:t>
      </w:r>
    </w:p>
    <w:p w14:paraId="1DCD96D2"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Describe best practices for the identification and management of treatment-related adverse events in patients with lymphoma to improve tolerability and quality of life</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1288F086" w:rsidR="00847793" w:rsidRDefault="00847793" w:rsidP="007A0164">
      <w:pPr>
        <w:spacing w:after="0" w:line="240" w:lineRule="auto"/>
        <w:rPr>
          <w:b/>
          <w:color w:val="000000"/>
        </w:rPr>
      </w:pPr>
      <w:r>
        <w:rPr>
          <w:b/>
          <w:color w:val="000000"/>
        </w:rPr>
        <w:t xml:space="preserve">Chair </w:t>
      </w:r>
    </w:p>
    <w:p w14:paraId="6F1181D5" w14:textId="77777777" w:rsidR="00444C50" w:rsidRPr="00444C50" w:rsidRDefault="00444C50" w:rsidP="00444C50">
      <w:pPr>
        <w:spacing w:after="0" w:line="240" w:lineRule="auto"/>
        <w:rPr>
          <w:color w:val="000000"/>
        </w:rPr>
      </w:pPr>
      <w:r w:rsidRPr="00444C50">
        <w:rPr>
          <w:color w:val="000000"/>
        </w:rPr>
        <w:t>Andreas Engert, MD</w:t>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p>
    <w:p w14:paraId="0DAEC36A" w14:textId="77777777" w:rsidR="00444C50" w:rsidRPr="00444C50" w:rsidRDefault="00444C50" w:rsidP="00444C50">
      <w:pPr>
        <w:spacing w:after="0" w:line="240" w:lineRule="auto"/>
        <w:rPr>
          <w:color w:val="000000"/>
        </w:rPr>
      </w:pPr>
      <w:r w:rsidRPr="00444C50">
        <w:rPr>
          <w:color w:val="000000"/>
        </w:rPr>
        <w:t>University Hospital of Cologne</w:t>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p>
    <w:p w14:paraId="65F29653" w14:textId="048B76BA" w:rsidR="006A5CA4" w:rsidRDefault="00444C50" w:rsidP="00444C50">
      <w:pPr>
        <w:spacing w:after="0" w:line="240" w:lineRule="auto"/>
        <w:rPr>
          <w:color w:val="000000"/>
        </w:rPr>
      </w:pPr>
      <w:r w:rsidRPr="00444C50">
        <w:rPr>
          <w:color w:val="000000"/>
        </w:rPr>
        <w:t>Cologne, Germany</w:t>
      </w:r>
      <w:r w:rsidRPr="00444C50">
        <w:rPr>
          <w:color w:val="000000"/>
        </w:rPr>
        <w:tab/>
      </w:r>
    </w:p>
    <w:p w14:paraId="75568067" w14:textId="77777777" w:rsidR="00444C50" w:rsidRDefault="00444C50" w:rsidP="00444C50">
      <w:pPr>
        <w:spacing w:after="0" w:line="240" w:lineRule="auto"/>
        <w:rPr>
          <w:color w:val="000000"/>
        </w:rPr>
      </w:pPr>
    </w:p>
    <w:p w14:paraId="267DEE35" w14:textId="77777777" w:rsidR="006A5CA4" w:rsidRDefault="006A5CA4" w:rsidP="007A0164">
      <w:pPr>
        <w:spacing w:after="0" w:line="240" w:lineRule="auto"/>
        <w:rPr>
          <w:b/>
          <w:color w:val="000000"/>
        </w:rPr>
      </w:pPr>
      <w:r>
        <w:rPr>
          <w:b/>
          <w:color w:val="000000"/>
        </w:rPr>
        <w:t>Faculty</w:t>
      </w:r>
    </w:p>
    <w:p w14:paraId="3B31352C" w14:textId="04F667BB" w:rsidR="00444C50" w:rsidRDefault="00444C50" w:rsidP="00444C50">
      <w:pPr>
        <w:spacing w:after="0" w:line="240" w:lineRule="auto"/>
      </w:pPr>
      <w:r>
        <w:t>Timothy Illidge, MD, PhD</w:t>
      </w:r>
      <w:r>
        <w:tab/>
      </w:r>
      <w:r>
        <w:tab/>
      </w:r>
      <w:r>
        <w:tab/>
      </w:r>
    </w:p>
    <w:p w14:paraId="69D19F6A" w14:textId="47C56BE5" w:rsidR="00444C50" w:rsidRDefault="00444C50" w:rsidP="00444C50">
      <w:pPr>
        <w:spacing w:after="0" w:line="240" w:lineRule="auto"/>
      </w:pPr>
      <w:r>
        <w:t>University of Manchester</w:t>
      </w:r>
      <w:r>
        <w:tab/>
      </w:r>
      <w:r>
        <w:tab/>
      </w:r>
      <w:r>
        <w:tab/>
      </w:r>
      <w:r>
        <w:tab/>
      </w:r>
    </w:p>
    <w:p w14:paraId="29DD9BD2" w14:textId="6FFFEA1E" w:rsidR="00444C50" w:rsidRDefault="00444C50" w:rsidP="00444C50">
      <w:pPr>
        <w:spacing w:after="0" w:line="240" w:lineRule="auto"/>
      </w:pPr>
      <w:r>
        <w:t>Manchester, United Kingdom</w:t>
      </w:r>
      <w:r>
        <w:tab/>
      </w:r>
      <w:r>
        <w:tab/>
      </w:r>
      <w:r>
        <w:tab/>
      </w:r>
      <w:r>
        <w:tab/>
      </w:r>
    </w:p>
    <w:p w14:paraId="35AF99DC" w14:textId="77777777" w:rsidR="00444C50" w:rsidRDefault="00444C50" w:rsidP="00444C50">
      <w:pPr>
        <w:spacing w:after="0" w:line="240" w:lineRule="auto"/>
      </w:pPr>
    </w:p>
    <w:p w14:paraId="2CAE6D35" w14:textId="28F527CA" w:rsidR="00444C50" w:rsidRDefault="00BB5C7A" w:rsidP="00444C50">
      <w:pPr>
        <w:spacing w:after="0" w:line="240" w:lineRule="auto"/>
      </w:pPr>
      <w:r>
        <w:t>Mark Hertzberg, MD</w:t>
      </w:r>
      <w:r>
        <w:tab/>
      </w:r>
      <w:r>
        <w:tab/>
      </w:r>
      <w:r>
        <w:tab/>
      </w:r>
      <w:r w:rsidR="00444C50">
        <w:tab/>
      </w:r>
      <w:r w:rsidR="00444C50">
        <w:tab/>
      </w:r>
      <w:r w:rsidR="00444C50" w:rsidRPr="001D5685">
        <w:tab/>
      </w:r>
    </w:p>
    <w:p w14:paraId="3AA04D64" w14:textId="2AA67B6D" w:rsidR="00444C50" w:rsidRDefault="00444C50" w:rsidP="00444C50">
      <w:pPr>
        <w:spacing w:after="0" w:line="240" w:lineRule="auto"/>
      </w:pPr>
      <w:r>
        <w:t>University of Sydney</w:t>
      </w:r>
      <w:r>
        <w:tab/>
      </w:r>
      <w:r>
        <w:tab/>
      </w:r>
      <w:r>
        <w:tab/>
      </w:r>
      <w:r>
        <w:tab/>
      </w:r>
      <w:r>
        <w:tab/>
      </w:r>
    </w:p>
    <w:p w14:paraId="32C5C594" w14:textId="4FD9C1F7" w:rsidR="00444C50" w:rsidRDefault="00444C50" w:rsidP="00444C50">
      <w:pPr>
        <w:spacing w:after="0" w:line="240" w:lineRule="auto"/>
      </w:pPr>
      <w:r>
        <w:t>Sydney, Australia</w:t>
      </w:r>
      <w:r>
        <w:tab/>
      </w:r>
      <w:r>
        <w:tab/>
      </w:r>
      <w:r>
        <w:tab/>
      </w:r>
      <w:r>
        <w:tab/>
      </w:r>
      <w:r>
        <w:tab/>
      </w:r>
    </w:p>
    <w:p w14:paraId="683986D8" w14:textId="77777777" w:rsidR="00444C50" w:rsidRDefault="00444C50" w:rsidP="00444C50">
      <w:pPr>
        <w:spacing w:after="0" w:line="240" w:lineRule="auto"/>
      </w:pPr>
    </w:p>
    <w:p w14:paraId="01F702A3" w14:textId="20EF5AA6" w:rsidR="00444C50" w:rsidRDefault="00444C50" w:rsidP="00444C50">
      <w:pPr>
        <w:spacing w:after="0" w:line="240" w:lineRule="auto"/>
      </w:pPr>
      <w:r>
        <w:t xml:space="preserve">Miguel </w:t>
      </w:r>
      <w:proofErr w:type="spellStart"/>
      <w:r>
        <w:t>Piris</w:t>
      </w:r>
      <w:proofErr w:type="spellEnd"/>
      <w:r>
        <w:t>, MD</w:t>
      </w:r>
    </w:p>
    <w:p w14:paraId="7C2CC57C" w14:textId="2062BCF8" w:rsidR="00444C50" w:rsidRDefault="00444C50" w:rsidP="00444C50">
      <w:pPr>
        <w:spacing w:after="0" w:line="240" w:lineRule="auto"/>
      </w:pPr>
      <w:r>
        <w:t xml:space="preserve">Hospital </w:t>
      </w:r>
      <w:proofErr w:type="spellStart"/>
      <w:r>
        <w:t>Universitario</w:t>
      </w:r>
      <w:proofErr w:type="spellEnd"/>
      <w:r>
        <w:t xml:space="preserve"> </w:t>
      </w:r>
      <w:proofErr w:type="spellStart"/>
      <w:r>
        <w:t>Marqués</w:t>
      </w:r>
      <w:proofErr w:type="spellEnd"/>
      <w:r>
        <w:t xml:space="preserve"> de </w:t>
      </w:r>
      <w:proofErr w:type="spellStart"/>
      <w:r>
        <w:t>Valdecilla</w:t>
      </w:r>
      <w:proofErr w:type="spellEnd"/>
    </w:p>
    <w:p w14:paraId="5CA10E93" w14:textId="1E9223AF" w:rsidR="00444C50" w:rsidRPr="00C17D05" w:rsidRDefault="00444C50" w:rsidP="00444C50">
      <w:pPr>
        <w:spacing w:after="0" w:line="240" w:lineRule="auto"/>
      </w:pPr>
      <w:r>
        <w:t>Santander, Spain</w:t>
      </w:r>
    </w:p>
    <w:p w14:paraId="173823E4" w14:textId="77777777" w:rsidR="00444C50" w:rsidRDefault="00444C50" w:rsidP="006A5CA4">
      <w:pPr>
        <w:pBdr>
          <w:bottom w:val="single" w:sz="12" w:space="1" w:color="auto"/>
        </w:pBdr>
        <w:spacing w:after="0" w:line="240" w:lineRule="auto"/>
        <w:rPr>
          <w:color w:val="000000"/>
        </w:rPr>
      </w:pPr>
    </w:p>
    <w:p w14:paraId="2BA8D541" w14:textId="77777777" w:rsidR="004A6934" w:rsidRDefault="004A6934" w:rsidP="007A0164">
      <w:pPr>
        <w:spacing w:after="0" w:line="240" w:lineRule="auto"/>
        <w:rPr>
          <w:b/>
          <w:color w:val="000000"/>
        </w:rPr>
      </w:pPr>
    </w:p>
    <w:p w14:paraId="0709ED71" w14:textId="77777777" w:rsidR="004A6934" w:rsidRDefault="004A6934" w:rsidP="00444C50">
      <w:pPr>
        <w:spacing w:after="0" w:line="240" w:lineRule="auto"/>
        <w:rPr>
          <w:b/>
          <w:color w:val="000000"/>
        </w:rPr>
      </w:pPr>
    </w:p>
    <w:p w14:paraId="22E6BED3" w14:textId="77777777" w:rsidR="00847793" w:rsidRPr="003F64AF" w:rsidRDefault="00847793" w:rsidP="00444C50">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29B8F6CB" w14:textId="77777777" w:rsidR="00444C50" w:rsidRDefault="00444C50" w:rsidP="00444C50">
      <w:pPr>
        <w:spacing w:after="0" w:line="240" w:lineRule="auto"/>
        <w:rPr>
          <w:b/>
          <w:color w:val="000000"/>
        </w:rPr>
      </w:pPr>
    </w:p>
    <w:p w14:paraId="51E58F5F" w14:textId="44429E98" w:rsidR="003A12FE" w:rsidRDefault="003A12FE" w:rsidP="00444C50">
      <w:pPr>
        <w:spacing w:after="0" w:line="240" w:lineRule="auto"/>
        <w:rPr>
          <w:b/>
          <w:color w:val="000000"/>
        </w:rPr>
      </w:pPr>
      <w:r>
        <w:rPr>
          <w:b/>
          <w:color w:val="000000"/>
        </w:rPr>
        <w:t xml:space="preserve">Saturday, </w:t>
      </w:r>
      <w:r w:rsidR="00444C50">
        <w:rPr>
          <w:b/>
          <w:color w:val="000000"/>
        </w:rPr>
        <w:t>28 February</w:t>
      </w:r>
    </w:p>
    <w:p w14:paraId="45B261D2" w14:textId="77777777" w:rsidR="00BB5C7A" w:rsidRDefault="00BB5C7A" w:rsidP="00444C50">
      <w:pPr>
        <w:spacing w:after="0" w:line="240" w:lineRule="auto"/>
        <w:rPr>
          <w:b/>
          <w:color w:val="000000"/>
        </w:rPr>
      </w:pPr>
    </w:p>
    <w:p w14:paraId="731EB162" w14:textId="77777777" w:rsidR="00444C50" w:rsidRPr="00444C50" w:rsidRDefault="00444C50" w:rsidP="00444C50">
      <w:pPr>
        <w:spacing w:after="0" w:line="240" w:lineRule="auto"/>
        <w:ind w:left="720"/>
        <w:rPr>
          <w:color w:val="000000"/>
        </w:rPr>
      </w:pPr>
      <w:r w:rsidRPr="00444C50">
        <w:rPr>
          <w:color w:val="000000"/>
        </w:rPr>
        <w:t>Welcome and introduction</w:t>
      </w:r>
    </w:p>
    <w:p w14:paraId="7B87E114" w14:textId="6F603C94" w:rsidR="00444C50" w:rsidRPr="00444C50" w:rsidRDefault="00444C50" w:rsidP="00444C50">
      <w:pPr>
        <w:spacing w:after="0" w:line="240" w:lineRule="auto"/>
        <w:rPr>
          <w:i/>
          <w:color w:val="000000"/>
        </w:rPr>
      </w:pPr>
      <w:r>
        <w:rPr>
          <w:color w:val="000000"/>
        </w:rPr>
        <w:tab/>
      </w:r>
      <w:r w:rsidRPr="00444C50">
        <w:rPr>
          <w:i/>
          <w:color w:val="000000"/>
        </w:rPr>
        <w:t xml:space="preserve">Andreas Engert, MD </w:t>
      </w:r>
    </w:p>
    <w:p w14:paraId="26D2AC6F" w14:textId="77777777" w:rsidR="00444C50" w:rsidRPr="00444C50" w:rsidRDefault="00444C50" w:rsidP="00444C50">
      <w:pPr>
        <w:spacing w:after="0" w:line="240" w:lineRule="auto"/>
        <w:rPr>
          <w:color w:val="000000"/>
        </w:rPr>
      </w:pPr>
    </w:p>
    <w:p w14:paraId="7B2DF503" w14:textId="1007249C" w:rsidR="00444C50" w:rsidRPr="00444C50" w:rsidRDefault="00444C50" w:rsidP="00444C50">
      <w:pPr>
        <w:spacing w:after="0" w:line="240" w:lineRule="auto"/>
        <w:ind w:left="720" w:hanging="720"/>
        <w:rPr>
          <w:color w:val="000000"/>
        </w:rPr>
      </w:pPr>
      <w:r>
        <w:rPr>
          <w:color w:val="000000"/>
        </w:rPr>
        <w:t>18.30</w:t>
      </w:r>
      <w:r>
        <w:rPr>
          <w:color w:val="000000"/>
        </w:rPr>
        <w:tab/>
      </w:r>
      <w:r w:rsidRPr="00444C50">
        <w:rPr>
          <w:color w:val="000000"/>
        </w:rPr>
        <w:t xml:space="preserve">Keys to an accurate diagnosis of Hodgkin </w:t>
      </w:r>
      <w:r w:rsidR="00B3236D">
        <w:rPr>
          <w:color w:val="000000"/>
        </w:rPr>
        <w:t>l</w:t>
      </w:r>
      <w:r w:rsidR="00B3236D" w:rsidRPr="00444C50">
        <w:rPr>
          <w:color w:val="000000"/>
        </w:rPr>
        <w:t xml:space="preserve">ymphoma </w:t>
      </w:r>
      <w:r w:rsidR="00B3236D">
        <w:rPr>
          <w:color w:val="000000"/>
        </w:rPr>
        <w:t xml:space="preserve">(HL) </w:t>
      </w:r>
      <w:r w:rsidRPr="00444C50">
        <w:rPr>
          <w:color w:val="000000"/>
        </w:rPr>
        <w:t xml:space="preserve">and </w:t>
      </w:r>
      <w:r w:rsidR="00B3236D">
        <w:rPr>
          <w:color w:val="000000"/>
        </w:rPr>
        <w:t>a</w:t>
      </w:r>
      <w:r w:rsidR="00B3236D" w:rsidRPr="00444C50">
        <w:rPr>
          <w:color w:val="000000"/>
        </w:rPr>
        <w:t xml:space="preserve">naplastic </w:t>
      </w:r>
      <w:r w:rsidR="00B3236D">
        <w:rPr>
          <w:color w:val="000000"/>
        </w:rPr>
        <w:t>l</w:t>
      </w:r>
      <w:r w:rsidR="00B3236D" w:rsidRPr="00444C50">
        <w:rPr>
          <w:color w:val="000000"/>
        </w:rPr>
        <w:t xml:space="preserve">arge </w:t>
      </w:r>
      <w:r w:rsidR="00B3236D">
        <w:rPr>
          <w:color w:val="000000"/>
        </w:rPr>
        <w:t>c</w:t>
      </w:r>
      <w:r w:rsidRPr="00444C50">
        <w:rPr>
          <w:color w:val="000000"/>
        </w:rPr>
        <w:t xml:space="preserve">ell </w:t>
      </w:r>
      <w:r w:rsidR="00B3236D">
        <w:rPr>
          <w:color w:val="000000"/>
        </w:rPr>
        <w:t>l</w:t>
      </w:r>
      <w:r w:rsidRPr="00444C50">
        <w:rPr>
          <w:color w:val="000000"/>
        </w:rPr>
        <w:t>ymphoma</w:t>
      </w:r>
      <w:r w:rsidR="00B3236D">
        <w:rPr>
          <w:color w:val="000000"/>
        </w:rPr>
        <w:t xml:space="preserve"> (ALCL)</w:t>
      </w:r>
      <w:r w:rsidRPr="00444C50">
        <w:rPr>
          <w:color w:val="000000"/>
        </w:rPr>
        <w:t>: The pathologist’s perspective</w:t>
      </w:r>
    </w:p>
    <w:p w14:paraId="63FED42D" w14:textId="676FC3AB" w:rsidR="00444C50" w:rsidRDefault="00444C50" w:rsidP="00444C50">
      <w:pPr>
        <w:spacing w:after="0" w:line="240" w:lineRule="auto"/>
        <w:rPr>
          <w:i/>
          <w:color w:val="000000"/>
        </w:rPr>
      </w:pPr>
      <w:r w:rsidRPr="00444C50">
        <w:rPr>
          <w:color w:val="000000"/>
        </w:rPr>
        <w:tab/>
      </w:r>
      <w:r w:rsidRPr="00444C50">
        <w:rPr>
          <w:i/>
          <w:color w:val="000000"/>
        </w:rPr>
        <w:t xml:space="preserve">Miguel </w:t>
      </w:r>
      <w:proofErr w:type="spellStart"/>
      <w:r w:rsidRPr="00444C50">
        <w:rPr>
          <w:i/>
          <w:color w:val="000000"/>
        </w:rPr>
        <w:t>Piris</w:t>
      </w:r>
      <w:proofErr w:type="spellEnd"/>
      <w:r w:rsidRPr="00444C50">
        <w:rPr>
          <w:i/>
          <w:color w:val="000000"/>
        </w:rPr>
        <w:t>, MD</w:t>
      </w:r>
    </w:p>
    <w:p w14:paraId="200CBBE8" w14:textId="421EAD32" w:rsidR="00444C50" w:rsidRPr="00444C50" w:rsidRDefault="00444C50" w:rsidP="00444C50">
      <w:pPr>
        <w:spacing w:after="0" w:line="240" w:lineRule="auto"/>
        <w:rPr>
          <w:color w:val="000000"/>
        </w:rPr>
      </w:pPr>
      <w:r w:rsidRPr="00444C50">
        <w:rPr>
          <w:color w:val="000000"/>
        </w:rPr>
        <w:tab/>
      </w:r>
      <w:r w:rsidRPr="00444C50">
        <w:rPr>
          <w:color w:val="000000"/>
        </w:rPr>
        <w:tab/>
      </w:r>
      <w:r w:rsidRPr="00444C50">
        <w:rPr>
          <w:color w:val="000000"/>
        </w:rPr>
        <w:tab/>
      </w:r>
    </w:p>
    <w:p w14:paraId="2391797E" w14:textId="09BF66B2" w:rsidR="00444C50" w:rsidRPr="00444C50" w:rsidRDefault="00352724" w:rsidP="00444C50">
      <w:pPr>
        <w:spacing w:after="0" w:line="240" w:lineRule="auto"/>
        <w:rPr>
          <w:color w:val="000000"/>
        </w:rPr>
      </w:pPr>
      <w:r>
        <w:rPr>
          <w:color w:val="000000"/>
        </w:rPr>
        <w:t>18.40</w:t>
      </w:r>
      <w:r>
        <w:rPr>
          <w:color w:val="000000"/>
        </w:rPr>
        <w:tab/>
      </w:r>
      <w:r w:rsidR="00444C50" w:rsidRPr="00444C50">
        <w:rPr>
          <w:color w:val="000000"/>
        </w:rPr>
        <w:t xml:space="preserve">Interactive clinical case #1: Initial </w:t>
      </w:r>
      <w:r w:rsidR="00B3236D">
        <w:rPr>
          <w:color w:val="000000"/>
        </w:rPr>
        <w:t>t</w:t>
      </w:r>
      <w:r w:rsidR="00444C50" w:rsidRPr="00444C50">
        <w:rPr>
          <w:color w:val="000000"/>
        </w:rPr>
        <w:t xml:space="preserve">herapy for </w:t>
      </w:r>
      <w:r w:rsidR="00B3236D">
        <w:rPr>
          <w:color w:val="000000"/>
        </w:rPr>
        <w:t>HL</w:t>
      </w:r>
    </w:p>
    <w:p w14:paraId="2DE731C1" w14:textId="77777777" w:rsidR="00444C50" w:rsidRDefault="00444C50" w:rsidP="00444C50">
      <w:pPr>
        <w:spacing w:after="0" w:line="240" w:lineRule="auto"/>
        <w:rPr>
          <w:color w:val="000000"/>
        </w:rPr>
      </w:pPr>
    </w:p>
    <w:p w14:paraId="1EEE91D2" w14:textId="7C8AE3B5" w:rsidR="00444C50" w:rsidRPr="00444C50" w:rsidRDefault="00352724" w:rsidP="00444C50">
      <w:pPr>
        <w:spacing w:after="0" w:line="240" w:lineRule="auto"/>
        <w:rPr>
          <w:color w:val="000000"/>
        </w:rPr>
      </w:pPr>
      <w:r>
        <w:rPr>
          <w:color w:val="000000"/>
        </w:rPr>
        <w:t>18.45</w:t>
      </w:r>
      <w:r w:rsidR="00444C50" w:rsidRPr="00444C50">
        <w:rPr>
          <w:color w:val="000000"/>
        </w:rPr>
        <w:tab/>
      </w:r>
      <w:r w:rsidR="005C3B35">
        <w:rPr>
          <w:color w:val="000000"/>
        </w:rPr>
        <w:t>P</w:t>
      </w:r>
      <w:r w:rsidR="00444C50" w:rsidRPr="00444C50">
        <w:rPr>
          <w:color w:val="000000"/>
        </w:rPr>
        <w:t>resentation</w:t>
      </w:r>
    </w:p>
    <w:p w14:paraId="415CDDDC" w14:textId="23EAC17D" w:rsidR="00444C50" w:rsidRPr="00444C50" w:rsidRDefault="00444C50" w:rsidP="00444C50">
      <w:pPr>
        <w:spacing w:after="0" w:line="240" w:lineRule="auto"/>
        <w:rPr>
          <w:color w:val="000000"/>
        </w:rPr>
      </w:pPr>
      <w:r w:rsidRPr="00444C50">
        <w:rPr>
          <w:color w:val="000000"/>
        </w:rPr>
        <w:tab/>
      </w:r>
      <w:r w:rsidRPr="00352724">
        <w:rPr>
          <w:i/>
          <w:color w:val="000000"/>
        </w:rPr>
        <w:t>Andreas Engert, MD</w:t>
      </w:r>
    </w:p>
    <w:p w14:paraId="196C83BF" w14:textId="77777777" w:rsidR="00444C50" w:rsidRDefault="00444C50" w:rsidP="00444C50">
      <w:pPr>
        <w:spacing w:after="0" w:line="240" w:lineRule="auto"/>
        <w:rPr>
          <w:color w:val="000000"/>
        </w:rPr>
      </w:pPr>
    </w:p>
    <w:p w14:paraId="0CB39355" w14:textId="694627E1" w:rsidR="00444C50" w:rsidRPr="00444C50" w:rsidRDefault="00352724" w:rsidP="00444C50">
      <w:pPr>
        <w:spacing w:after="0" w:line="240" w:lineRule="auto"/>
        <w:rPr>
          <w:color w:val="000000"/>
        </w:rPr>
      </w:pPr>
      <w:r>
        <w:rPr>
          <w:color w:val="000000"/>
        </w:rPr>
        <w:t>19.00</w:t>
      </w:r>
      <w:r w:rsidR="00444C50" w:rsidRPr="00444C50">
        <w:rPr>
          <w:color w:val="000000"/>
        </w:rPr>
        <w:tab/>
        <w:t xml:space="preserve">Questions from the audience    </w:t>
      </w:r>
    </w:p>
    <w:p w14:paraId="6027E537" w14:textId="77777777" w:rsidR="00444C50" w:rsidRPr="00444C50" w:rsidRDefault="00444C50" w:rsidP="00444C50">
      <w:pPr>
        <w:spacing w:after="0" w:line="240" w:lineRule="auto"/>
        <w:rPr>
          <w:color w:val="000000"/>
        </w:rPr>
      </w:pPr>
    </w:p>
    <w:p w14:paraId="759157CD" w14:textId="6535EA43" w:rsidR="00444C50" w:rsidRDefault="00352724" w:rsidP="00444C50">
      <w:pPr>
        <w:spacing w:after="0" w:line="240" w:lineRule="auto"/>
        <w:rPr>
          <w:color w:val="000000"/>
        </w:rPr>
      </w:pPr>
      <w:r>
        <w:rPr>
          <w:color w:val="000000"/>
        </w:rPr>
        <w:t>19.05</w:t>
      </w:r>
      <w:r>
        <w:rPr>
          <w:color w:val="000000"/>
        </w:rPr>
        <w:tab/>
      </w:r>
      <w:r w:rsidR="00444C50" w:rsidRPr="00444C50">
        <w:rPr>
          <w:color w:val="000000"/>
        </w:rPr>
        <w:t>Interactive clinical case #2: Relapsed/</w:t>
      </w:r>
      <w:r w:rsidR="00B3236D">
        <w:rPr>
          <w:color w:val="000000"/>
        </w:rPr>
        <w:t>r</w:t>
      </w:r>
      <w:r w:rsidR="00444C50" w:rsidRPr="00444C50">
        <w:rPr>
          <w:color w:val="000000"/>
        </w:rPr>
        <w:t xml:space="preserve">efractory </w:t>
      </w:r>
      <w:r w:rsidR="00B3236D">
        <w:rPr>
          <w:color w:val="000000"/>
        </w:rPr>
        <w:t>HL</w:t>
      </w:r>
    </w:p>
    <w:p w14:paraId="6AC81AA5" w14:textId="77777777" w:rsidR="00444C50" w:rsidRPr="00444C50" w:rsidRDefault="00444C50" w:rsidP="00444C50">
      <w:pPr>
        <w:spacing w:after="0" w:line="240" w:lineRule="auto"/>
        <w:rPr>
          <w:color w:val="000000"/>
        </w:rPr>
      </w:pPr>
    </w:p>
    <w:p w14:paraId="63E25818" w14:textId="4A604BC7" w:rsidR="00444C50" w:rsidRPr="00444C50" w:rsidRDefault="00352724" w:rsidP="00444C50">
      <w:pPr>
        <w:spacing w:after="0" w:line="240" w:lineRule="auto"/>
        <w:rPr>
          <w:color w:val="000000"/>
        </w:rPr>
      </w:pPr>
      <w:r>
        <w:rPr>
          <w:color w:val="000000"/>
        </w:rPr>
        <w:t>19.10</w:t>
      </w:r>
      <w:r>
        <w:rPr>
          <w:color w:val="000000"/>
        </w:rPr>
        <w:tab/>
      </w:r>
      <w:r w:rsidR="00444C50" w:rsidRPr="00444C50">
        <w:rPr>
          <w:color w:val="000000"/>
        </w:rPr>
        <w:t>Presentation</w:t>
      </w:r>
    </w:p>
    <w:p w14:paraId="7D5A7DE3" w14:textId="675F81F0" w:rsidR="00444C50" w:rsidRDefault="00444C50" w:rsidP="00444C50">
      <w:pPr>
        <w:spacing w:after="0" w:line="240" w:lineRule="auto"/>
        <w:rPr>
          <w:color w:val="000000"/>
        </w:rPr>
      </w:pPr>
      <w:r w:rsidRPr="00444C50">
        <w:rPr>
          <w:color w:val="000000"/>
        </w:rPr>
        <w:tab/>
      </w:r>
      <w:r w:rsidRPr="00352724">
        <w:rPr>
          <w:i/>
          <w:color w:val="000000"/>
        </w:rPr>
        <w:t xml:space="preserve">Timothy Illidge, MD, PhD </w:t>
      </w:r>
    </w:p>
    <w:p w14:paraId="416D7C04" w14:textId="77777777" w:rsidR="00352724" w:rsidRPr="00444C50" w:rsidRDefault="00352724" w:rsidP="00444C50">
      <w:pPr>
        <w:spacing w:after="0" w:line="240" w:lineRule="auto"/>
        <w:rPr>
          <w:color w:val="000000"/>
        </w:rPr>
      </w:pPr>
    </w:p>
    <w:p w14:paraId="712581F1" w14:textId="27FC15FC" w:rsidR="00444C50" w:rsidRPr="00444C50" w:rsidRDefault="00352724" w:rsidP="00444C50">
      <w:pPr>
        <w:spacing w:after="0" w:line="240" w:lineRule="auto"/>
        <w:rPr>
          <w:color w:val="000000"/>
        </w:rPr>
      </w:pPr>
      <w:r>
        <w:rPr>
          <w:color w:val="000000"/>
        </w:rPr>
        <w:t>19.25</w:t>
      </w:r>
      <w:r>
        <w:rPr>
          <w:color w:val="000000"/>
        </w:rPr>
        <w:tab/>
      </w:r>
      <w:r w:rsidR="00444C50" w:rsidRPr="00444C50">
        <w:rPr>
          <w:color w:val="000000"/>
        </w:rPr>
        <w:t>Questions from the audience</w:t>
      </w:r>
    </w:p>
    <w:p w14:paraId="46F6DCB5" w14:textId="77777777" w:rsidR="00444C50" w:rsidRPr="00444C50" w:rsidRDefault="00444C50" w:rsidP="00444C50">
      <w:pPr>
        <w:spacing w:after="0" w:line="240" w:lineRule="auto"/>
        <w:rPr>
          <w:color w:val="000000"/>
        </w:rPr>
      </w:pPr>
    </w:p>
    <w:p w14:paraId="077DE3A6" w14:textId="1FA57396" w:rsidR="00444C50" w:rsidRPr="00444C50" w:rsidRDefault="00352724" w:rsidP="00444C50">
      <w:pPr>
        <w:spacing w:after="0" w:line="240" w:lineRule="auto"/>
        <w:rPr>
          <w:color w:val="000000"/>
        </w:rPr>
      </w:pPr>
      <w:r>
        <w:rPr>
          <w:color w:val="000000"/>
        </w:rPr>
        <w:t>19.30</w:t>
      </w:r>
      <w:r>
        <w:rPr>
          <w:color w:val="000000"/>
        </w:rPr>
        <w:tab/>
      </w:r>
      <w:r w:rsidR="00444C50" w:rsidRPr="00444C50">
        <w:rPr>
          <w:color w:val="000000"/>
        </w:rPr>
        <w:t>Interactive clinical case #3: Relapsed/</w:t>
      </w:r>
      <w:r w:rsidR="00B3236D">
        <w:rPr>
          <w:color w:val="000000"/>
        </w:rPr>
        <w:t>r</w:t>
      </w:r>
      <w:r w:rsidR="00B3236D" w:rsidRPr="00444C50">
        <w:rPr>
          <w:color w:val="000000"/>
        </w:rPr>
        <w:t xml:space="preserve">efractory </w:t>
      </w:r>
      <w:r w:rsidR="00444C50" w:rsidRPr="00444C50">
        <w:rPr>
          <w:color w:val="000000"/>
        </w:rPr>
        <w:t>ALCL</w:t>
      </w:r>
    </w:p>
    <w:p w14:paraId="23C5DC24" w14:textId="77777777" w:rsidR="00352724" w:rsidRDefault="00352724" w:rsidP="00444C50">
      <w:pPr>
        <w:spacing w:after="0" w:line="240" w:lineRule="auto"/>
        <w:rPr>
          <w:color w:val="000000"/>
        </w:rPr>
      </w:pPr>
    </w:p>
    <w:p w14:paraId="03930D42" w14:textId="2C70DD94" w:rsidR="00444C50" w:rsidRPr="00444C50" w:rsidRDefault="00352724" w:rsidP="00444C50">
      <w:pPr>
        <w:spacing w:after="0" w:line="240" w:lineRule="auto"/>
        <w:rPr>
          <w:color w:val="000000"/>
        </w:rPr>
      </w:pPr>
      <w:r>
        <w:rPr>
          <w:color w:val="000000"/>
        </w:rPr>
        <w:t xml:space="preserve">19.35 </w:t>
      </w:r>
      <w:r>
        <w:rPr>
          <w:color w:val="000000"/>
        </w:rPr>
        <w:tab/>
      </w:r>
      <w:r w:rsidR="00444C50" w:rsidRPr="00444C50">
        <w:rPr>
          <w:color w:val="000000"/>
        </w:rPr>
        <w:t>Presentation</w:t>
      </w:r>
    </w:p>
    <w:p w14:paraId="3B704810" w14:textId="5608CD6C" w:rsidR="00444C50" w:rsidRPr="00352724" w:rsidRDefault="00352724" w:rsidP="00444C50">
      <w:pPr>
        <w:spacing w:after="0" w:line="240" w:lineRule="auto"/>
        <w:rPr>
          <w:i/>
          <w:color w:val="000000"/>
        </w:rPr>
      </w:pPr>
      <w:r>
        <w:rPr>
          <w:color w:val="000000"/>
        </w:rPr>
        <w:tab/>
      </w:r>
      <w:r w:rsidR="00444C50" w:rsidRPr="00352724">
        <w:rPr>
          <w:i/>
          <w:color w:val="000000"/>
        </w:rPr>
        <w:t xml:space="preserve">Mark Hertzberg, MD </w:t>
      </w:r>
    </w:p>
    <w:p w14:paraId="6E94870C" w14:textId="77777777" w:rsidR="00352724" w:rsidRDefault="00352724" w:rsidP="00444C50">
      <w:pPr>
        <w:spacing w:after="0" w:line="240" w:lineRule="auto"/>
        <w:rPr>
          <w:color w:val="000000"/>
        </w:rPr>
      </w:pPr>
    </w:p>
    <w:p w14:paraId="78270832" w14:textId="774E9874" w:rsidR="00444C50" w:rsidRPr="00444C50" w:rsidRDefault="005C3B35" w:rsidP="00444C50">
      <w:pPr>
        <w:spacing w:after="0" w:line="240" w:lineRule="auto"/>
        <w:rPr>
          <w:color w:val="000000"/>
        </w:rPr>
      </w:pPr>
      <w:r>
        <w:rPr>
          <w:color w:val="000000"/>
        </w:rPr>
        <w:t>19</w:t>
      </w:r>
      <w:r w:rsidR="00352724">
        <w:rPr>
          <w:color w:val="000000"/>
        </w:rPr>
        <w:t>.50</w:t>
      </w:r>
      <w:r w:rsidR="00444C50" w:rsidRPr="00444C50">
        <w:rPr>
          <w:color w:val="000000"/>
        </w:rPr>
        <w:tab/>
        <w:t>Questions from the audience</w:t>
      </w:r>
    </w:p>
    <w:p w14:paraId="0C725729" w14:textId="77777777" w:rsidR="00444C50" w:rsidRPr="00444C50" w:rsidRDefault="00444C50" w:rsidP="00444C50">
      <w:pPr>
        <w:spacing w:after="0" w:line="240" w:lineRule="auto"/>
        <w:rPr>
          <w:color w:val="000000"/>
        </w:rPr>
      </w:pPr>
    </w:p>
    <w:p w14:paraId="19867013" w14:textId="1D3B842B" w:rsidR="00444C50" w:rsidRPr="00444C50" w:rsidRDefault="005C3B35" w:rsidP="00444C50">
      <w:pPr>
        <w:spacing w:after="0" w:line="240" w:lineRule="auto"/>
        <w:rPr>
          <w:color w:val="000000"/>
        </w:rPr>
      </w:pPr>
      <w:r>
        <w:rPr>
          <w:color w:val="000000"/>
        </w:rPr>
        <w:t>19</w:t>
      </w:r>
      <w:r w:rsidR="00352724">
        <w:rPr>
          <w:color w:val="000000"/>
        </w:rPr>
        <w:t>.55</w:t>
      </w:r>
      <w:r w:rsidR="00444C50" w:rsidRPr="00444C50">
        <w:rPr>
          <w:color w:val="000000"/>
        </w:rPr>
        <w:tab/>
      </w:r>
      <w:r w:rsidR="00B3236D">
        <w:rPr>
          <w:color w:val="000000"/>
        </w:rPr>
        <w:t>prIME</w:t>
      </w:r>
      <w:r w:rsidR="00B3236D" w:rsidRPr="00444C50">
        <w:rPr>
          <w:color w:val="000000"/>
        </w:rPr>
        <w:t xml:space="preserve"> </w:t>
      </w:r>
      <w:r w:rsidR="00444C50" w:rsidRPr="00444C50">
        <w:rPr>
          <w:color w:val="000000"/>
        </w:rPr>
        <w:t>Points</w:t>
      </w:r>
      <w:r w:rsidR="00B3236D">
        <w:rPr>
          <w:color w:val="000000"/>
        </w:rPr>
        <w:t>™</w:t>
      </w:r>
    </w:p>
    <w:p w14:paraId="55865ADF" w14:textId="2CEC05E8" w:rsidR="00444C50" w:rsidRPr="00352724" w:rsidRDefault="00444C50" w:rsidP="00444C50">
      <w:pPr>
        <w:spacing w:after="0" w:line="240" w:lineRule="auto"/>
        <w:rPr>
          <w:i/>
          <w:color w:val="000000"/>
        </w:rPr>
      </w:pPr>
      <w:r w:rsidRPr="00444C50">
        <w:rPr>
          <w:color w:val="000000"/>
        </w:rPr>
        <w:tab/>
      </w:r>
      <w:r w:rsidRPr="00352724">
        <w:rPr>
          <w:i/>
          <w:color w:val="000000"/>
        </w:rPr>
        <w:t>Andreas Engert, MD</w:t>
      </w:r>
    </w:p>
    <w:p w14:paraId="65C2A03B" w14:textId="77777777" w:rsidR="00352724" w:rsidRDefault="00352724" w:rsidP="00444C50">
      <w:pPr>
        <w:spacing w:after="0" w:line="240" w:lineRule="auto"/>
        <w:rPr>
          <w:color w:val="000000"/>
        </w:rPr>
      </w:pPr>
      <w:r>
        <w:rPr>
          <w:color w:val="000000"/>
        </w:rPr>
        <w:tab/>
      </w:r>
    </w:p>
    <w:p w14:paraId="19AAB6B9" w14:textId="0C194FB8" w:rsidR="00352724" w:rsidRDefault="005C3B35" w:rsidP="00BB5C7A">
      <w:pPr>
        <w:spacing w:after="0" w:line="240" w:lineRule="auto"/>
        <w:rPr>
          <w:color w:val="000000"/>
        </w:rPr>
      </w:pPr>
      <w:r>
        <w:rPr>
          <w:color w:val="000000"/>
        </w:rPr>
        <w:t>20.00</w:t>
      </w:r>
      <w:r>
        <w:rPr>
          <w:color w:val="000000"/>
        </w:rPr>
        <w:tab/>
      </w:r>
      <w:r w:rsidR="00444C50" w:rsidRPr="00444C50">
        <w:rPr>
          <w:color w:val="000000"/>
        </w:rPr>
        <w:t>Adjourn</w:t>
      </w:r>
    </w:p>
    <w:p w14:paraId="74D48FC2" w14:textId="77777777" w:rsidR="00352724" w:rsidRDefault="00352724" w:rsidP="00444C50">
      <w:pPr>
        <w:spacing w:after="0" w:line="240" w:lineRule="auto"/>
        <w:rPr>
          <w:color w:val="000000"/>
        </w:rPr>
      </w:pPr>
    </w:p>
    <w:p w14:paraId="3835A859" w14:textId="77777777" w:rsidR="00444C50" w:rsidRPr="003A12FE" w:rsidRDefault="00444C50" w:rsidP="007A0164">
      <w:pPr>
        <w:pBdr>
          <w:bottom w:val="single" w:sz="12" w:space="1" w:color="auto"/>
        </w:pBdr>
        <w:spacing w:after="0" w:line="240" w:lineRule="auto"/>
        <w:rPr>
          <w:i/>
          <w:color w:val="000000"/>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156DE5E5" w14:textId="5E857F89" w:rsidR="00617FD1" w:rsidRDefault="00617FD1" w:rsidP="00617FD1">
      <w:pPr>
        <w:spacing w:after="0" w:line="240" w:lineRule="auto"/>
        <w:rPr>
          <w:b/>
        </w:rPr>
      </w:pPr>
      <w:r>
        <w:rPr>
          <w:b/>
        </w:rPr>
        <w:t xml:space="preserve">Directly </w:t>
      </w:r>
      <w:r w:rsidR="00620F8A">
        <w:rPr>
          <w:b/>
        </w:rPr>
        <w:t>provided</w:t>
      </w:r>
      <w:r>
        <w:rPr>
          <w:b/>
        </w:rPr>
        <w:t xml:space="preserve"> by prIME (*prIME is the accredited - used </w:t>
      </w:r>
      <w:r w:rsidR="001B0EA4">
        <w:rPr>
          <w:b/>
        </w:rPr>
        <w:t>for US and EX-US CME</w:t>
      </w:r>
      <w:r>
        <w:rPr>
          <w:b/>
        </w:rPr>
        <w:t>)</w:t>
      </w:r>
      <w:r w:rsidR="00B95987">
        <w:rPr>
          <w:b/>
        </w:rPr>
        <w:t xml:space="preserve"> or No CME</w:t>
      </w:r>
      <w:r>
        <w:rPr>
          <w:b/>
        </w:rPr>
        <w:t>:</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Default="00617FD1" w:rsidP="00617FD1">
      <w:pPr>
        <w:spacing w:after="0" w:line="240" w:lineRule="auto"/>
        <w:rPr>
          <w:b/>
        </w:rPr>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30722EBD" w14:textId="77777777" w:rsidR="00352724" w:rsidRDefault="00352724" w:rsidP="00651AF6">
      <w:pPr>
        <w:spacing w:after="0" w:line="240" w:lineRule="auto"/>
        <w:rPr>
          <w:b/>
          <w:u w:val="single"/>
        </w:rPr>
      </w:pPr>
    </w:p>
    <w:p w14:paraId="66760F16" w14:textId="77777777" w:rsidR="00651AF6" w:rsidRDefault="00651AF6" w:rsidP="00651AF6">
      <w:pPr>
        <w:spacing w:after="0" w:line="240" w:lineRule="auto"/>
        <w:rPr>
          <w:b/>
        </w:rPr>
      </w:pPr>
      <w:r w:rsidRPr="006A5CA4">
        <w:rPr>
          <w:b/>
          <w:u w:val="single"/>
        </w:rPr>
        <w:t>No CME</w:t>
      </w:r>
      <w:r>
        <w:rPr>
          <w:b/>
        </w:rPr>
        <w:t xml:space="preserve"> </w:t>
      </w:r>
    </w:p>
    <w:p w14:paraId="5A2D9BE7" w14:textId="77777777" w:rsidR="00651AF6" w:rsidRDefault="00651AF6" w:rsidP="00651AF6">
      <w:pPr>
        <w:pBdr>
          <w:bottom w:val="single" w:sz="12" w:space="1" w:color="auto"/>
        </w:pBdr>
        <w:spacing w:after="0" w:line="240" w:lineRule="auto"/>
      </w:pPr>
      <w:r w:rsidRPr="006D0598">
        <w:t>Do not include a Continuing Education Statement</w:t>
      </w:r>
      <w:r>
        <w:t>.</w:t>
      </w: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0AB30750" w14:textId="77777777" w:rsidR="00352724" w:rsidRDefault="00352724" w:rsidP="007A0164">
      <w:pPr>
        <w:spacing w:after="0" w:line="240" w:lineRule="auto"/>
        <w:rPr>
          <w:b/>
        </w:rPr>
      </w:pPr>
    </w:p>
    <w:p w14:paraId="24EE45B9" w14:textId="7EC2B9BE" w:rsidR="006D0598" w:rsidRDefault="00BE7A4F" w:rsidP="007A0164">
      <w:pPr>
        <w:spacing w:after="0" w:line="240" w:lineRule="auto"/>
      </w:pPr>
      <w:r>
        <w:t>T</w:t>
      </w:r>
      <w:r w:rsidR="004A7029">
        <w:t>his educational activity is</w:t>
      </w:r>
      <w:r>
        <w:t xml:space="preserve"> supported </w:t>
      </w:r>
      <w:r w:rsidR="006D0598">
        <w:t>by</w:t>
      </w:r>
      <w:r>
        <w:t xml:space="preserve"> </w:t>
      </w:r>
      <w:r w:rsidR="00352724">
        <w:t>Takeda.</w:t>
      </w:r>
      <w:r w:rsidR="006D0598">
        <w:t xml:space="preserve"> </w:t>
      </w:r>
    </w:p>
    <w:p w14:paraId="63F5955C" w14:textId="77777777" w:rsidR="004A7029" w:rsidRDefault="004A7029" w:rsidP="007A0164">
      <w:pPr>
        <w:spacing w:after="0" w:line="240" w:lineRule="auto"/>
      </w:pP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6905D6B1" w14:textId="77777777" w:rsidR="002C0E35" w:rsidRPr="00BE7A4F" w:rsidRDefault="002C0E35" w:rsidP="007128FF">
      <w:pPr>
        <w:spacing w:after="0" w:line="240" w:lineRule="auto"/>
        <w:rPr>
          <w:b/>
          <w:highlight w:val="lightGray"/>
        </w:rPr>
      </w:pPr>
      <w:r w:rsidRPr="00BE7A4F">
        <w:rPr>
          <w:b/>
          <w:highlight w:val="lightGray"/>
        </w:rPr>
        <w:t>EACCME</w:t>
      </w:r>
    </w:p>
    <w:p w14:paraId="0866070C" w14:textId="5DB6D275" w:rsidR="007128FF" w:rsidRPr="00BE7A4F" w:rsidRDefault="00143AB7" w:rsidP="007128FF">
      <w:pPr>
        <w:spacing w:after="0" w:line="240" w:lineRule="auto"/>
        <w:rPr>
          <w:highlight w:val="lightGray"/>
        </w:rPr>
      </w:pPr>
      <w:r w:rsidRPr="00BE7A4F">
        <w:rPr>
          <w:highlight w:val="lightGray"/>
        </w:rPr>
        <w:t>Logos are</w:t>
      </w:r>
      <w:r w:rsidR="008815DD">
        <w:rPr>
          <w:highlight w:val="lightGray"/>
        </w:rPr>
        <w:t xml:space="preserve"> only</w:t>
      </w:r>
      <w:r w:rsidRPr="00BE7A4F">
        <w:rPr>
          <w:highlight w:val="lightGray"/>
        </w:rPr>
        <w:t xml:space="preserve"> permitted</w:t>
      </w:r>
      <w:r w:rsidR="008815DD">
        <w:rPr>
          <w:highlight w:val="lightGray"/>
        </w:rPr>
        <w:t xml:space="preserve"> if they do not violate</w:t>
      </w:r>
      <w:r w:rsidRPr="00BE7A4F">
        <w:rPr>
          <w:highlight w:val="lightGray"/>
        </w:rPr>
        <w:t xml:space="preserve"> the following restrictions: </w:t>
      </w:r>
    </w:p>
    <w:p w14:paraId="3A0A6B7E" w14:textId="77777777" w:rsidR="007128FF" w:rsidRPr="00BE7A4F" w:rsidRDefault="007128FF" w:rsidP="007128FF">
      <w:pPr>
        <w:spacing w:after="0" w:line="240" w:lineRule="auto"/>
        <w:rPr>
          <w:highlight w:val="lightGray"/>
        </w:rPr>
      </w:pPr>
    </w:p>
    <w:p w14:paraId="2399A315" w14:textId="718F1759" w:rsidR="00143AB7" w:rsidRPr="009E1A34" w:rsidRDefault="00143AB7" w:rsidP="007128FF">
      <w:pPr>
        <w:pStyle w:val="ListParagraph"/>
        <w:numPr>
          <w:ilvl w:val="0"/>
          <w:numId w:val="17"/>
        </w:numPr>
        <w:spacing w:after="0" w:line="240" w:lineRule="auto"/>
        <w:rPr>
          <w:highlight w:val="lightGray"/>
        </w:rPr>
      </w:pPr>
      <w:r w:rsidRPr="009E1A34">
        <w:rPr>
          <w:highlight w:val="lightGray"/>
        </w:rPr>
        <w:t xml:space="preserve">Industry </w:t>
      </w:r>
      <w:r w:rsidRPr="008815DD">
        <w:rPr>
          <w:b/>
          <w:highlight w:val="lightGray"/>
        </w:rPr>
        <w:t>names/logos</w:t>
      </w:r>
      <w:r w:rsidRPr="009E1A34">
        <w:rPr>
          <w:highlight w:val="lightGray"/>
        </w:rPr>
        <w:t xml:space="preserve"> may also </w:t>
      </w:r>
      <w:r w:rsidRPr="009E1A34">
        <w:rPr>
          <w:b/>
          <w:highlight w:val="lightGray"/>
        </w:rPr>
        <w:t>not</w:t>
      </w:r>
      <w:r w:rsidRPr="009E1A34">
        <w:rPr>
          <w:highlight w:val="lightGray"/>
        </w:rPr>
        <w:t xml:space="preserve"> appear in the vicinity of the EACCME accreditation statement.</w:t>
      </w:r>
    </w:p>
    <w:p w14:paraId="58123485" w14:textId="77777777" w:rsidR="00143AB7" w:rsidRPr="00BE7A4F" w:rsidRDefault="00143AB7" w:rsidP="007128FF">
      <w:pPr>
        <w:pStyle w:val="ListParagraph"/>
        <w:numPr>
          <w:ilvl w:val="0"/>
          <w:numId w:val="16"/>
        </w:numPr>
        <w:spacing w:after="0" w:line="240" w:lineRule="auto"/>
        <w:rPr>
          <w:highlight w:val="lightGray"/>
        </w:rPr>
      </w:pPr>
      <w:r w:rsidRPr="00BE7A4F">
        <w:rPr>
          <w:highlight w:val="lightGray"/>
        </w:rPr>
        <w:t xml:space="preserve">Commercial adverts may </w:t>
      </w:r>
      <w:r w:rsidRPr="009E1A34">
        <w:rPr>
          <w:b/>
          <w:highlight w:val="lightGray"/>
        </w:rPr>
        <w:t>not</w:t>
      </w:r>
      <w:r w:rsidRPr="00BE7A4F">
        <w:rPr>
          <w:highlight w:val="lightGray"/>
        </w:rPr>
        <w:t xml:space="preserve"> be printed on the second (inside front cover) page and inside the first section (scientific/educational information section) of the </w:t>
      </w:r>
      <w:proofErr w:type="spellStart"/>
      <w:r w:rsidRPr="00BE7A4F">
        <w:rPr>
          <w:highlight w:val="lightGray"/>
        </w:rPr>
        <w:t>programme</w:t>
      </w:r>
      <w:proofErr w:type="spellEnd"/>
      <w:r w:rsidRPr="00BE7A4F">
        <w:rPr>
          <w:highlight w:val="lightGray"/>
        </w:rPr>
        <w:t xml:space="preserve"> booklet.</w:t>
      </w:r>
    </w:p>
    <w:p w14:paraId="49B4ACCB" w14:textId="77777777" w:rsidR="008815DD" w:rsidRDefault="007128FF" w:rsidP="007128FF">
      <w:pPr>
        <w:pStyle w:val="ListParagraph"/>
        <w:numPr>
          <w:ilvl w:val="0"/>
          <w:numId w:val="16"/>
        </w:numPr>
        <w:spacing w:after="0" w:line="240" w:lineRule="auto"/>
        <w:rPr>
          <w:highlight w:val="lightGray"/>
        </w:rPr>
      </w:pPr>
      <w:r w:rsidRPr="00BE7A4F">
        <w:rPr>
          <w:highlight w:val="lightGray"/>
        </w:rPr>
        <w:t>Supporters</w:t>
      </w:r>
      <w:r w:rsidR="00143AB7" w:rsidRPr="00BE7A4F">
        <w:rPr>
          <w:highlight w:val="lightGray"/>
        </w:rPr>
        <w:t>’</w:t>
      </w:r>
      <w:r w:rsidRPr="00BE7A4F">
        <w:rPr>
          <w:highlight w:val="lightGray"/>
        </w:rPr>
        <w:t>/Sponsors’</w:t>
      </w:r>
      <w:r w:rsidR="00143AB7" w:rsidRPr="00BE7A4F">
        <w:rPr>
          <w:highlight w:val="lightGray"/>
        </w:rPr>
        <w:t xml:space="preserve"> </w:t>
      </w:r>
      <w:r w:rsidR="00143AB7" w:rsidRPr="008815DD">
        <w:rPr>
          <w:b/>
          <w:highlight w:val="lightGray"/>
        </w:rPr>
        <w:t>names and logos</w:t>
      </w:r>
      <w:r w:rsidR="00143AB7" w:rsidRPr="00BE7A4F">
        <w:rPr>
          <w:highlight w:val="lightGray"/>
        </w:rPr>
        <w:t xml:space="preserve"> may</w:t>
      </w:r>
      <w:r w:rsidR="00143AB7" w:rsidRPr="009E1A34">
        <w:rPr>
          <w:b/>
          <w:highlight w:val="lightGray"/>
        </w:rPr>
        <w:t xml:space="preserve"> not </w:t>
      </w:r>
      <w:r w:rsidR="00143AB7" w:rsidRPr="00BE7A4F">
        <w:rPr>
          <w:highlight w:val="lightGray"/>
        </w:rPr>
        <w:t xml:space="preserve">appear on the front cover of the </w:t>
      </w:r>
      <w:proofErr w:type="spellStart"/>
      <w:r w:rsidR="00143AB7" w:rsidRPr="00BE7A4F">
        <w:rPr>
          <w:highlight w:val="lightGray"/>
        </w:rPr>
        <w:t>programme</w:t>
      </w:r>
      <w:proofErr w:type="spellEnd"/>
      <w:r w:rsidRPr="00BE7A4F">
        <w:rPr>
          <w:highlight w:val="lightGray"/>
        </w:rPr>
        <w:t xml:space="preserve"> or the homepage/landing page of the activity</w:t>
      </w:r>
      <w:r w:rsidR="00143AB7" w:rsidRPr="00BE7A4F">
        <w:rPr>
          <w:highlight w:val="lightGray"/>
        </w:rPr>
        <w:t>.</w:t>
      </w:r>
      <w:r w:rsidRPr="00BE7A4F">
        <w:rPr>
          <w:highlight w:val="lightGray"/>
        </w:rPr>
        <w:t xml:space="preserve"> </w:t>
      </w:r>
    </w:p>
    <w:p w14:paraId="5EDDAA6D" w14:textId="78DFF062" w:rsidR="008815DD" w:rsidRDefault="008815DD" w:rsidP="007128FF">
      <w:pPr>
        <w:pStyle w:val="ListParagraph"/>
        <w:numPr>
          <w:ilvl w:val="0"/>
          <w:numId w:val="16"/>
        </w:numPr>
        <w:spacing w:after="0" w:line="240" w:lineRule="auto"/>
        <w:rPr>
          <w:highlight w:val="lightGray"/>
        </w:rPr>
      </w:pPr>
      <w:r>
        <w:rPr>
          <w:highlight w:val="lightGray"/>
        </w:rPr>
        <w:t>The display of brand</w:t>
      </w:r>
      <w:r w:rsidRPr="008815DD">
        <w:rPr>
          <w:b/>
          <w:highlight w:val="lightGray"/>
        </w:rPr>
        <w:t xml:space="preserve"> names</w:t>
      </w:r>
      <w:r>
        <w:rPr>
          <w:highlight w:val="lightGray"/>
        </w:rPr>
        <w:t xml:space="preserve"> and/or individual</w:t>
      </w:r>
      <w:r w:rsidRPr="008815DD">
        <w:rPr>
          <w:b/>
          <w:highlight w:val="lightGray"/>
        </w:rPr>
        <w:t xml:space="preserve"> logos</w:t>
      </w:r>
      <w:r>
        <w:rPr>
          <w:highlight w:val="lightGray"/>
        </w:rPr>
        <w:t xml:space="preserve"> can</w:t>
      </w:r>
      <w:r w:rsidRPr="008815DD">
        <w:rPr>
          <w:b/>
          <w:highlight w:val="lightGray"/>
        </w:rPr>
        <w:t>not</w:t>
      </w:r>
      <w:r>
        <w:rPr>
          <w:highlight w:val="lightGray"/>
        </w:rPr>
        <w:t xml:space="preserve"> be in the scientific lectures or scientific </w:t>
      </w:r>
      <w:proofErr w:type="spellStart"/>
      <w:r>
        <w:rPr>
          <w:highlight w:val="lightGray"/>
        </w:rPr>
        <w:t>programme</w:t>
      </w:r>
      <w:proofErr w:type="spellEnd"/>
      <w:r>
        <w:rPr>
          <w:highlight w:val="lightGray"/>
        </w:rPr>
        <w:t>.</w:t>
      </w:r>
    </w:p>
    <w:p w14:paraId="7B3B514F" w14:textId="322AE61F" w:rsidR="008815DD" w:rsidRPr="008815DD" w:rsidRDefault="007128FF" w:rsidP="008815DD">
      <w:pPr>
        <w:pStyle w:val="ListParagraph"/>
        <w:numPr>
          <w:ilvl w:val="0"/>
          <w:numId w:val="16"/>
        </w:numPr>
        <w:spacing w:after="0" w:line="240" w:lineRule="auto"/>
        <w:rPr>
          <w:highlight w:val="lightGray"/>
        </w:rPr>
      </w:pPr>
      <w:r w:rsidRPr="00BE7A4F">
        <w:rPr>
          <w:highlight w:val="lightGray"/>
        </w:rPr>
        <w:t xml:space="preserve">Any acknowledgement of commercial supporters/sponsors must be placed on a separate tab </w:t>
      </w:r>
      <w:r w:rsidR="008815DD">
        <w:rPr>
          <w:highlight w:val="lightGray"/>
        </w:rPr>
        <w:t xml:space="preserve">or a separate page (not in the scientific/educational section) </w:t>
      </w:r>
      <w:r w:rsidRPr="008815DD">
        <w:rPr>
          <w:highlight w:val="lightGray"/>
        </w:rPr>
        <w:t xml:space="preserve">dedicated to their acknowledgement. </w:t>
      </w:r>
    </w:p>
    <w:p w14:paraId="487E1FF6" w14:textId="2D4F863D" w:rsidR="005B5B5D" w:rsidRDefault="008815DD" w:rsidP="007128FF">
      <w:pPr>
        <w:pStyle w:val="ListParagraph"/>
        <w:numPr>
          <w:ilvl w:val="0"/>
          <w:numId w:val="16"/>
        </w:numPr>
        <w:spacing w:after="0" w:line="240" w:lineRule="auto"/>
        <w:rPr>
          <w:highlight w:val="lightGray"/>
        </w:rPr>
      </w:pPr>
      <w:r>
        <w:rPr>
          <w:highlight w:val="lightGray"/>
        </w:rPr>
        <w:t>Supporter/sponsor name/logo</w:t>
      </w:r>
      <w:r w:rsidR="007128FF" w:rsidRPr="00BE7A4F">
        <w:rPr>
          <w:highlight w:val="lightGray"/>
        </w:rPr>
        <w:t xml:space="preserve"> must remain completely separate from the scientific agenda, accreditation statement, faculty, etc.</w:t>
      </w:r>
    </w:p>
    <w:p w14:paraId="702A772D" w14:textId="77777777" w:rsidR="008815DD" w:rsidRPr="008815DD" w:rsidRDefault="008815DD" w:rsidP="008815DD">
      <w:pPr>
        <w:pStyle w:val="ListParagraph"/>
        <w:numPr>
          <w:ilvl w:val="0"/>
          <w:numId w:val="16"/>
        </w:numPr>
        <w:spacing w:after="0" w:line="240" w:lineRule="auto"/>
        <w:rPr>
          <w:rFonts w:ascii="Calibri" w:hAnsi="Calibri"/>
          <w:color w:val="1F497D"/>
          <w:lang w:val="en-GB"/>
        </w:rPr>
      </w:pPr>
      <w:r w:rsidRPr="008815DD">
        <w:rPr>
          <w:rFonts w:ascii="Calibri" w:hAnsi="Calibri"/>
          <w:highlight w:val="lightGray"/>
          <w:lang w:val="en-GB"/>
        </w:rPr>
        <w:t xml:space="preserve">Within the scientific programme and overview, sponsored symposia </w:t>
      </w:r>
      <w:r w:rsidRPr="008815DD">
        <w:rPr>
          <w:rFonts w:ascii="Calibri" w:hAnsi="Calibri"/>
          <w:b/>
          <w:bCs/>
          <w:highlight w:val="lightGray"/>
          <w:u w:val="single"/>
          <w:lang w:val="en-GB"/>
        </w:rPr>
        <w:t>must be identified</w:t>
      </w:r>
      <w:r w:rsidRPr="008815DD">
        <w:rPr>
          <w:rFonts w:ascii="Calibri" w:hAnsi="Calibri"/>
          <w:highlight w:val="lightGray"/>
          <w:lang w:val="en-GB"/>
        </w:rPr>
        <w:t xml:space="preserve"> as such, but the names of the sponsors must not be mentioned, neither the details such as title, speakers, etc.  You therefore indicate them with a formula such as “industry-sponsored symposium”; </w:t>
      </w:r>
      <w:proofErr w:type="gramStart"/>
      <w:r w:rsidRPr="008815DD">
        <w:rPr>
          <w:rFonts w:ascii="Calibri" w:hAnsi="Calibri"/>
          <w:highlight w:val="lightGray"/>
          <w:lang w:val="en-GB"/>
        </w:rPr>
        <w:t>Within</w:t>
      </w:r>
      <w:proofErr w:type="gramEnd"/>
      <w:r w:rsidRPr="008815DD">
        <w:rPr>
          <w:rFonts w:ascii="Calibri" w:hAnsi="Calibri"/>
          <w:highlight w:val="lightGray"/>
          <w:lang w:val="en-GB"/>
        </w:rPr>
        <w:t xml:space="preserve"> this first “scientific” section, must not appear adverts, acknowledgements of sponsors etc.</w:t>
      </w:r>
    </w:p>
    <w:p w14:paraId="24324E3B" w14:textId="0515D8CD" w:rsidR="008815DD" w:rsidRPr="008815DD" w:rsidRDefault="008815DD" w:rsidP="008815DD">
      <w:pPr>
        <w:pStyle w:val="ListParagraph"/>
        <w:numPr>
          <w:ilvl w:val="0"/>
          <w:numId w:val="16"/>
        </w:numPr>
        <w:spacing w:after="0" w:line="240" w:lineRule="auto"/>
        <w:rPr>
          <w:rFonts w:ascii="Calibri" w:hAnsi="Calibri"/>
          <w:highlight w:val="lightGray"/>
          <w:lang w:val="en-GB"/>
        </w:rPr>
      </w:pPr>
      <w:r>
        <w:rPr>
          <w:rFonts w:ascii="Calibri" w:hAnsi="Calibri"/>
          <w:highlight w:val="lightGray"/>
          <w:lang w:val="en-GB"/>
        </w:rPr>
        <w:lastRenderedPageBreak/>
        <w:t xml:space="preserve">Acknowledgement of sponsors, where </w:t>
      </w:r>
      <w:r w:rsidRPr="008815DD">
        <w:rPr>
          <w:rFonts w:ascii="Calibri" w:hAnsi="Calibri"/>
          <w:b/>
          <w:highlight w:val="lightGray"/>
          <w:lang w:val="en-GB"/>
        </w:rPr>
        <w:t xml:space="preserve">names and logos </w:t>
      </w:r>
      <w:r>
        <w:rPr>
          <w:rFonts w:ascii="Calibri" w:hAnsi="Calibri"/>
          <w:highlight w:val="lightGray"/>
          <w:lang w:val="en-GB"/>
        </w:rPr>
        <w:t xml:space="preserve">of sponsors </w:t>
      </w:r>
      <w:r w:rsidRPr="008815DD">
        <w:rPr>
          <w:rFonts w:ascii="Calibri" w:hAnsi="Calibri"/>
          <w:b/>
          <w:highlight w:val="lightGray"/>
          <w:lang w:val="en-GB"/>
        </w:rPr>
        <w:t>may</w:t>
      </w:r>
      <w:r>
        <w:rPr>
          <w:rFonts w:ascii="Calibri" w:hAnsi="Calibri"/>
          <w:highlight w:val="lightGray"/>
          <w:lang w:val="en-GB"/>
        </w:rPr>
        <w:t xml:space="preserve"> appear in the second section of the programme booklet (completely separate from educational/scientific/accreditation material) </w:t>
      </w: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77777777" w:rsidR="00EF1FEE" w:rsidRDefault="00EF1FEE" w:rsidP="007A0164">
      <w:pPr>
        <w:pBdr>
          <w:bottom w:val="single" w:sz="12" w:space="1" w:color="auto"/>
        </w:pBdr>
        <w:spacing w:after="0" w:line="240" w:lineRule="auto"/>
      </w:pPr>
      <w:r w:rsidRPr="002B3B0C">
        <w:t>There is no fee for this activity and preregistration is not required; however, space is limited.</w:t>
      </w:r>
      <w:r>
        <w:t xml:space="preserve"> Dinner will be served.</w:t>
      </w:r>
    </w:p>
    <w:p w14:paraId="112C4FC6" w14:textId="77777777" w:rsidR="00352724" w:rsidRDefault="00352724"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BB5C7A">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6BFD0BE2" w14:textId="77777777" w:rsidR="00352724" w:rsidRDefault="00352724" w:rsidP="00BB5C7A">
      <w:pPr>
        <w:spacing w:after="0" w:line="240" w:lineRule="auto"/>
        <w:rPr>
          <w:b/>
          <w:u w:val="single"/>
        </w:rPr>
      </w:pPr>
    </w:p>
    <w:p w14:paraId="397BE0E7" w14:textId="77777777" w:rsidR="00285C5C" w:rsidRDefault="00285C5C" w:rsidP="00BB5C7A">
      <w:pPr>
        <w:spacing w:after="0" w:line="240" w:lineRule="auto"/>
        <w:rPr>
          <w:b/>
          <w:u w:val="single"/>
        </w:rPr>
      </w:pPr>
      <w:r>
        <w:rPr>
          <w:b/>
          <w:u w:val="single"/>
        </w:rPr>
        <w:t>No CME</w:t>
      </w:r>
    </w:p>
    <w:p w14:paraId="606FCFF6" w14:textId="77777777" w:rsidR="006A2125" w:rsidRPr="006A2125" w:rsidRDefault="006A2125" w:rsidP="00BB5C7A">
      <w:pPr>
        <w:spacing w:after="0" w:line="240" w:lineRule="auto"/>
        <w:rPr>
          <w:rFonts w:eastAsia="Times New Roman" w:cs="Arial"/>
          <w:b/>
        </w:rPr>
      </w:pPr>
      <w:r>
        <w:rPr>
          <w:rFonts w:eastAsia="Times New Roman" w:cs="Arial"/>
          <w:b/>
        </w:rPr>
        <w:t>Flyer</w:t>
      </w:r>
    </w:p>
    <w:p w14:paraId="3C8A0C99" w14:textId="7FCA1200" w:rsidR="007565B6" w:rsidRDefault="007565B6" w:rsidP="00BB5C7A">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BB5C7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BB5C7A">
      <w:pPr>
        <w:spacing w:after="0" w:line="240" w:lineRule="auto"/>
        <w:rPr>
          <w:rFonts w:eastAsia="Times New Roman" w:cs="Arial"/>
        </w:rPr>
      </w:pPr>
    </w:p>
    <w:p w14:paraId="335B03B5" w14:textId="1C30D536" w:rsidR="007565B6" w:rsidRPr="0053113C" w:rsidRDefault="007565B6" w:rsidP="00BB5C7A">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BB5C7A">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BB5C7A">
      <w:pPr>
        <w:spacing w:after="0" w:line="240" w:lineRule="auto"/>
        <w:rPr>
          <w:sz w:val="18"/>
        </w:rPr>
      </w:pPr>
    </w:p>
    <w:p w14:paraId="3B537E51" w14:textId="77777777" w:rsidR="007565B6" w:rsidRPr="0053113C" w:rsidRDefault="007565B6" w:rsidP="00BB5C7A">
      <w:pPr>
        <w:spacing w:after="0" w:line="240" w:lineRule="auto"/>
        <w:rPr>
          <w:sz w:val="18"/>
        </w:rPr>
      </w:pPr>
      <w:r w:rsidRPr="0053113C">
        <w:rPr>
          <w:sz w:val="18"/>
        </w:rPr>
        <w:t>Disclaimer</w:t>
      </w:r>
    </w:p>
    <w:p w14:paraId="0D21CA76" w14:textId="77777777" w:rsidR="00A26DF5" w:rsidRPr="0053113C" w:rsidRDefault="00A26DF5" w:rsidP="00BB5C7A">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BB5C7A">
      <w:pPr>
        <w:spacing w:after="0" w:line="240" w:lineRule="auto"/>
      </w:pPr>
    </w:p>
    <w:p w14:paraId="70A3C6C4" w14:textId="77777777" w:rsidR="006A2125" w:rsidRPr="006A2125" w:rsidRDefault="006A2125" w:rsidP="00BB5C7A">
      <w:pPr>
        <w:spacing w:after="0" w:line="240" w:lineRule="auto"/>
        <w:rPr>
          <w:rFonts w:eastAsia="Times New Roman" w:cs="Arial"/>
          <w:b/>
        </w:rPr>
      </w:pPr>
      <w:r>
        <w:rPr>
          <w:rFonts w:eastAsia="Times New Roman" w:cs="Arial"/>
          <w:b/>
        </w:rPr>
        <w:t>Summary Book</w:t>
      </w:r>
    </w:p>
    <w:p w14:paraId="560D3F65" w14:textId="0E3F023E" w:rsidR="006A2125" w:rsidRDefault="006A2125" w:rsidP="00BB5C7A">
      <w:pP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BB5C7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BB5C7A">
      <w:pPr>
        <w:spacing w:after="0" w:line="240" w:lineRule="auto"/>
        <w:rPr>
          <w:rFonts w:eastAsia="Times New Roman" w:cs="Arial"/>
        </w:rPr>
      </w:pPr>
    </w:p>
    <w:p w14:paraId="2CE268B7" w14:textId="77777777" w:rsidR="006A2125" w:rsidRPr="006A2125" w:rsidRDefault="006A2125" w:rsidP="00BB5C7A">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BB5C7A">
      <w:pPr>
        <w:spacing w:after="0" w:line="240" w:lineRule="auto"/>
        <w:rPr>
          <w:rFonts w:eastAsia="Times New Roman" w:cs="Arial"/>
        </w:rPr>
      </w:pPr>
    </w:p>
    <w:p w14:paraId="6E84FEA6" w14:textId="77777777" w:rsidR="006A2125" w:rsidRPr="006A2125" w:rsidRDefault="006A2125" w:rsidP="00BB5C7A">
      <w:pPr>
        <w:spacing w:after="0" w:line="240" w:lineRule="auto"/>
        <w:rPr>
          <w:rFonts w:eastAsia="Times New Roman" w:cs="Arial"/>
        </w:rPr>
      </w:pPr>
      <w:r w:rsidRPr="006A2125">
        <w:rPr>
          <w:rFonts w:eastAsia="Times New Roman" w:cs="Arial"/>
        </w:rPr>
        <w:lastRenderedPageBreak/>
        <w:t>Dr XXX has disclosed ______. S/He has agreed to disclose any unlabeled/unapproved uses of drugs or products referenced in her presentation.</w:t>
      </w:r>
    </w:p>
    <w:p w14:paraId="7F2A2468" w14:textId="77777777" w:rsidR="006A2125" w:rsidRPr="006A2125" w:rsidRDefault="006A2125" w:rsidP="00BB5C7A">
      <w:pPr>
        <w:spacing w:after="0" w:line="240" w:lineRule="auto"/>
        <w:rPr>
          <w:rFonts w:eastAsia="Times New Roman" w:cs="Arial"/>
        </w:rPr>
      </w:pPr>
    </w:p>
    <w:p w14:paraId="2ABD7E07" w14:textId="77777777" w:rsidR="00BB5C7A" w:rsidRDefault="006A2125" w:rsidP="00BB5C7A">
      <w:pPr>
        <w:spacing w:after="0" w:line="240" w:lineRule="auto"/>
        <w:rPr>
          <w:rFonts w:eastAsia="Times New Roman" w:cs="Arial"/>
        </w:rPr>
      </w:pPr>
      <w:r w:rsidRPr="006A2125">
        <w:rPr>
          <w:rFonts w:eastAsia="Times New Roman" w:cs="Arial"/>
        </w:rPr>
        <w:t>The employees of prIME Oncology have disclosed:</w:t>
      </w:r>
      <w:r w:rsidR="0069073F">
        <w:rPr>
          <w:rFonts w:eastAsia="Times New Roman" w:cs="Arial"/>
        </w:rPr>
        <w:t xml:space="preserve"> </w:t>
      </w:r>
    </w:p>
    <w:p w14:paraId="7916FAE2" w14:textId="7253B748" w:rsidR="000138C9" w:rsidRPr="00BB5C7A" w:rsidRDefault="00352724" w:rsidP="00BB5C7A">
      <w:pPr>
        <w:pStyle w:val="ListParagraph"/>
        <w:numPr>
          <w:ilvl w:val="0"/>
          <w:numId w:val="22"/>
        </w:numPr>
        <w:spacing w:after="0" w:line="240" w:lineRule="auto"/>
        <w:rPr>
          <w:rFonts w:eastAsia="Times New Roman" w:cs="Arial"/>
        </w:rPr>
      </w:pPr>
      <w:r w:rsidRPr="00BB5C7A">
        <w:rPr>
          <w:rFonts w:eastAsia="Times New Roman" w:cs="Arial"/>
        </w:rPr>
        <w:t>Janice Galleshaw, MD</w:t>
      </w:r>
      <w:r w:rsidR="000138C9" w:rsidRPr="00BB5C7A">
        <w:rPr>
          <w:rFonts w:eastAsia="Times New Roman" w:cs="Arial"/>
        </w:rPr>
        <w:t xml:space="preserve"> (medical director content reviewer/planner) – no relevant financial relationships </w:t>
      </w:r>
    </w:p>
    <w:p w14:paraId="01A39B2E" w14:textId="7919DE54" w:rsidR="000138C9" w:rsidRPr="00FE0ED7" w:rsidRDefault="00352724" w:rsidP="00BB5C7A">
      <w:pPr>
        <w:pStyle w:val="ListParagraph"/>
        <w:numPr>
          <w:ilvl w:val="0"/>
          <w:numId w:val="9"/>
        </w:numPr>
        <w:spacing w:after="0" w:line="240" w:lineRule="auto"/>
        <w:rPr>
          <w:rFonts w:eastAsia="Times New Roman" w:cs="Arial"/>
        </w:rPr>
      </w:pPr>
      <w:r>
        <w:rPr>
          <w:rFonts w:eastAsia="Times New Roman" w:cs="Arial"/>
        </w:rPr>
        <w:t>Briana Betz, PhD</w:t>
      </w:r>
      <w:r w:rsidR="000138C9" w:rsidRPr="00187B86">
        <w:rPr>
          <w:rFonts w:eastAsia="Times New Roman" w:cs="Arial"/>
        </w:rPr>
        <w:t xml:space="preserve"> (clinical</w:t>
      </w:r>
      <w:r w:rsidR="000138C9">
        <w:rPr>
          <w:rFonts w:eastAsia="Times New Roman" w:cs="Arial"/>
        </w:rPr>
        <w:t xml:space="preserve"> content reviewer/planner</w:t>
      </w:r>
      <w:r w:rsidR="000138C9" w:rsidRPr="00187B86">
        <w:rPr>
          <w:rFonts w:eastAsia="Times New Roman" w:cs="Arial"/>
        </w:rPr>
        <w:t xml:space="preserve">) – no relevant financial relationships </w:t>
      </w:r>
    </w:p>
    <w:p w14:paraId="7C84D68D" w14:textId="4399A9C0" w:rsidR="000138C9" w:rsidRPr="00187B86" w:rsidRDefault="00B3236D" w:rsidP="00BB5C7A">
      <w:pPr>
        <w:pStyle w:val="ListParagraph"/>
        <w:numPr>
          <w:ilvl w:val="0"/>
          <w:numId w:val="9"/>
        </w:numPr>
        <w:spacing w:after="0" w:line="240" w:lineRule="auto"/>
        <w:rPr>
          <w:rFonts w:eastAsia="Times New Roman" w:cs="Arial"/>
        </w:rPr>
      </w:pPr>
      <w:r>
        <w:rPr>
          <w:rFonts w:eastAsia="Times New Roman" w:cs="Arial"/>
        </w:rPr>
        <w:t>Trudy Stoddert, ELS</w:t>
      </w:r>
      <w:r w:rsidRPr="00187B86">
        <w:rPr>
          <w:rFonts w:eastAsia="Times New Roman" w:cs="Arial"/>
        </w:rPr>
        <w:t xml:space="preserve"> </w:t>
      </w:r>
      <w:r w:rsidR="000138C9" w:rsidRPr="00187B86">
        <w:rPr>
          <w:rFonts w:eastAsia="Times New Roman" w:cs="Arial"/>
        </w:rPr>
        <w:t>(editorial</w:t>
      </w:r>
      <w:r w:rsidR="000138C9">
        <w:rPr>
          <w:rFonts w:eastAsia="Times New Roman" w:cs="Arial"/>
        </w:rPr>
        <w:t xml:space="preserve"> content reviewer</w:t>
      </w:r>
      <w:r w:rsidR="000138C9" w:rsidRPr="00187B86">
        <w:rPr>
          <w:rFonts w:eastAsia="Times New Roman" w:cs="Arial"/>
        </w:rPr>
        <w:t xml:space="preserve">) – no relevant financial relationships </w:t>
      </w:r>
    </w:p>
    <w:p w14:paraId="6BAAA9E9" w14:textId="77777777" w:rsidR="0069073F" w:rsidRDefault="0069073F" w:rsidP="00BB5C7A">
      <w:pPr>
        <w:spacing w:after="0" w:line="240" w:lineRule="auto"/>
        <w:rPr>
          <w:rFonts w:eastAsia="Times New Roman" w:cs="Arial"/>
        </w:rPr>
      </w:pPr>
    </w:p>
    <w:p w14:paraId="4A3FBD01" w14:textId="305BBC23" w:rsidR="006A2125" w:rsidRPr="004261CA" w:rsidRDefault="006A2125" w:rsidP="00BB5C7A">
      <w:pP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BB5C7A">
      <w:pP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BB5C7A">
      <w:pPr>
        <w:spacing w:after="0" w:line="240" w:lineRule="auto"/>
        <w:rPr>
          <w:sz w:val="18"/>
        </w:rPr>
      </w:pPr>
    </w:p>
    <w:p w14:paraId="76D38299" w14:textId="77777777" w:rsidR="006A2125" w:rsidRPr="004261CA" w:rsidRDefault="006A2125" w:rsidP="00BB5C7A">
      <w:pPr>
        <w:spacing w:after="0" w:line="240" w:lineRule="auto"/>
        <w:rPr>
          <w:sz w:val="18"/>
        </w:rPr>
      </w:pPr>
      <w:r w:rsidRPr="004261CA">
        <w:rPr>
          <w:sz w:val="18"/>
        </w:rPr>
        <w:t>Disclaimer</w:t>
      </w:r>
    </w:p>
    <w:p w14:paraId="2B4624B7" w14:textId="77777777" w:rsidR="006A2125" w:rsidRPr="004261CA" w:rsidRDefault="006A2125" w:rsidP="00BB5C7A">
      <w:pP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352724">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5F822A98" w14:textId="77777777" w:rsidR="004D7A60" w:rsidRDefault="004D7A60" w:rsidP="00352724">
      <w:pPr>
        <w:spacing w:after="0" w:line="240" w:lineRule="auto"/>
      </w:pPr>
    </w:p>
    <w:p w14:paraId="2E48F1D3" w14:textId="77777777" w:rsidR="00352724" w:rsidRDefault="00352724" w:rsidP="00352724">
      <w:pPr>
        <w:spacing w:after="0" w:line="240" w:lineRule="auto"/>
      </w:pPr>
      <w:r>
        <w:t>Welcome Letter</w:t>
      </w:r>
    </w:p>
    <w:p w14:paraId="3F71F2AF" w14:textId="77777777" w:rsidR="00352724" w:rsidRDefault="00352724" w:rsidP="00352724">
      <w:pPr>
        <w:spacing w:after="0" w:line="240" w:lineRule="auto"/>
      </w:pPr>
    </w:p>
    <w:p w14:paraId="117804E9" w14:textId="77777777" w:rsidR="00352724" w:rsidRDefault="00352724" w:rsidP="00352724">
      <w:pPr>
        <w:spacing w:after="0" w:line="240" w:lineRule="auto"/>
      </w:pPr>
      <w:r>
        <w:t>Dear Colleagues,</w:t>
      </w:r>
    </w:p>
    <w:p w14:paraId="4461103F" w14:textId="77777777" w:rsidR="00352724" w:rsidRDefault="00352724" w:rsidP="00352724">
      <w:pPr>
        <w:spacing w:after="0" w:line="240" w:lineRule="auto"/>
      </w:pPr>
    </w:p>
    <w:p w14:paraId="5AB9242A" w14:textId="09A226AF" w:rsidR="00352724" w:rsidRDefault="00352724" w:rsidP="00352724">
      <w:pPr>
        <w:spacing w:after="0" w:line="240" w:lineRule="auto"/>
      </w:pPr>
      <w:r>
        <w:t xml:space="preserve">Welcome to Bangkok and the </w:t>
      </w:r>
      <w:r w:rsidR="00BB5C7A">
        <w:t>2015 Highlights of ASH® in Asia</w:t>
      </w:r>
      <w:r>
        <w:t>.</w:t>
      </w:r>
    </w:p>
    <w:p w14:paraId="0BAD52F3" w14:textId="77777777" w:rsidR="00352724" w:rsidRDefault="00352724" w:rsidP="00352724">
      <w:pPr>
        <w:spacing w:after="0" w:line="240" w:lineRule="auto"/>
      </w:pPr>
    </w:p>
    <w:p w14:paraId="1353F924" w14:textId="45DEE8A7" w:rsidR="00352724" w:rsidRDefault="00352724" w:rsidP="00352724">
      <w:pPr>
        <w:spacing w:after="0" w:line="240" w:lineRule="auto"/>
      </w:pPr>
      <w:r>
        <w:t xml:space="preserve">We are very pleased that you have chosen to attend this prIME Oncology satellite symposium, </w:t>
      </w:r>
      <w:r w:rsidRPr="00352724">
        <w:rPr>
          <w:i/>
        </w:rPr>
        <w:t xml:space="preserve">Examining Targeted Therapy in Hodgkin </w:t>
      </w:r>
      <w:r w:rsidR="00176D2C">
        <w:rPr>
          <w:i/>
        </w:rPr>
        <w:t>Lymphoma</w:t>
      </w:r>
      <w:r w:rsidR="00176D2C" w:rsidRPr="00352724">
        <w:rPr>
          <w:i/>
        </w:rPr>
        <w:t xml:space="preserve"> </w:t>
      </w:r>
      <w:r w:rsidRPr="00352724">
        <w:rPr>
          <w:i/>
        </w:rPr>
        <w:t>and Non-Hodgkin Lymphoma: A Case-Based Discussion</w:t>
      </w:r>
      <w:r>
        <w:t xml:space="preserve">. Through this educational activity, we aim to provide you with clinically relevant information on </w:t>
      </w:r>
      <w:r w:rsidR="00DB46F0">
        <w:t>Hodgkin lymphoma and anaplastic large cell l</w:t>
      </w:r>
      <w:r w:rsidR="00176D2C">
        <w:t xml:space="preserve">ymphoma </w:t>
      </w:r>
      <w:r>
        <w:t>that you can incorporate into your practice. We hope you find the unique format of our symposium informative and engaging.</w:t>
      </w:r>
    </w:p>
    <w:p w14:paraId="17898AC9" w14:textId="77777777" w:rsidR="00352724" w:rsidRDefault="00352724" w:rsidP="00352724">
      <w:pPr>
        <w:spacing w:after="0" w:line="240" w:lineRule="auto"/>
      </w:pPr>
    </w:p>
    <w:p w14:paraId="129DF70C" w14:textId="77777777" w:rsidR="00352724" w:rsidRDefault="00352724" w:rsidP="00352724">
      <w:pPr>
        <w:spacing w:after="0" w:line="240" w:lineRule="auto"/>
      </w:pPr>
      <w:r>
        <w:t>We appreciate your attendance and welcome your active participation.</w:t>
      </w:r>
    </w:p>
    <w:p w14:paraId="1C7657E0" w14:textId="2B69B8BA" w:rsidR="00352724" w:rsidRDefault="00352724" w:rsidP="00352724">
      <w:pPr>
        <w:spacing w:after="0" w:line="240" w:lineRule="auto"/>
      </w:pPr>
    </w:p>
    <w:p w14:paraId="0315E0FB" w14:textId="77777777" w:rsidR="00352724" w:rsidRDefault="00352724" w:rsidP="00352724">
      <w:pPr>
        <w:spacing w:after="0" w:line="240" w:lineRule="auto"/>
      </w:pPr>
    </w:p>
    <w:p w14:paraId="6273E426" w14:textId="77777777" w:rsidR="00352724" w:rsidRPr="00444C50" w:rsidRDefault="00352724" w:rsidP="00352724">
      <w:pPr>
        <w:spacing w:after="0" w:line="240" w:lineRule="auto"/>
        <w:rPr>
          <w:color w:val="000000"/>
        </w:rPr>
      </w:pPr>
      <w:r w:rsidRPr="00444C50">
        <w:rPr>
          <w:color w:val="000000"/>
        </w:rPr>
        <w:t>Andreas Engert, MD</w:t>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p>
    <w:p w14:paraId="130467AA" w14:textId="77777777" w:rsidR="00352724" w:rsidRPr="00444C50" w:rsidRDefault="00352724" w:rsidP="00352724">
      <w:pPr>
        <w:spacing w:after="0" w:line="240" w:lineRule="auto"/>
        <w:rPr>
          <w:color w:val="000000"/>
        </w:rPr>
      </w:pPr>
      <w:r w:rsidRPr="00444C50">
        <w:rPr>
          <w:color w:val="000000"/>
        </w:rPr>
        <w:t>University Hospital of Cologne</w:t>
      </w:r>
      <w:r w:rsidRPr="00444C50">
        <w:rPr>
          <w:color w:val="000000"/>
        </w:rPr>
        <w:tab/>
      </w:r>
      <w:r w:rsidRPr="00444C50">
        <w:rPr>
          <w:color w:val="000000"/>
        </w:rPr>
        <w:tab/>
      </w:r>
      <w:r w:rsidRPr="00444C50">
        <w:rPr>
          <w:color w:val="000000"/>
        </w:rPr>
        <w:tab/>
      </w:r>
      <w:r w:rsidRPr="00444C50">
        <w:rPr>
          <w:color w:val="000000"/>
        </w:rPr>
        <w:tab/>
      </w:r>
      <w:r w:rsidRPr="00444C50">
        <w:rPr>
          <w:color w:val="000000"/>
        </w:rPr>
        <w:tab/>
      </w:r>
    </w:p>
    <w:p w14:paraId="106FDB9E" w14:textId="2B09A0C7" w:rsidR="00352724" w:rsidRDefault="00352724" w:rsidP="00352724">
      <w:pPr>
        <w:pBdr>
          <w:bottom w:val="single" w:sz="12" w:space="1" w:color="auto"/>
        </w:pBdr>
        <w:spacing w:after="0" w:line="240" w:lineRule="auto"/>
        <w:rPr>
          <w:color w:val="000000"/>
        </w:rPr>
      </w:pPr>
      <w:r w:rsidRPr="00444C50">
        <w:rPr>
          <w:color w:val="000000"/>
        </w:rPr>
        <w:t>Cologne, Germany</w:t>
      </w:r>
    </w:p>
    <w:p w14:paraId="11E08786" w14:textId="77777777" w:rsidR="00352724" w:rsidRDefault="00352724" w:rsidP="00352724">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5CC2A799" w14:textId="77777777" w:rsidR="00BB5C7A" w:rsidRDefault="00BB5C7A" w:rsidP="00BE0192">
      <w:pPr>
        <w:pBdr>
          <w:bottom w:val="single" w:sz="12" w:space="1" w:color="auto"/>
        </w:pBdr>
        <w:spacing w:after="0" w:line="240" w:lineRule="auto"/>
      </w:pPr>
    </w:p>
    <w:p w14:paraId="65D92E9F" w14:textId="77777777" w:rsidR="00BE0192" w:rsidRDefault="00BE0192" w:rsidP="00BB5C7A">
      <w:pPr>
        <w:spacing w:after="0" w:line="240" w:lineRule="auto"/>
      </w:pPr>
      <w:r>
        <w:t>EU Office</w:t>
      </w:r>
    </w:p>
    <w:p w14:paraId="57DE7595" w14:textId="77777777" w:rsidR="00BE0192" w:rsidRDefault="00BE0192" w:rsidP="00BB5C7A">
      <w:pPr>
        <w:spacing w:after="0" w:line="240" w:lineRule="auto"/>
      </w:pPr>
      <w:proofErr w:type="gramStart"/>
      <w:r>
        <w:t>prIME</w:t>
      </w:r>
      <w:proofErr w:type="gramEnd"/>
      <w:r>
        <w:t xml:space="preserve"> Oncology</w:t>
      </w:r>
    </w:p>
    <w:p w14:paraId="13B767EC" w14:textId="5275436C" w:rsidR="00844244" w:rsidRDefault="00844244" w:rsidP="00BB5C7A">
      <w:pPr>
        <w:spacing w:after="0" w:line="240" w:lineRule="auto"/>
      </w:pPr>
      <w:proofErr w:type="spellStart"/>
      <w:r w:rsidRPr="00844244">
        <w:lastRenderedPageBreak/>
        <w:t>Schenkkade</w:t>
      </w:r>
      <w:proofErr w:type="spellEnd"/>
      <w:r w:rsidRPr="00844244">
        <w:t xml:space="preserve"> 50</w:t>
      </w:r>
      <w:r w:rsidR="007B3532">
        <w:t>, Suite 16</w:t>
      </w:r>
    </w:p>
    <w:p w14:paraId="36E2B88C" w14:textId="0EA688F6" w:rsidR="00BE0192" w:rsidRDefault="00267A30" w:rsidP="00BB5C7A">
      <w:pPr>
        <w:spacing w:after="0" w:line="240" w:lineRule="auto"/>
      </w:pPr>
      <w:r>
        <w:rPr>
          <w:color w:val="000000"/>
        </w:rPr>
        <w:t>2595 AR </w:t>
      </w:r>
      <w:r w:rsidR="00844244">
        <w:rPr>
          <w:color w:val="000000"/>
        </w:rPr>
        <w:t>The Hague</w:t>
      </w:r>
    </w:p>
    <w:p w14:paraId="32CEAE46" w14:textId="77777777" w:rsidR="00BE0192" w:rsidRDefault="00BE0192" w:rsidP="00BB5C7A">
      <w:pPr>
        <w:spacing w:after="0" w:line="240" w:lineRule="auto"/>
      </w:pPr>
      <w:proofErr w:type="gramStart"/>
      <w:r>
        <w:t>the</w:t>
      </w:r>
      <w:proofErr w:type="gramEnd"/>
      <w:r>
        <w:t xml:space="preserve"> Netherlands</w:t>
      </w:r>
    </w:p>
    <w:p w14:paraId="33EDFC1F" w14:textId="77777777" w:rsidR="00BE0192" w:rsidRDefault="00BE0192" w:rsidP="00BB5C7A">
      <w:pP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BB5C7A">
      <w:pPr>
        <w:spacing w:after="0" w:line="240" w:lineRule="auto"/>
      </w:pPr>
    </w:p>
    <w:p w14:paraId="5BBA9512" w14:textId="4BEE075B" w:rsidR="006F4251" w:rsidRDefault="006F4251" w:rsidP="00BB5C7A">
      <w:pPr>
        <w:spacing w:after="0" w:line="240" w:lineRule="auto"/>
      </w:pPr>
      <w:r>
        <w:t>US Office</w:t>
      </w:r>
    </w:p>
    <w:p w14:paraId="1FF5C86E" w14:textId="77777777" w:rsidR="006F4251" w:rsidRDefault="006F4251" w:rsidP="00BB5C7A">
      <w:pPr>
        <w:spacing w:after="0" w:line="240" w:lineRule="auto"/>
      </w:pPr>
      <w:proofErr w:type="gramStart"/>
      <w:r>
        <w:t>prIME</w:t>
      </w:r>
      <w:proofErr w:type="gramEnd"/>
      <w:r>
        <w:t xml:space="preserve"> Oncology</w:t>
      </w:r>
    </w:p>
    <w:p w14:paraId="3316E539" w14:textId="77777777" w:rsidR="006F4251" w:rsidRDefault="006F4251" w:rsidP="00BB5C7A">
      <w:pPr>
        <w:spacing w:after="0" w:line="240" w:lineRule="auto"/>
      </w:pPr>
      <w:r>
        <w:t>Two Concourse Pkwy, Suite 270</w:t>
      </w:r>
    </w:p>
    <w:p w14:paraId="10649D91" w14:textId="77777777" w:rsidR="006F4251" w:rsidRDefault="006F4251" w:rsidP="00BB5C7A">
      <w:pPr>
        <w:spacing w:after="0" w:line="240" w:lineRule="auto"/>
      </w:pPr>
      <w:r>
        <w:t>Atlanta, Georgia 30328</w:t>
      </w:r>
    </w:p>
    <w:p w14:paraId="7EFD7FB1" w14:textId="77777777" w:rsidR="006F4251" w:rsidRDefault="006F4251" w:rsidP="00BB5C7A">
      <w:pPr>
        <w:spacing w:after="0" w:line="240" w:lineRule="auto"/>
      </w:pPr>
      <w:r>
        <w:t>United States</w:t>
      </w:r>
    </w:p>
    <w:p w14:paraId="5E189618" w14:textId="77777777" w:rsidR="006F4251" w:rsidRDefault="006F4251" w:rsidP="00BB5C7A">
      <w:pP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BB5C7A">
      <w:pPr>
        <w:spacing w:after="0" w:line="240" w:lineRule="auto"/>
      </w:pPr>
      <w:r>
        <w:t>www.prIMEoncology.org</w:t>
      </w:r>
    </w:p>
    <w:p w14:paraId="1B041033" w14:textId="77777777" w:rsidR="006F4251" w:rsidRDefault="006F4251" w:rsidP="00BB5C7A">
      <w:pPr>
        <w:spacing w:after="0" w:line="240" w:lineRule="auto"/>
      </w:pPr>
    </w:p>
    <w:p w14:paraId="05EE2F80" w14:textId="77777777" w:rsidR="006F4251" w:rsidRDefault="006F4251" w:rsidP="00BB5C7A">
      <w:pPr>
        <w:spacing w:after="0" w:line="240" w:lineRule="auto"/>
      </w:pPr>
    </w:p>
    <w:p w14:paraId="623B3EBA" w14:textId="77777777" w:rsidR="006F4251" w:rsidRDefault="006F4251" w:rsidP="00BB5C7A">
      <w:pPr>
        <w:spacing w:after="0" w:line="240" w:lineRule="auto"/>
      </w:pPr>
      <w:r>
        <w:t>About prIME Oncology</w:t>
      </w:r>
    </w:p>
    <w:p w14:paraId="723ED148" w14:textId="4F1719B1" w:rsidR="004D7A60" w:rsidRDefault="006F4251" w:rsidP="00BB5C7A">
      <w:pP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BB5C7A">
      <w:pPr>
        <w:spacing w:after="0" w:line="240" w:lineRule="auto"/>
      </w:pPr>
    </w:p>
    <w:p w14:paraId="237D73C0" w14:textId="250CC751" w:rsidR="0069073F" w:rsidRDefault="00352724" w:rsidP="00BB5C7A">
      <w:pPr>
        <w:spacing w:after="0" w:line="240" w:lineRule="auto"/>
      </w:pPr>
      <w:r>
        <w:t>©2015 prIME Oncology</w:t>
      </w:r>
    </w:p>
    <w:p w14:paraId="6CF59973" w14:textId="76472F89" w:rsidR="00352724" w:rsidRDefault="00352724" w:rsidP="00BB5C7A">
      <w:pPr>
        <w:spacing w:after="0" w:line="240" w:lineRule="auto"/>
      </w:pPr>
      <w:r>
        <w:t>PI5LSS018</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099C5F63" w14:textId="0186F806" w:rsidR="004A7029" w:rsidRDefault="00BB5C7A" w:rsidP="00285C5C">
      <w:pPr>
        <w:pBdr>
          <w:bottom w:val="single" w:sz="12" w:space="1" w:color="auto"/>
        </w:pBdr>
        <w:spacing w:after="0" w:line="240" w:lineRule="auto"/>
      </w:pPr>
      <w:hyperlink r:id="rId10" w:history="1">
        <w:r w:rsidR="00352724" w:rsidRPr="00B25DC3">
          <w:rPr>
            <w:rStyle w:val="Hyperlink"/>
          </w:rPr>
          <w:t>www.prIMEoncology.org/Lymphoma_Bangkok2015</w:t>
        </w:r>
      </w:hyperlink>
    </w:p>
    <w:p w14:paraId="6C1DFE58" w14:textId="77777777" w:rsidR="00352724" w:rsidRDefault="00352724" w:rsidP="00285C5C">
      <w:pPr>
        <w:pBdr>
          <w:bottom w:val="single" w:sz="12" w:space="1" w:color="auto"/>
        </w:pBdr>
        <w:spacing w:after="0" w:line="240" w:lineRule="auto"/>
      </w:pPr>
    </w:p>
    <w:p w14:paraId="04C10171" w14:textId="13902F41" w:rsidR="00352724" w:rsidRDefault="00352724" w:rsidP="00352724">
      <w:pPr>
        <w:pBdr>
          <w:bottom w:val="single" w:sz="12" w:space="1" w:color="auto"/>
        </w:pBdr>
        <w:spacing w:after="0" w:line="240" w:lineRule="auto"/>
      </w:pPr>
      <w:r>
        <w:t xml:space="preserve">Program Book: </w:t>
      </w:r>
      <w:hyperlink r:id="rId11" w:history="1">
        <w:r w:rsidR="00D51314" w:rsidRPr="00D51314">
          <w:rPr>
            <w:rStyle w:val="Hyperlink"/>
          </w:rPr>
          <w:t>www.prIMEoncology.org/Lymphoma_Bangkok2015_Webcast</w:t>
        </w:r>
      </w:hyperlink>
      <w:r>
        <w:t xml:space="preserve"> </w:t>
      </w:r>
    </w:p>
    <w:p w14:paraId="484BDB09" w14:textId="342EDC2A" w:rsidR="00352724" w:rsidRDefault="00352724" w:rsidP="00352724">
      <w:pPr>
        <w:pBdr>
          <w:bottom w:val="single" w:sz="12" w:space="1" w:color="auto"/>
        </w:pBdr>
        <w:spacing w:after="0" w:line="240" w:lineRule="auto"/>
      </w:pPr>
    </w:p>
    <w:p w14:paraId="364320BE" w14:textId="77777777" w:rsidR="00352724" w:rsidRDefault="00352724"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27AB8F1B" w:rsidR="00A87A60" w:rsidRDefault="003F4E0C" w:rsidP="00A87A60">
      <w:pPr>
        <w:pBdr>
          <w:bottom w:val="single" w:sz="12" w:space="1" w:color="auto"/>
        </w:pBdr>
        <w:spacing w:after="0" w:line="240" w:lineRule="auto"/>
      </w:pPr>
      <w:r>
        <w:t xml:space="preserve">Lymphoma | </w:t>
      </w:r>
      <w:r w:rsidR="00B3236D">
        <w:t>Bangkok</w:t>
      </w:r>
    </w:p>
    <w:p w14:paraId="772E138A" w14:textId="77777777" w:rsidR="00A87A60" w:rsidRDefault="00A87A60" w:rsidP="00285C5C">
      <w:pPr>
        <w:pBdr>
          <w:bottom w:val="single" w:sz="12" w:space="1" w:color="auto"/>
        </w:pBdr>
        <w:spacing w:after="0" w:line="240" w:lineRule="auto"/>
      </w:pPr>
    </w:p>
    <w:p w14:paraId="7008F1FD" w14:textId="55E07303"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3F4E0C">
        <w:t xml:space="preserve"> </w:t>
      </w:r>
      <w:r w:rsidR="00C9709A">
        <w:t xml:space="preserve">HL </w:t>
      </w:r>
      <w:r w:rsidR="003F4E0C">
        <w:t>of ASH Asia</w:t>
      </w:r>
      <w:r w:rsidR="00C9709A">
        <w:t xml:space="preserve"> </w:t>
      </w:r>
      <w:proofErr w:type="spellStart"/>
      <w:r w:rsidR="00C9709A">
        <w:t>Symp</w:t>
      </w:r>
      <w:proofErr w:type="spellEnd"/>
    </w:p>
    <w:p w14:paraId="31197B5A" w14:textId="77777777" w:rsidR="00717044" w:rsidRDefault="00717044" w:rsidP="00285C5C">
      <w:pPr>
        <w:pBdr>
          <w:bottom w:val="single" w:sz="12" w:space="1" w:color="auto"/>
        </w:pBdr>
        <w:spacing w:after="0" w:line="240" w:lineRule="auto"/>
      </w:pPr>
    </w:p>
    <w:p w14:paraId="0A235E53" w14:textId="77777777" w:rsidR="00A87A60" w:rsidRDefault="00A87A60" w:rsidP="00A87A60">
      <w:pPr>
        <w:pBdr>
          <w:bottom w:val="single" w:sz="12" w:space="1" w:color="auto"/>
        </w:pBdr>
        <w:spacing w:after="0" w:line="240" w:lineRule="auto"/>
      </w:pPr>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77777777" w:rsidR="00717044" w:rsidRDefault="00717044"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334F7215" w:rsidR="00A87A60" w:rsidRDefault="003F4E0C" w:rsidP="003F4E0C">
      <w:pPr>
        <w:pStyle w:val="ListParagraph"/>
        <w:numPr>
          <w:ilvl w:val="0"/>
          <w:numId w:val="20"/>
        </w:numPr>
        <w:spacing w:after="0" w:line="240" w:lineRule="auto"/>
      </w:pPr>
      <w:r>
        <w:t xml:space="preserve">Join Us in Bangkok: </w:t>
      </w:r>
      <w:r w:rsidRPr="003F4E0C">
        <w:t xml:space="preserve">Examining Targeted Therapy in </w:t>
      </w:r>
      <w:r w:rsidR="00C9709A">
        <w:t>HL</w:t>
      </w:r>
      <w:r w:rsidR="00176D2C" w:rsidRPr="003F4E0C">
        <w:t xml:space="preserve"> </w:t>
      </w:r>
      <w:r w:rsidRPr="003F4E0C">
        <w:t xml:space="preserve">and </w:t>
      </w:r>
      <w:r w:rsidR="00C9709A">
        <w:t>NHL</w:t>
      </w:r>
      <w:r w:rsidRPr="003F4E0C">
        <w:t>: A Case-Based Discussion</w:t>
      </w:r>
      <w:r>
        <w:t xml:space="preserve"> </w:t>
      </w:r>
    </w:p>
    <w:p w14:paraId="2C52CF7D" w14:textId="4B7BB2FC" w:rsidR="003F4E0C" w:rsidRPr="003F4E0C" w:rsidRDefault="003F4E0C" w:rsidP="003F4E0C">
      <w:pPr>
        <w:pStyle w:val="ListParagraph"/>
        <w:numPr>
          <w:ilvl w:val="0"/>
          <w:numId w:val="20"/>
        </w:numPr>
      </w:pPr>
      <w:r w:rsidRPr="003F4E0C">
        <w:t xml:space="preserve">Register Now for a </w:t>
      </w:r>
      <w:r w:rsidR="007F5292">
        <w:t>Symposium o</w:t>
      </w:r>
      <w:r w:rsidR="007F5292" w:rsidRPr="003F4E0C">
        <w:t xml:space="preserve">n </w:t>
      </w:r>
      <w:r>
        <w:t xml:space="preserve">Lymphoma </w:t>
      </w:r>
      <w:r w:rsidRPr="003F4E0C">
        <w:t>–</w:t>
      </w:r>
      <w:r>
        <w:t xml:space="preserve"> 28 February in Bangkok</w:t>
      </w:r>
    </w:p>
    <w:p w14:paraId="74D745C7" w14:textId="77777777" w:rsidR="003F4E0C" w:rsidRDefault="003F4E0C" w:rsidP="003F4E0C">
      <w:pPr>
        <w:pStyle w:val="ListParagraph"/>
        <w:pBdr>
          <w:bottom w:val="single" w:sz="12" w:space="1" w:color="auto"/>
        </w:pBdr>
        <w:spacing w:after="0" w:line="240" w:lineRule="auto"/>
        <w:ind w:left="0"/>
      </w:pP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151AC30E" w14:textId="77777777" w:rsidR="003F4E0C" w:rsidRPr="00F3390F" w:rsidRDefault="003F4E0C" w:rsidP="00F3390F">
      <w:pPr>
        <w:pBdr>
          <w:bottom w:val="single" w:sz="12" w:space="1" w:color="auto"/>
        </w:pBdr>
        <w:spacing w:after="0" w:line="240" w:lineRule="auto"/>
      </w:pPr>
    </w:p>
    <w:p w14:paraId="24143B88" w14:textId="77777777" w:rsidR="004A6934" w:rsidRDefault="004A6934" w:rsidP="00285C5C">
      <w:pPr>
        <w:spacing w:after="0" w:line="240" w:lineRule="auto"/>
        <w:rPr>
          <w:b/>
        </w:rPr>
      </w:pPr>
    </w:p>
    <w:p w14:paraId="373CA766" w14:textId="4CAD4610" w:rsidR="00A31ACC" w:rsidRPr="003F64AF" w:rsidRDefault="00A31ACC" w:rsidP="00BB5C7A">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BB5C7A">
      <w:pPr>
        <w:spacing w:after="0" w:line="240" w:lineRule="auto"/>
      </w:pPr>
      <w:r>
        <w:t>Insert Registration Confirmation Email copy here.</w:t>
      </w:r>
    </w:p>
    <w:p w14:paraId="5FB4037E" w14:textId="77777777" w:rsidR="00734A18" w:rsidRDefault="00734A18" w:rsidP="00BB5C7A">
      <w:pPr>
        <w:spacing w:after="0" w:line="240" w:lineRule="auto"/>
      </w:pPr>
    </w:p>
    <w:p w14:paraId="3E881783" w14:textId="2CB2BD4D" w:rsidR="003F4E0C" w:rsidRPr="00F56A34" w:rsidRDefault="00734A18" w:rsidP="00BB5C7A">
      <w:pPr>
        <w:spacing w:after="0" w:line="240" w:lineRule="auto"/>
      </w:pPr>
      <w:r w:rsidRPr="00F56A34">
        <w:t xml:space="preserve">Thank you for registering for </w:t>
      </w:r>
      <w:r w:rsidR="003F4E0C" w:rsidRPr="003F4E0C">
        <w:rPr>
          <w:i/>
        </w:rPr>
        <w:t>Examining Targeted Therapy in Hodgkin Disease and Non-Hodgkin Lymphoma: A Case-Based Discussion</w:t>
      </w:r>
      <w:r w:rsidR="003F4E0C">
        <w:rPr>
          <w:i/>
        </w:rPr>
        <w:t>,</w:t>
      </w:r>
      <w:r w:rsidR="003F4E0C">
        <w:t xml:space="preserve"> </w:t>
      </w:r>
      <w:r w:rsidR="003F4E0C" w:rsidRPr="003F4E0C">
        <w:t>a satellite symposium at the</w:t>
      </w:r>
      <w:r w:rsidR="003F4E0C">
        <w:t xml:space="preserve"> </w:t>
      </w:r>
      <w:r w:rsidR="00BB5C7A">
        <w:t>2015 Highlights of ASH® in Asia</w:t>
      </w:r>
      <w:r w:rsidR="003F4E0C">
        <w:t>.</w:t>
      </w:r>
    </w:p>
    <w:p w14:paraId="74DAAD1B" w14:textId="77777777" w:rsidR="00734A18" w:rsidRPr="00F56A34" w:rsidRDefault="00734A18" w:rsidP="00BB5C7A">
      <w:pPr>
        <w:spacing w:after="0" w:line="240" w:lineRule="auto"/>
      </w:pPr>
    </w:p>
    <w:p w14:paraId="042FE6E3" w14:textId="68B804C3" w:rsidR="00734A18" w:rsidRDefault="003F4E0C" w:rsidP="00BB5C7A">
      <w:pPr>
        <w:spacing w:after="0" w:line="240" w:lineRule="auto"/>
      </w:pPr>
      <w:r>
        <w:t>Saturday, 28 February 2015</w:t>
      </w:r>
    </w:p>
    <w:p w14:paraId="76DC89FE" w14:textId="577DA40A" w:rsidR="003F4E0C" w:rsidRPr="00F56A34" w:rsidRDefault="003F4E0C" w:rsidP="00BB5C7A">
      <w:pPr>
        <w:spacing w:after="0" w:line="240" w:lineRule="auto"/>
      </w:pPr>
      <w:r>
        <w:t>18.30 – 20.00</w:t>
      </w:r>
    </w:p>
    <w:p w14:paraId="3CB95287" w14:textId="77777777" w:rsidR="00734A18" w:rsidRPr="00F56A34" w:rsidRDefault="00734A18" w:rsidP="00BB5C7A">
      <w:pPr>
        <w:spacing w:after="0" w:line="240" w:lineRule="auto"/>
      </w:pPr>
    </w:p>
    <w:p w14:paraId="5BE515EF" w14:textId="6FF43D12" w:rsidR="003F4E0C" w:rsidRDefault="00BB5C7A" w:rsidP="00BB5C7A">
      <w:pPr>
        <w:spacing w:after="0" w:line="240" w:lineRule="auto"/>
      </w:pPr>
      <w:r>
        <w:t>Lotus Suite 5-7</w:t>
      </w:r>
    </w:p>
    <w:p w14:paraId="7E874AC3" w14:textId="77777777" w:rsidR="003F4E0C" w:rsidRDefault="003F4E0C" w:rsidP="00BB5C7A">
      <w:pPr>
        <w:spacing w:after="0" w:line="240" w:lineRule="auto"/>
      </w:pPr>
      <w:proofErr w:type="spellStart"/>
      <w:r>
        <w:t>Centara</w:t>
      </w:r>
      <w:proofErr w:type="spellEnd"/>
      <w:r>
        <w:t xml:space="preserve"> Grand at </w:t>
      </w:r>
      <w:proofErr w:type="spellStart"/>
      <w:r>
        <w:t>CentralWorld</w:t>
      </w:r>
      <w:proofErr w:type="spellEnd"/>
    </w:p>
    <w:p w14:paraId="274C0BFC" w14:textId="77777777" w:rsidR="003F4E0C" w:rsidRDefault="003F4E0C" w:rsidP="00BB5C7A">
      <w:pPr>
        <w:spacing w:after="0" w:line="240" w:lineRule="auto"/>
      </w:pPr>
      <w:r>
        <w:t xml:space="preserve">999/99 Rama 1 Road, </w:t>
      </w:r>
      <w:proofErr w:type="spellStart"/>
      <w:r>
        <w:t>Pathumwan</w:t>
      </w:r>
      <w:proofErr w:type="spellEnd"/>
    </w:p>
    <w:p w14:paraId="0DF3E1BB" w14:textId="2B7480AA" w:rsidR="00734A18" w:rsidRPr="00F56A34" w:rsidRDefault="003F4E0C" w:rsidP="00BB5C7A">
      <w:pPr>
        <w:spacing w:after="0" w:line="240" w:lineRule="auto"/>
      </w:pPr>
      <w:r>
        <w:t>Bangkok 10330, Thailand</w:t>
      </w:r>
    </w:p>
    <w:p w14:paraId="66E7B571" w14:textId="77777777" w:rsidR="00734A18" w:rsidRPr="003C0CFB" w:rsidRDefault="00734A18" w:rsidP="00BB5C7A">
      <w:pPr>
        <w:spacing w:after="0" w:line="240" w:lineRule="auto"/>
      </w:pPr>
    </w:p>
    <w:p w14:paraId="77F4DF55" w14:textId="77777777" w:rsidR="003F4E0C" w:rsidRDefault="003F4E0C" w:rsidP="00BB5C7A">
      <w:pPr>
        <w:spacing w:after="0" w:line="240" w:lineRule="auto"/>
      </w:pPr>
      <w:r>
        <w:t>Please do not hesitate to contact us should you require any further information.</w:t>
      </w:r>
    </w:p>
    <w:p w14:paraId="0828B572" w14:textId="77777777" w:rsidR="003F4E0C" w:rsidRDefault="003F4E0C" w:rsidP="00BB5C7A">
      <w:pPr>
        <w:spacing w:after="0" w:line="240" w:lineRule="auto"/>
      </w:pPr>
    </w:p>
    <w:p w14:paraId="1CC589BE" w14:textId="77777777" w:rsidR="003F4E0C" w:rsidRDefault="003F4E0C" w:rsidP="00BB5C7A">
      <w:pPr>
        <w:spacing w:after="0" w:line="240" w:lineRule="auto"/>
      </w:pPr>
      <w:r>
        <w:t>Kind regards,</w:t>
      </w:r>
    </w:p>
    <w:p w14:paraId="614201C2" w14:textId="77777777" w:rsidR="003F4E0C" w:rsidRDefault="003F4E0C" w:rsidP="00BB5C7A">
      <w:pPr>
        <w:spacing w:after="0" w:line="240" w:lineRule="auto"/>
      </w:pPr>
    </w:p>
    <w:p w14:paraId="3C4A511C" w14:textId="77777777" w:rsidR="003F4E0C" w:rsidRDefault="003F4E0C" w:rsidP="00BB5C7A">
      <w:pPr>
        <w:spacing w:after="0" w:line="240" w:lineRule="auto"/>
      </w:pPr>
      <w:r>
        <w:lastRenderedPageBreak/>
        <w:t>Saskia Speth</w:t>
      </w:r>
    </w:p>
    <w:p w14:paraId="0A166CA7" w14:textId="77777777" w:rsidR="003F4E0C" w:rsidRDefault="003F4E0C" w:rsidP="00BB5C7A">
      <w:pPr>
        <w:spacing w:after="0" w:line="240" w:lineRule="auto"/>
      </w:pPr>
      <w:proofErr w:type="gramStart"/>
      <w:r>
        <w:t>prIME</w:t>
      </w:r>
      <w:proofErr w:type="gramEnd"/>
      <w:r>
        <w:t xml:space="preserve"> Oncology</w:t>
      </w:r>
    </w:p>
    <w:p w14:paraId="1952EF1A" w14:textId="77777777" w:rsidR="003F4E0C" w:rsidRDefault="003F4E0C" w:rsidP="00BB5C7A">
      <w:pPr>
        <w:spacing w:after="0" w:line="240" w:lineRule="auto"/>
      </w:pPr>
      <w:r>
        <w:t>EU office: +31 70 30 67 190</w:t>
      </w:r>
    </w:p>
    <w:p w14:paraId="1DAB8746" w14:textId="77777777" w:rsidR="003F4E0C" w:rsidRDefault="003F4E0C" w:rsidP="00BB5C7A">
      <w:pPr>
        <w:spacing w:after="0" w:line="240" w:lineRule="auto"/>
      </w:pPr>
      <w:r>
        <w:t>Fax: +31 70 33 18 335</w:t>
      </w:r>
    </w:p>
    <w:p w14:paraId="32F8924B" w14:textId="793E30D7" w:rsidR="003F4E0C" w:rsidRPr="009E447D" w:rsidRDefault="003F4E0C" w:rsidP="00BB5C7A">
      <w:pPr>
        <w:spacing w:after="0" w:line="240" w:lineRule="auto"/>
        <w:rPr>
          <w:highlight w:val="yellow"/>
        </w:rPr>
      </w:pPr>
      <w:r>
        <w:t xml:space="preserve">Email: </w:t>
      </w:r>
      <w:hyperlink r:id="rId12" w:history="1">
        <w:r w:rsidRPr="00B25DC3">
          <w:rPr>
            <w:rStyle w:val="Hyperlink"/>
          </w:rPr>
          <w:t>Saskia.Speth@prIMEoncology.org</w:t>
        </w:r>
      </w:hyperlink>
      <w:r>
        <w:t xml:space="preserve"> </w:t>
      </w: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444C50">
        <w:trPr>
          <w:jc w:val="center"/>
        </w:trPr>
        <w:tc>
          <w:tcPr>
            <w:tcW w:w="2538" w:type="dxa"/>
          </w:tcPr>
          <w:p w14:paraId="170AD48B" w14:textId="77777777" w:rsidR="007B3532" w:rsidRPr="0026285A" w:rsidRDefault="007B3532" w:rsidP="00444C50">
            <w:pPr>
              <w:rPr>
                <w:b/>
              </w:rPr>
            </w:pPr>
            <w:r w:rsidRPr="0026285A">
              <w:rPr>
                <w:b/>
              </w:rPr>
              <w:t>Project Name (internal)</w:t>
            </w:r>
          </w:p>
        </w:tc>
        <w:tc>
          <w:tcPr>
            <w:tcW w:w="2250" w:type="dxa"/>
          </w:tcPr>
          <w:p w14:paraId="158887C7" w14:textId="77777777" w:rsidR="007B3532" w:rsidRPr="0026285A" w:rsidRDefault="007B3532" w:rsidP="00444C50"/>
        </w:tc>
        <w:tc>
          <w:tcPr>
            <w:tcW w:w="2610" w:type="dxa"/>
          </w:tcPr>
          <w:p w14:paraId="31CDA85F" w14:textId="77777777" w:rsidR="007B3532" w:rsidRPr="0026285A" w:rsidRDefault="007B3532" w:rsidP="00444C50">
            <w:pPr>
              <w:rPr>
                <w:b/>
              </w:rPr>
            </w:pPr>
            <w:r w:rsidRPr="0026285A">
              <w:rPr>
                <w:b/>
              </w:rPr>
              <w:t>Project Code</w:t>
            </w:r>
          </w:p>
        </w:tc>
        <w:tc>
          <w:tcPr>
            <w:tcW w:w="2178" w:type="dxa"/>
          </w:tcPr>
          <w:p w14:paraId="39C11E80" w14:textId="77777777" w:rsidR="007B3532" w:rsidRPr="0026285A" w:rsidRDefault="007B3532" w:rsidP="00444C50"/>
        </w:tc>
      </w:tr>
      <w:tr w:rsidR="007B3532" w:rsidRPr="0026285A" w14:paraId="2B439F58" w14:textId="77777777" w:rsidTr="00444C50">
        <w:trPr>
          <w:jc w:val="center"/>
        </w:trPr>
        <w:tc>
          <w:tcPr>
            <w:tcW w:w="2538" w:type="dxa"/>
          </w:tcPr>
          <w:p w14:paraId="0590A753" w14:textId="77777777" w:rsidR="007B3532" w:rsidRPr="0026285A" w:rsidRDefault="007B3532" w:rsidP="00444C50">
            <w:pPr>
              <w:rPr>
                <w:b/>
              </w:rPr>
            </w:pPr>
            <w:r w:rsidRPr="0026285A">
              <w:rPr>
                <w:b/>
              </w:rPr>
              <w:t>Virtual Project Manager</w:t>
            </w:r>
          </w:p>
        </w:tc>
        <w:tc>
          <w:tcPr>
            <w:tcW w:w="2250" w:type="dxa"/>
          </w:tcPr>
          <w:p w14:paraId="196FC3C4" w14:textId="77777777" w:rsidR="007B3532" w:rsidRPr="0026285A" w:rsidRDefault="00BB5C7A" w:rsidP="00444C50">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444C50">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444C50">
                <w:r w:rsidRPr="0065374A">
                  <w:rPr>
                    <w:rStyle w:val="PlaceholderText"/>
                  </w:rPr>
                  <w:t>Choose an item.</w:t>
                </w:r>
              </w:p>
            </w:tc>
          </w:sdtContent>
        </w:sdt>
      </w:tr>
      <w:tr w:rsidR="007B3532" w:rsidRPr="0026285A" w14:paraId="4C0E6711" w14:textId="77777777" w:rsidTr="00444C50">
        <w:trPr>
          <w:jc w:val="center"/>
        </w:trPr>
        <w:tc>
          <w:tcPr>
            <w:tcW w:w="2538" w:type="dxa"/>
          </w:tcPr>
          <w:p w14:paraId="5C44CAA2" w14:textId="77777777" w:rsidR="007B3532" w:rsidRPr="0026285A" w:rsidRDefault="007B3532" w:rsidP="00444C50">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444C50">
                <w:r w:rsidRPr="0026285A">
                  <w:rPr>
                    <w:rStyle w:val="PlaceholderText"/>
                  </w:rPr>
                  <w:t>Choose an item.</w:t>
                </w:r>
              </w:p>
            </w:tc>
          </w:sdtContent>
        </w:sdt>
        <w:tc>
          <w:tcPr>
            <w:tcW w:w="2610" w:type="dxa"/>
          </w:tcPr>
          <w:p w14:paraId="6E852F92" w14:textId="77777777" w:rsidR="007B3532" w:rsidRPr="0026285A" w:rsidRDefault="007B3532" w:rsidP="00444C50">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444C50">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3"/>
          <w:footerReference w:type="default" r:id="rId14"/>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110E06E4" w:rsidR="007B3532" w:rsidRPr="004333EE" w:rsidRDefault="00BB5C7A"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sidRPr="004333EE">
        <w:rPr>
          <w:sz w:val="24"/>
          <w:szCs w:val="24"/>
        </w:rPr>
        <w:t>Webcast</w:t>
      </w:r>
    </w:p>
    <w:p w14:paraId="216F73B8" w14:textId="310EAE03" w:rsidR="007B3532" w:rsidRPr="004333EE" w:rsidRDefault="00BB5C7A"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BB5C7A"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BB5C7A"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BB5C7A"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2B4F9DCF" w:rsidR="007B3532" w:rsidRDefault="00BB5C7A"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Yes</w:t>
      </w:r>
    </w:p>
    <w:p w14:paraId="1E18BCD3" w14:textId="77777777" w:rsidR="007B3532" w:rsidRDefault="00BB5C7A"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64256B9C" w:rsidR="007B3532" w:rsidRDefault="00BB5C7A"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Only One</w:t>
      </w:r>
    </w:p>
    <w:p w14:paraId="4B8486BF" w14:textId="77777777" w:rsidR="007B3532" w:rsidRDefault="00BB5C7A"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BB5C7A"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BB5C7A"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2BAB4EB" w:rsidR="007B3532" w:rsidRDefault="00BB5C7A" w:rsidP="007B3532">
      <w:pPr>
        <w:pStyle w:val="ListParagraph"/>
        <w:ind w:left="0"/>
        <w:rPr>
          <w:sz w:val="24"/>
          <w:szCs w:val="24"/>
        </w:rPr>
      </w:pPr>
      <w:sdt>
        <w:sdtPr>
          <w:rPr>
            <w:sz w:val="24"/>
            <w:szCs w:val="24"/>
          </w:rPr>
          <w:id w:val="192043351"/>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BB5C7A"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BB5C7A"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BB5C7A"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BB5C7A"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2C3D8340" w:rsidR="007B3532" w:rsidRDefault="00BB5C7A"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007B3532">
        <w:rPr>
          <w:sz w:val="24"/>
          <w:szCs w:val="24"/>
        </w:rPr>
        <w:t>Yes</w:t>
      </w:r>
    </w:p>
    <w:p w14:paraId="6CD97A02" w14:textId="7EF724F8" w:rsidR="007B3532" w:rsidRDefault="00BB5C7A"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r w:rsidRPr="00D82046">
        <w:rPr>
          <w:sz w:val="24"/>
          <w:szCs w:val="24"/>
        </w:rPr>
        <w:t>:</w:t>
      </w:r>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r>
        <w:rPr>
          <w:b/>
          <w:sz w:val="24"/>
          <w:szCs w:val="24"/>
        </w:rPr>
        <w:t>CME?</w:t>
      </w:r>
    </w:p>
    <w:p w14:paraId="3A3C5D28" w14:textId="77777777" w:rsidR="007B3532" w:rsidRDefault="00BB5C7A"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0EEB7840" w:rsidR="007B3532" w:rsidRDefault="00BB5C7A"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6549C7A4" w:rsidR="007B3532" w:rsidRDefault="00BB5C7A" w:rsidP="007B3532">
      <w:pPr>
        <w:pStyle w:val="ListParagraph"/>
        <w:ind w:left="0"/>
        <w:rPr>
          <w:rStyle w:val="Hyperlink"/>
        </w:rPr>
      </w:pPr>
      <w:hyperlink r:id="rId15" w:history="1">
        <w:r w:rsidR="00D51314" w:rsidRPr="00B25DC3">
          <w:rPr>
            <w:rStyle w:val="Hyperlink"/>
          </w:rPr>
          <w:t>www.prIMEoncology.org/Lymphoma_Bangkok2015_</w:t>
        </w:r>
        <w:r w:rsidR="00D51314">
          <w:rPr>
            <w:rStyle w:val="Hyperlink"/>
          </w:rPr>
          <w:t>Webcast</w:t>
        </w:r>
      </w:hyperlink>
    </w:p>
    <w:p w14:paraId="740D0F5E" w14:textId="77777777" w:rsidR="00445A11" w:rsidRDefault="00445A11"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5BA22079" w:rsidR="007B3532" w:rsidRDefault="00BB5C7A" w:rsidP="007B3532">
      <w:pPr>
        <w:pStyle w:val="ListParagraph"/>
        <w:ind w:left="0"/>
        <w:rPr>
          <w:sz w:val="24"/>
          <w:szCs w:val="24"/>
        </w:rPr>
      </w:pPr>
      <w:sdt>
        <w:sdtPr>
          <w:rPr>
            <w:b/>
            <w:sz w:val="24"/>
            <w:szCs w:val="24"/>
          </w:rPr>
          <w:id w:val="-1624832377"/>
          <w14:checkbox>
            <w14:checked w14:val="1"/>
            <w14:checkedState w14:val="2612" w14:font="MS Gothic"/>
            <w14:uncheckedState w14:val="2610" w14:font="MS Gothic"/>
          </w14:checkbox>
        </w:sdtPr>
        <w:sdtEndPr/>
        <w:sdtContent>
          <w:r w:rsidR="00445A11">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BB5C7A"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BB5C7A"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BB5C7A"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BB5C7A"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lastRenderedPageBreak/>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Downloadable Slides From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48D3F92D"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lastRenderedPageBreak/>
        <w:t>Topic:</w:t>
      </w:r>
      <w:r>
        <w:tab/>
      </w:r>
      <w:r>
        <w:tab/>
      </w:r>
      <w:r>
        <w:tab/>
        <w:t>Insert agenda topic</w:t>
      </w:r>
    </w:p>
    <w:p w14:paraId="24B5CF18" w14:textId="77777777" w:rsidR="0091793F" w:rsidRDefault="0091793F" w:rsidP="0091793F">
      <w:r>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lastRenderedPageBreak/>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6"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lastRenderedPageBreak/>
        <w:t>Landing Page Title:</w:t>
      </w:r>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Meta Description</w:t>
      </w:r>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Key Words and Key Phrases</w:t>
      </w:r>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B3236D" w:rsidRDefault="00B3236D" w:rsidP="007A0164">
      <w:pPr>
        <w:spacing w:after="0" w:line="240" w:lineRule="auto"/>
      </w:pPr>
      <w:r>
        <w:separator/>
      </w:r>
    </w:p>
  </w:endnote>
  <w:endnote w:type="continuationSeparator" w:id="0">
    <w:p w14:paraId="283F2799" w14:textId="77777777" w:rsidR="00B3236D" w:rsidRDefault="00B3236D" w:rsidP="007A0164">
      <w:pPr>
        <w:spacing w:after="0" w:line="240" w:lineRule="auto"/>
      </w:pPr>
      <w:r>
        <w:continuationSeparator/>
      </w:r>
    </w:p>
  </w:endnote>
  <w:endnote w:type="continuationNotice" w:id="1">
    <w:p w14:paraId="15F34E58" w14:textId="77777777" w:rsidR="00B3236D" w:rsidRDefault="00B32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ilero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B3236D" w:rsidRDefault="00B32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B3236D" w:rsidRDefault="00B3236D" w:rsidP="007A0164">
      <w:pPr>
        <w:spacing w:after="0" w:line="240" w:lineRule="auto"/>
      </w:pPr>
      <w:r>
        <w:separator/>
      </w:r>
    </w:p>
  </w:footnote>
  <w:footnote w:type="continuationSeparator" w:id="0">
    <w:p w14:paraId="689C2D91" w14:textId="77777777" w:rsidR="00B3236D" w:rsidRDefault="00B3236D" w:rsidP="007A0164">
      <w:pPr>
        <w:spacing w:after="0" w:line="240" w:lineRule="auto"/>
      </w:pPr>
      <w:r>
        <w:continuationSeparator/>
      </w:r>
    </w:p>
  </w:footnote>
  <w:footnote w:type="continuationNotice" w:id="1">
    <w:p w14:paraId="1E18B4C1" w14:textId="77777777" w:rsidR="00B3236D" w:rsidRDefault="00B323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B3236D" w:rsidRDefault="00B3236D" w:rsidP="007A0164">
    <w:pPr>
      <w:pStyle w:val="Header"/>
      <w:pBdr>
        <w:bottom w:val="single" w:sz="12" w:space="1" w:color="auto"/>
      </w:pBdr>
      <w:jc w:val="center"/>
      <w:rPr>
        <w:sz w:val="28"/>
      </w:rPr>
    </w:pPr>
    <w:r w:rsidRPr="007A0164">
      <w:rPr>
        <w:sz w:val="28"/>
      </w:rPr>
      <w:t>ALL COPY TEMPLATE</w:t>
    </w:r>
  </w:p>
  <w:p w14:paraId="45BF219F" w14:textId="77777777" w:rsidR="00B3236D" w:rsidRPr="007A0164" w:rsidRDefault="00B3236D"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264A"/>
    <w:multiLevelType w:val="hybridMultilevel"/>
    <w:tmpl w:val="99EA2BAA"/>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B1382"/>
    <w:multiLevelType w:val="hybridMultilevel"/>
    <w:tmpl w:val="2BA22DF6"/>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0CA562D"/>
    <w:multiLevelType w:val="hybridMultilevel"/>
    <w:tmpl w:val="A9941B3C"/>
    <w:lvl w:ilvl="0" w:tplc="49AE1942">
      <w:start w:val="1"/>
      <w:numFmt w:val="bullet"/>
      <w:lvlText w:val=""/>
      <w:lvlJc w:val="left"/>
      <w:pPr>
        <w:tabs>
          <w:tab w:val="num" w:pos="720"/>
        </w:tabs>
        <w:ind w:left="720" w:hanging="360"/>
      </w:pPr>
      <w:rPr>
        <w:rFonts w:ascii="Symbol" w:hAnsi="Symbol" w:hint="default"/>
        <w:color w:val="5F606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F1A82"/>
    <w:multiLevelType w:val="hybridMultilevel"/>
    <w:tmpl w:val="AE00D140"/>
    <w:lvl w:ilvl="0" w:tplc="259A114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2"/>
  </w:num>
  <w:num w:numId="4">
    <w:abstractNumId w:val="11"/>
  </w:num>
  <w:num w:numId="5">
    <w:abstractNumId w:val="13"/>
  </w:num>
  <w:num w:numId="6">
    <w:abstractNumId w:val="19"/>
  </w:num>
  <w:num w:numId="7">
    <w:abstractNumId w:val="10"/>
  </w:num>
  <w:num w:numId="8">
    <w:abstractNumId w:val="15"/>
  </w:num>
  <w:num w:numId="9">
    <w:abstractNumId w:val="1"/>
  </w:num>
  <w:num w:numId="10">
    <w:abstractNumId w:val="16"/>
  </w:num>
  <w:num w:numId="11">
    <w:abstractNumId w:val="17"/>
  </w:num>
  <w:num w:numId="12">
    <w:abstractNumId w:val="20"/>
  </w:num>
  <w:num w:numId="13">
    <w:abstractNumId w:val="3"/>
  </w:num>
  <w:num w:numId="14">
    <w:abstractNumId w:val="14"/>
  </w:num>
  <w:num w:numId="15">
    <w:abstractNumId w:val="8"/>
  </w:num>
  <w:num w:numId="16">
    <w:abstractNumId w:val="0"/>
  </w:num>
  <w:num w:numId="17">
    <w:abstractNumId w:val="9"/>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1014D3"/>
    <w:rsid w:val="0014011D"/>
    <w:rsid w:val="00143AB7"/>
    <w:rsid w:val="00176D2C"/>
    <w:rsid w:val="00183963"/>
    <w:rsid w:val="00195FD8"/>
    <w:rsid w:val="001B0EA4"/>
    <w:rsid w:val="0020366E"/>
    <w:rsid w:val="0020510A"/>
    <w:rsid w:val="00215049"/>
    <w:rsid w:val="002277CB"/>
    <w:rsid w:val="00227DFC"/>
    <w:rsid w:val="00235074"/>
    <w:rsid w:val="00267A30"/>
    <w:rsid w:val="00285C5C"/>
    <w:rsid w:val="002A0559"/>
    <w:rsid w:val="002A3E42"/>
    <w:rsid w:val="002B36FF"/>
    <w:rsid w:val="002C0E35"/>
    <w:rsid w:val="002C2D1B"/>
    <w:rsid w:val="002C3D5D"/>
    <w:rsid w:val="002F1E5A"/>
    <w:rsid w:val="00326C53"/>
    <w:rsid w:val="00335698"/>
    <w:rsid w:val="00352724"/>
    <w:rsid w:val="003A12FE"/>
    <w:rsid w:val="003C0CFB"/>
    <w:rsid w:val="003F4E0C"/>
    <w:rsid w:val="003F64AF"/>
    <w:rsid w:val="003F7B54"/>
    <w:rsid w:val="00424CB2"/>
    <w:rsid w:val="004261CA"/>
    <w:rsid w:val="004421DD"/>
    <w:rsid w:val="00444C50"/>
    <w:rsid w:val="00445A11"/>
    <w:rsid w:val="004469C0"/>
    <w:rsid w:val="004A6934"/>
    <w:rsid w:val="004A7029"/>
    <w:rsid w:val="004D7A60"/>
    <w:rsid w:val="004F69C2"/>
    <w:rsid w:val="00507217"/>
    <w:rsid w:val="00514E20"/>
    <w:rsid w:val="0053113C"/>
    <w:rsid w:val="00532778"/>
    <w:rsid w:val="00573206"/>
    <w:rsid w:val="005A343A"/>
    <w:rsid w:val="005A412D"/>
    <w:rsid w:val="005B5B5D"/>
    <w:rsid w:val="005C3B35"/>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7F5292"/>
    <w:rsid w:val="00844244"/>
    <w:rsid w:val="00847793"/>
    <w:rsid w:val="008815DD"/>
    <w:rsid w:val="00882B92"/>
    <w:rsid w:val="008849BB"/>
    <w:rsid w:val="00885D09"/>
    <w:rsid w:val="00887D38"/>
    <w:rsid w:val="008E0820"/>
    <w:rsid w:val="0090063D"/>
    <w:rsid w:val="0091793F"/>
    <w:rsid w:val="0092265D"/>
    <w:rsid w:val="00952974"/>
    <w:rsid w:val="00954B15"/>
    <w:rsid w:val="00963419"/>
    <w:rsid w:val="009A17CA"/>
    <w:rsid w:val="009C0D7C"/>
    <w:rsid w:val="009D0EF3"/>
    <w:rsid w:val="009D7D6F"/>
    <w:rsid w:val="009E1A34"/>
    <w:rsid w:val="009E3A02"/>
    <w:rsid w:val="009E447D"/>
    <w:rsid w:val="009E5B13"/>
    <w:rsid w:val="00A21EB2"/>
    <w:rsid w:val="00A26DF5"/>
    <w:rsid w:val="00A31ACC"/>
    <w:rsid w:val="00A453CE"/>
    <w:rsid w:val="00A868F4"/>
    <w:rsid w:val="00A87A60"/>
    <w:rsid w:val="00AC6372"/>
    <w:rsid w:val="00B10689"/>
    <w:rsid w:val="00B3236D"/>
    <w:rsid w:val="00B61FE1"/>
    <w:rsid w:val="00B7207F"/>
    <w:rsid w:val="00B74B2D"/>
    <w:rsid w:val="00B85FDF"/>
    <w:rsid w:val="00B95987"/>
    <w:rsid w:val="00BA44FF"/>
    <w:rsid w:val="00BA6C74"/>
    <w:rsid w:val="00BB5C7A"/>
    <w:rsid w:val="00BB5FC0"/>
    <w:rsid w:val="00BC31C6"/>
    <w:rsid w:val="00BE0192"/>
    <w:rsid w:val="00BE7A4F"/>
    <w:rsid w:val="00BF20C5"/>
    <w:rsid w:val="00C04226"/>
    <w:rsid w:val="00C06B67"/>
    <w:rsid w:val="00C30556"/>
    <w:rsid w:val="00C34304"/>
    <w:rsid w:val="00C36C2B"/>
    <w:rsid w:val="00C7566C"/>
    <w:rsid w:val="00C9709A"/>
    <w:rsid w:val="00CA0F78"/>
    <w:rsid w:val="00CA4A43"/>
    <w:rsid w:val="00CC5F4C"/>
    <w:rsid w:val="00CE4E83"/>
    <w:rsid w:val="00D34FED"/>
    <w:rsid w:val="00D41D57"/>
    <w:rsid w:val="00D51314"/>
    <w:rsid w:val="00D6119E"/>
    <w:rsid w:val="00D95E9B"/>
    <w:rsid w:val="00DB46F0"/>
    <w:rsid w:val="00DC10BA"/>
    <w:rsid w:val="00DC38BE"/>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EF67B5"/>
    <w:rsid w:val="00F3390F"/>
    <w:rsid w:val="00F3569D"/>
    <w:rsid w:val="00F35E99"/>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075280178">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skia.Speth@prIMEoncology.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rimeoncology.org/footer-e-pages/terms_of_use.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IMEoncology.org/Lymphoma_Bangkok2015_Webcast" TargetMode="External"/><Relationship Id="rId5" Type="http://schemas.microsoft.com/office/2007/relationships/stylesWithEffects" Target="stylesWithEffects.xml"/><Relationship Id="rId15" Type="http://schemas.openxmlformats.org/officeDocument/2006/relationships/hyperlink" Target="http://www.prIMEoncology.org/Lymphoma_Bangkok2015_PDS" TargetMode="External"/><Relationship Id="rId10" Type="http://schemas.openxmlformats.org/officeDocument/2006/relationships/hyperlink" Target="http://www.prIMEoncology.org/Lymphoma_Bangkok201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ilero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44F3D"/>
    <w:rsid w:val="00285E65"/>
    <w:rsid w:val="002C6A0F"/>
    <w:rsid w:val="002F0376"/>
    <w:rsid w:val="002F618E"/>
    <w:rsid w:val="00477241"/>
    <w:rsid w:val="005A7D54"/>
    <w:rsid w:val="00676D7C"/>
    <w:rsid w:val="007447AC"/>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A98F4-B9B1-4335-87DF-49399831B13E}">
  <ds:schemaRefs>
    <ds:schemaRef ds:uri="http://schemas.openxmlformats.org/officeDocument/2006/bibliography"/>
  </ds:schemaRefs>
</ds:datastoreItem>
</file>

<file path=customXml/itemProps2.xml><?xml version="1.0" encoding="utf-8"?>
<ds:datastoreItem xmlns:ds="http://schemas.openxmlformats.org/officeDocument/2006/customXml" ds:itemID="{75CECEAD-7BA8-4D19-996D-E5FAC85F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3224</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Saskia Speth</cp:lastModifiedBy>
  <cp:revision>7</cp:revision>
  <dcterms:created xsi:type="dcterms:W3CDTF">2014-12-18T05:40:00Z</dcterms:created>
  <dcterms:modified xsi:type="dcterms:W3CDTF">2014-12-24T12:48:00Z</dcterms:modified>
</cp:coreProperties>
</file>