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jxnz4i9bo7s" w:id="0"/>
      <w:bookmarkEnd w:id="0"/>
      <w:r w:rsidDel="00000000" w:rsidR="00000000" w:rsidRPr="00000000">
        <w:rPr>
          <w:b w:val="1"/>
          <w:color w:val="000000"/>
          <w:sz w:val="26"/>
          <w:szCs w:val="26"/>
          <w:rtl w:val="0"/>
        </w:rPr>
        <w:t xml:space="preserve">Report: Analysis of Countries with the Best and Worst COVID-19 Responses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ftoxzc6mxq6"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COVID-19 pandemic challenged countries worldwide, requiring rapid responses across healthcare, governance, and public health sectors. This report examines and compares the effectiveness of various countries' responses over the first two years of the pandemic, focusing on those with the best and worst trends in COVID-19 cases. Trends in new cases are used as a primary indicator, highlighting which countries managed to mitigate transmission effectively and which faced difficulties.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9x2bqycc364" w:id="2"/>
      <w:bookmarkEnd w:id="2"/>
      <w:r w:rsidDel="00000000" w:rsidR="00000000" w:rsidRPr="00000000">
        <w:rPr>
          <w:b w:val="1"/>
          <w:color w:val="000000"/>
          <w:sz w:val="22"/>
          <w:szCs w:val="22"/>
          <w:rtl w:val="0"/>
        </w:rPr>
        <w:t xml:space="preserve">Methodology</w:t>
      </w:r>
    </w:p>
    <w:p w:rsidR="00000000" w:rsidDel="00000000" w:rsidP="00000000" w:rsidRDefault="00000000" w:rsidRPr="00000000" w14:paraId="00000005">
      <w:pPr>
        <w:spacing w:after="240" w:before="240" w:lineRule="auto"/>
        <w:rPr/>
      </w:pPr>
      <w:r w:rsidDel="00000000" w:rsidR="00000000" w:rsidRPr="00000000">
        <w:rPr>
          <w:rtl w:val="0"/>
        </w:rPr>
        <w:t xml:space="preserve">The analysis relied on data collected over a two-year period from early 2020 to early 2022. The main metric used was the </w:t>
      </w:r>
      <w:r w:rsidDel="00000000" w:rsidR="00000000" w:rsidRPr="00000000">
        <w:rPr>
          <w:b w:val="1"/>
          <w:rtl w:val="0"/>
        </w:rPr>
        <w:t xml:space="preserve">trend in new COVID-19 cases</w:t>
      </w:r>
      <w:r w:rsidDel="00000000" w:rsidR="00000000" w:rsidRPr="00000000">
        <w:rPr>
          <w:rtl w:val="0"/>
        </w:rPr>
        <w:t xml:space="preserve">, represented by the slope of new cases over time: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Countries with a decreasing trend in cases</w:t>
      </w:r>
      <w:r w:rsidDel="00000000" w:rsidR="00000000" w:rsidRPr="00000000">
        <w:rPr>
          <w:rtl w:val="0"/>
        </w:rPr>
        <w:t xml:space="preserve"> were categorized as having the best responses, as they demonstrated effective containment and mitigation measures.</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Countries with a sharply increasing trend in cases</w:t>
      </w:r>
      <w:r w:rsidDel="00000000" w:rsidR="00000000" w:rsidRPr="00000000">
        <w:rPr>
          <w:rtl w:val="0"/>
        </w:rPr>
        <w:t xml:space="preserve"> were classified as having the worst responses, indicating struggles with control and containment.</w:t>
      </w:r>
    </w:p>
    <w:p w:rsidR="00000000" w:rsidDel="00000000" w:rsidP="00000000" w:rsidRDefault="00000000" w:rsidRPr="00000000" w14:paraId="00000008">
      <w:pPr>
        <w:spacing w:after="240" w:before="240" w:lineRule="auto"/>
        <w:rPr/>
      </w:pPr>
      <w:r w:rsidDel="00000000" w:rsidR="00000000" w:rsidRPr="00000000">
        <w:rPr>
          <w:rtl w:val="0"/>
        </w:rPr>
        <w:t xml:space="preserve">In addition, factors such as vaccination rollout, healthcare capacity, government policies, public compliance, and pre-existing health conditions were considered to provide context to each country’s case trends.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1sfk03vjhcxc" w:id="3"/>
      <w:bookmarkEnd w:id="3"/>
      <w:r w:rsidDel="00000000" w:rsidR="00000000" w:rsidRPr="00000000">
        <w:rPr>
          <w:b w:val="1"/>
          <w:color w:val="000000"/>
          <w:sz w:val="22"/>
          <w:szCs w:val="22"/>
          <w:rtl w:val="0"/>
        </w:rPr>
        <w:t xml:space="preserve">Findings</w:t>
      </w:r>
    </w:p>
    <w:p w:rsidR="00000000" w:rsidDel="00000000" w:rsidP="00000000" w:rsidRDefault="00000000" w:rsidRPr="00000000" w14:paraId="0000000A">
      <w:pPr>
        <w:pStyle w:val="Heading5"/>
        <w:keepNext w:val="0"/>
        <w:keepLines w:val="0"/>
        <w:spacing w:after="40" w:before="220" w:lineRule="auto"/>
        <w:rPr>
          <w:b w:val="1"/>
          <w:color w:val="000000"/>
          <w:sz w:val="20"/>
          <w:szCs w:val="20"/>
        </w:rPr>
      </w:pPr>
      <w:bookmarkStart w:colFirst="0" w:colLast="0" w:name="_r62oods592jy" w:id="4"/>
      <w:bookmarkEnd w:id="4"/>
      <w:r w:rsidDel="00000000" w:rsidR="00000000" w:rsidRPr="00000000">
        <w:rPr>
          <w:b w:val="1"/>
          <w:color w:val="000000"/>
          <w:sz w:val="20"/>
          <w:szCs w:val="20"/>
          <w:rtl w:val="0"/>
        </w:rPr>
        <w:t xml:space="preserve">Countries with the Best Responses</w:t>
      </w:r>
    </w:p>
    <w:p w:rsidR="00000000" w:rsidDel="00000000" w:rsidP="00000000" w:rsidRDefault="00000000" w:rsidRPr="00000000" w14:paraId="0000000B">
      <w:pPr>
        <w:spacing w:after="240" w:before="240" w:lineRule="auto"/>
        <w:rPr/>
      </w:pPr>
      <w:r w:rsidDel="00000000" w:rsidR="00000000" w:rsidRPr="00000000">
        <w:rPr>
          <w:rtl w:val="0"/>
        </w:rPr>
        <w:t xml:space="preserve">The countries with the most successful COVID-19 responses, as indicated by declining case trends, include: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Saudi Arabia</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China</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Qatar</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Tajikistan</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Sudan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Hong Kong</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Djibouti</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Chad</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Palau</w:t>
      </w:r>
    </w:p>
    <w:p w:rsidR="00000000" w:rsidDel="00000000" w:rsidP="00000000" w:rsidRDefault="00000000" w:rsidRPr="00000000" w14:paraId="00000015">
      <w:pPr>
        <w:spacing w:after="240" w:before="240" w:lineRule="auto"/>
        <w:rPr/>
      </w:pPr>
      <w:r w:rsidDel="00000000" w:rsidR="00000000" w:rsidRPr="00000000">
        <w:rPr>
          <w:rtl w:val="0"/>
        </w:rPr>
        <w:t xml:space="preserve">These countries exhibited consistently low or decreasing case trends, suggesting effective containment strategies. Key factors contributing to their success include:</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Rapid and Coordinated Government Actions</w:t>
      </w:r>
      <w:r w:rsidDel="00000000" w:rsidR="00000000" w:rsidRPr="00000000">
        <w:rPr>
          <w:rtl w:val="0"/>
        </w:rPr>
        <w:t xml:space="preserve">: Many of these countries implemented swift lockdowns, enforced social distancing, and used rigorous contact tracing early in the pandemic.</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Strict Border Control and Travel Restrictions</w:t>
      </w:r>
      <w:r w:rsidDel="00000000" w:rsidR="00000000" w:rsidRPr="00000000">
        <w:rPr>
          <w:rtl w:val="0"/>
        </w:rPr>
        <w:t xml:space="preserve">: Countries like China and Saudi Arabia introduced stringent travel restrictions, which helped minimize imported cases.</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Public Compliance and Cultural Factors</w:t>
      </w:r>
      <w:r w:rsidDel="00000000" w:rsidR="00000000" w:rsidRPr="00000000">
        <w:rPr>
          <w:rtl w:val="0"/>
        </w:rPr>
        <w:t xml:space="preserve">: Some countries benefited from high public trust in government actions, which translated into strong adherence to mask mandates and social distancing measures.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Robust Health Infrastructure</w:t>
      </w:r>
      <w:r w:rsidDel="00000000" w:rsidR="00000000" w:rsidRPr="00000000">
        <w:rPr>
          <w:rtl w:val="0"/>
        </w:rPr>
        <w:t xml:space="preserve">: Qatar and Hong Kong had well-prepared healthcare systems that could handle surges in cases without overwhelming resources.</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z35g4rb2szvm" w:id="5"/>
      <w:bookmarkEnd w:id="5"/>
      <w:r w:rsidDel="00000000" w:rsidR="00000000" w:rsidRPr="00000000">
        <w:rPr>
          <w:b w:val="1"/>
          <w:color w:val="000000"/>
          <w:sz w:val="20"/>
          <w:szCs w:val="20"/>
          <w:rtl w:val="0"/>
        </w:rPr>
        <w:t xml:space="preserve">Countries with the Worst Responses</w:t>
      </w:r>
    </w:p>
    <w:p w:rsidR="00000000" w:rsidDel="00000000" w:rsidP="00000000" w:rsidRDefault="00000000" w:rsidRPr="00000000" w14:paraId="0000001B">
      <w:pPr>
        <w:spacing w:after="240" w:before="240" w:lineRule="auto"/>
        <w:rPr/>
      </w:pPr>
      <w:r w:rsidDel="00000000" w:rsidR="00000000" w:rsidRPr="00000000">
        <w:rPr>
          <w:rtl w:val="0"/>
        </w:rPr>
        <w:t xml:space="preserve">The countries with the most concerning trends, marked by increasing case rates, were:</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India</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United States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Brazil</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United Kingdom</w:t>
      </w:r>
    </w:p>
    <w:p w:rsidR="00000000" w:rsidDel="00000000" w:rsidP="00000000" w:rsidRDefault="00000000" w:rsidRPr="00000000" w14:paraId="00000020">
      <w:pPr>
        <w:spacing w:after="240" w:before="240" w:lineRule="auto"/>
        <w:rPr/>
      </w:pPr>
      <w:r w:rsidDel="00000000" w:rsidR="00000000" w:rsidRPr="00000000">
        <w:rPr>
          <w:rtl w:val="0"/>
        </w:rPr>
        <w:t xml:space="preserve">These nations faced significant challenges in containing COVID-19 spread, with high case numbers persisting over the two-year period. Factors contributing to these outcomes include: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High Population Density and Mobility</w:t>
      </w:r>
      <w:r w:rsidDel="00000000" w:rsidR="00000000" w:rsidRPr="00000000">
        <w:rPr>
          <w:rtl w:val="0"/>
        </w:rPr>
        <w:t xml:space="preserve">: Countries like India and the United States faced challenges due to high urban population density and frequent movement within and between states, facilitating viral transmission.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Delays in Policy Implementation</w:t>
      </w:r>
      <w:r w:rsidDel="00000000" w:rsidR="00000000" w:rsidRPr="00000000">
        <w:rPr>
          <w:rtl w:val="0"/>
        </w:rPr>
        <w:t xml:space="preserve">: The timing and coordination of lockdowns, social distancing, and mask mandates varied, leading to inconsistent containment efforts.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Healthcare System Strain</w:t>
      </w:r>
      <w:r w:rsidDel="00000000" w:rsidR="00000000" w:rsidRPr="00000000">
        <w:rPr>
          <w:rtl w:val="0"/>
        </w:rPr>
        <w:t xml:space="preserve">: In several instances, hospitals in these countries faced shortages of ICU beds, ventilators, and medical personnel, especially during case surges, which impacted their capacity to provide timely care.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Vaccine Rollout and Hesitancy</w:t>
      </w:r>
      <w:r w:rsidDel="00000000" w:rsidR="00000000" w:rsidRPr="00000000">
        <w:rPr>
          <w:rtl w:val="0"/>
        </w:rPr>
        <w:t xml:space="preserve">: Although vaccines became widely available in 2021, the United States and Brazil saw significant vaccine hesitancy, slowing the development of population immunity. In India, the sheer scale of the population initially slowed vaccine distribution.</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Impact of Variants</w:t>
      </w:r>
      <w:r w:rsidDel="00000000" w:rsidR="00000000" w:rsidRPr="00000000">
        <w:rPr>
          <w:rtl w:val="0"/>
        </w:rPr>
        <w:t xml:space="preserve">: The emergence of more transmissible variants like Delta and Omicron posed additional challenges, especially in regions with low vaccination rates or weak public health measures.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w58dfty23zla" w:id="6"/>
      <w:bookmarkEnd w:id="6"/>
      <w:r w:rsidDel="00000000" w:rsidR="00000000" w:rsidRPr="00000000">
        <w:rPr>
          <w:b w:val="1"/>
          <w:color w:val="000000"/>
          <w:sz w:val="22"/>
          <w:szCs w:val="22"/>
          <w:rtl w:val="0"/>
        </w:rPr>
        <w:t xml:space="preserve">Additional Factors Impacting COVID-19 Responses</w:t>
      </w:r>
    </w:p>
    <w:p w:rsidR="00000000" w:rsidDel="00000000" w:rsidP="00000000" w:rsidRDefault="00000000" w:rsidRPr="00000000" w14:paraId="00000027">
      <w:pPr>
        <w:spacing w:after="240" w:before="240" w:lineRule="auto"/>
        <w:rPr/>
      </w:pPr>
      <w:r w:rsidDel="00000000" w:rsidR="00000000" w:rsidRPr="00000000">
        <w:rPr>
          <w:rtl w:val="0"/>
        </w:rPr>
        <w:t xml:space="preserve">While case trends provide insights into the relative success or failure of countries’ responses, other factors also played critical roles: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Economic Support</w:t>
      </w:r>
      <w:r w:rsidDel="00000000" w:rsidR="00000000" w:rsidRPr="00000000">
        <w:rPr>
          <w:rtl w:val="0"/>
        </w:rPr>
        <w:t xml:space="preserve">: Countries that provided economic assistance to citizens could enforce stricter lockdowns without risking widespread economic hardship, aiding containment.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Public Health Infrastructure</w:t>
      </w:r>
      <w:r w:rsidDel="00000000" w:rsidR="00000000" w:rsidRPr="00000000">
        <w:rPr>
          <w:rtl w:val="0"/>
        </w:rPr>
        <w:t xml:space="preserve">: Digital health infrastructure (for vaccine scheduling, telehealth, and data collection) allowed for a more coordinated response.</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Misinformation</w:t>
      </w:r>
      <w:r w:rsidDel="00000000" w:rsidR="00000000" w:rsidRPr="00000000">
        <w:rPr>
          <w:rtl w:val="0"/>
        </w:rPr>
        <w:t xml:space="preserve">: Countries that actively countered misinformation saw better adherence to health guidelines and vaccine uptake.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85ukyq52hivf" w:id="7"/>
      <w:bookmarkEnd w:id="7"/>
      <w:r w:rsidDel="00000000" w:rsidR="00000000" w:rsidRPr="00000000">
        <w:rPr>
          <w:b w:val="1"/>
          <w:color w:val="000000"/>
          <w:sz w:val="22"/>
          <w:szCs w:val="22"/>
          <w:rtl w:val="0"/>
        </w:rPr>
        <w:t xml:space="preserve">Conclusion</w:t>
      </w:r>
    </w:p>
    <w:p w:rsidR="00000000" w:rsidDel="00000000" w:rsidP="00000000" w:rsidRDefault="00000000" w:rsidRPr="00000000" w14:paraId="0000002C">
      <w:pPr>
        <w:spacing w:after="240" w:before="240" w:lineRule="auto"/>
        <w:rPr/>
      </w:pPr>
      <w:r w:rsidDel="00000000" w:rsidR="00000000" w:rsidRPr="00000000">
        <w:rPr>
          <w:rtl w:val="0"/>
        </w:rPr>
        <w:t xml:space="preserve">This analysis underscores that the success of a country’s COVID-19 response depends on a combination of timely actions, robust healthcare infrastructure, and high public compliance. Countries with effective containment strategies, strong health systems, and clear public messaging were better able to manage COVID-19's spread. In contrast, countries with high population densities, delays in policy implementation, or challenges in public compliance faced ongoing transmission.</w:t>
      </w:r>
    </w:p>
    <w:p w:rsidR="00000000" w:rsidDel="00000000" w:rsidP="00000000" w:rsidRDefault="00000000" w:rsidRPr="00000000" w14:paraId="0000002D">
      <w:pPr>
        <w:spacing w:after="240" w:before="240" w:lineRule="auto"/>
        <w:rPr/>
      </w:pPr>
      <w:r w:rsidDel="00000000" w:rsidR="00000000" w:rsidRPr="00000000">
        <w:rPr>
          <w:rtl w:val="0"/>
        </w:rPr>
        <w:t xml:space="preserve">Understanding these factors is crucial for preparing for future health crises. Countries that struggled with the pandemic can benefit from strengthening healthcare capacity, improving public health infrastructure, and fostering public trust in health policies. Countries with successful responses provide valuable examples of effective crisis management that can be emulated globally.</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